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40" w:lineRule="exact"/>
        <w:jc w:val="center"/>
        <w:textAlignment w:val="auto"/>
        <w:rPr>
          <w:rFonts w:ascii="宋体" w:hAnsi="宋体" w:cs="宋体"/>
          <w:b/>
          <w:bCs/>
          <w:kern w:val="0"/>
          <w:sz w:val="44"/>
          <w:szCs w:val="44"/>
        </w:rPr>
      </w:pPr>
      <w:r>
        <w:rPr>
          <w:rFonts w:hint="eastAsia" w:ascii="宋体" w:hAnsi="宋体" w:cs="宋体"/>
          <w:b/>
          <w:bCs/>
          <w:kern w:val="0"/>
          <w:sz w:val="44"/>
          <w:szCs w:val="44"/>
        </w:rPr>
        <w:t>平顶山市卫东区融媒体中心</w:t>
      </w:r>
    </w:p>
    <w:p>
      <w:pPr>
        <w:keepNext w:val="0"/>
        <w:keepLines w:val="0"/>
        <w:pageBreakBefore w:val="0"/>
        <w:kinsoku/>
        <w:wordWrap/>
        <w:overflowPunct/>
        <w:topLinePunct w:val="0"/>
        <w:autoSpaceDE/>
        <w:autoSpaceDN/>
        <w:bidi w:val="0"/>
        <w:adjustRightInd/>
        <w:spacing w:line="540" w:lineRule="exact"/>
        <w:jc w:val="center"/>
        <w:textAlignment w:val="auto"/>
        <w:rPr>
          <w:rFonts w:ascii="宋体" w:hAnsi="宋体" w:cs="宋体"/>
          <w:b/>
          <w:bCs/>
          <w:kern w:val="0"/>
          <w:sz w:val="44"/>
          <w:szCs w:val="44"/>
        </w:rPr>
      </w:pPr>
      <w:r>
        <w:rPr>
          <w:rFonts w:hint="eastAsia" w:ascii="宋体" w:hAnsi="宋体" w:cs="宋体"/>
          <w:b/>
          <w:bCs/>
          <w:kern w:val="0"/>
          <w:sz w:val="44"/>
          <w:szCs w:val="44"/>
        </w:rPr>
        <w:t>部门预算说明</w:t>
      </w:r>
    </w:p>
    <w:p>
      <w:pPr>
        <w:keepNext w:val="0"/>
        <w:keepLines w:val="0"/>
        <w:pageBreakBefore w:val="0"/>
        <w:kinsoku/>
        <w:wordWrap/>
        <w:overflowPunct/>
        <w:topLinePunct w:val="0"/>
        <w:autoSpaceDE/>
        <w:autoSpaceDN/>
        <w:bidi w:val="0"/>
        <w:adjustRightInd/>
        <w:spacing w:line="540" w:lineRule="exact"/>
        <w:ind w:firstLine="3084" w:firstLineChars="1097"/>
        <w:textAlignment w:val="auto"/>
        <w:rPr>
          <w:rFonts w:ascii="宋体" w:hAnsi="宋体" w:cs="宋体"/>
          <w:b/>
          <w:bCs/>
          <w:kern w:val="0"/>
          <w:sz w:val="28"/>
          <w:szCs w:val="28"/>
        </w:rPr>
      </w:pPr>
    </w:p>
    <w:p>
      <w:pPr>
        <w:keepNext w:val="0"/>
        <w:keepLines w:val="0"/>
        <w:pageBreakBefore w:val="0"/>
        <w:kinsoku/>
        <w:wordWrap/>
        <w:overflowPunct/>
        <w:topLinePunct w:val="0"/>
        <w:autoSpaceDE/>
        <w:autoSpaceDN/>
        <w:bidi w:val="0"/>
        <w:adjustRightInd/>
        <w:spacing w:line="540" w:lineRule="exact"/>
        <w:ind w:firstLine="3534" w:firstLineChars="800"/>
        <w:textAlignment w:val="auto"/>
        <w:rPr>
          <w:rFonts w:ascii="宋体" w:hAnsi="宋体" w:cs="宋体"/>
          <w:b/>
          <w:bCs/>
          <w:kern w:val="0"/>
          <w:sz w:val="44"/>
          <w:szCs w:val="44"/>
        </w:rPr>
      </w:pPr>
      <w:r>
        <w:rPr>
          <w:rFonts w:hint="eastAsia" w:ascii="宋体" w:hAnsi="宋体" w:cs="宋体"/>
          <w:b/>
          <w:bCs/>
          <w:kern w:val="0"/>
          <w:sz w:val="44"/>
          <w:szCs w:val="44"/>
        </w:rPr>
        <w:t>目　录</w:t>
      </w:r>
    </w:p>
    <w:p>
      <w:pPr>
        <w:keepNext w:val="0"/>
        <w:keepLines w:val="0"/>
        <w:pageBreakBefore w:val="0"/>
        <w:kinsoku/>
        <w:wordWrap/>
        <w:overflowPunct/>
        <w:topLinePunct w:val="0"/>
        <w:autoSpaceDE/>
        <w:autoSpaceDN/>
        <w:bidi w:val="0"/>
        <w:adjustRightInd/>
        <w:spacing w:line="540" w:lineRule="exact"/>
        <w:textAlignment w:val="auto"/>
        <w:rPr>
          <w:rFonts w:ascii="宋体" w:hAnsi="宋体" w:cs="宋体"/>
          <w:b/>
          <w:kern w:val="0"/>
          <w:sz w:val="36"/>
          <w:szCs w:val="36"/>
        </w:rPr>
      </w:pPr>
      <w:r>
        <w:rPr>
          <w:rFonts w:hint="eastAsia" w:ascii="宋体" w:hAnsi="宋体" w:cs="宋体"/>
          <w:b/>
          <w:kern w:val="0"/>
          <w:sz w:val="32"/>
          <w:szCs w:val="32"/>
        </w:rPr>
        <w:t>第一部分　</w:t>
      </w:r>
      <w:r>
        <w:rPr>
          <w:rFonts w:hint="eastAsia" w:ascii="宋体" w:hAnsi="宋体" w:cs="宋体"/>
          <w:b/>
          <w:bCs/>
          <w:kern w:val="0"/>
          <w:sz w:val="32"/>
          <w:szCs w:val="32"/>
        </w:rPr>
        <w:t>平顶山市卫东区融媒体中心</w:t>
      </w:r>
      <w:r>
        <w:rPr>
          <w:rFonts w:hint="eastAsia" w:ascii="宋体" w:hAnsi="宋体" w:cs="宋体"/>
          <w:b/>
          <w:kern w:val="0"/>
          <w:sz w:val="32"/>
          <w:szCs w:val="32"/>
        </w:rPr>
        <w:t>概况</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一、主要职能</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 xml:space="preserve">二、部门预算单位构成 </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pacing w:line="540" w:lineRule="exact"/>
        <w:textAlignment w:val="auto"/>
        <w:rPr>
          <w:rFonts w:ascii="宋体" w:hAnsi="宋体" w:cs="宋体"/>
          <w:b/>
          <w:kern w:val="0"/>
          <w:sz w:val="32"/>
          <w:szCs w:val="32"/>
        </w:rPr>
      </w:pPr>
      <w:r>
        <w:rPr>
          <w:rFonts w:hint="eastAsia" w:ascii="宋体" w:hAnsi="宋体" w:cs="宋体"/>
          <w:b/>
          <w:kern w:val="0"/>
          <w:sz w:val="32"/>
          <w:szCs w:val="32"/>
        </w:rPr>
        <w:t xml:space="preserve">第二部分 </w:t>
      </w:r>
      <w:r>
        <w:rPr>
          <w:rFonts w:hint="eastAsia" w:ascii="宋体" w:hAnsi="宋体" w:cs="宋体"/>
          <w:b/>
          <w:bCs/>
          <w:kern w:val="0"/>
          <w:sz w:val="32"/>
          <w:szCs w:val="32"/>
        </w:rPr>
        <w:t>平顶山市卫东区融媒体中心2022年</w:t>
      </w:r>
      <w:r>
        <w:rPr>
          <w:rFonts w:hint="eastAsia" w:ascii="宋体" w:hAnsi="宋体" w:cs="宋体"/>
          <w:b/>
          <w:kern w:val="0"/>
          <w:sz w:val="32"/>
          <w:szCs w:val="32"/>
        </w:rPr>
        <w:t>部门预算情况说明</w:t>
      </w:r>
    </w:p>
    <w:p>
      <w:pPr>
        <w:keepNext w:val="0"/>
        <w:keepLines w:val="0"/>
        <w:pageBreakBefore w:val="0"/>
        <w:kinsoku/>
        <w:wordWrap/>
        <w:overflowPunct/>
        <w:topLinePunct w:val="0"/>
        <w:autoSpaceDE/>
        <w:autoSpaceDN/>
        <w:bidi w:val="0"/>
        <w:adjustRightInd/>
        <w:spacing w:line="540" w:lineRule="exact"/>
        <w:textAlignment w:val="auto"/>
        <w:rPr>
          <w:rFonts w:ascii="宋体" w:hAnsi="宋体" w:cs="宋体"/>
          <w:b/>
          <w:kern w:val="0"/>
          <w:sz w:val="32"/>
          <w:szCs w:val="32"/>
        </w:rPr>
      </w:pPr>
      <w:r>
        <w:rPr>
          <w:rFonts w:hint="eastAsia" w:ascii="宋体" w:hAnsi="宋体" w:cs="宋体"/>
          <w:b/>
          <w:kern w:val="0"/>
          <w:sz w:val="32"/>
          <w:szCs w:val="32"/>
        </w:rPr>
        <w:t>第三部分　名词解释</w:t>
      </w:r>
    </w:p>
    <w:p>
      <w:pPr>
        <w:keepNext w:val="0"/>
        <w:keepLines w:val="0"/>
        <w:pageBreakBefore w:val="0"/>
        <w:kinsoku/>
        <w:wordWrap/>
        <w:overflowPunct/>
        <w:topLinePunct w:val="0"/>
        <w:autoSpaceDE/>
        <w:autoSpaceDN/>
        <w:bidi w:val="0"/>
        <w:adjustRightInd/>
        <w:spacing w:line="540" w:lineRule="exact"/>
        <w:textAlignment w:val="auto"/>
        <w:rPr>
          <w:rFonts w:ascii="宋体" w:hAnsi="宋体" w:cs="宋体"/>
          <w:b/>
          <w:kern w:val="0"/>
          <w:sz w:val="32"/>
          <w:szCs w:val="32"/>
        </w:rPr>
      </w:pPr>
      <w:r>
        <w:rPr>
          <w:rFonts w:hint="eastAsia" w:ascii="宋体" w:hAnsi="宋体" w:cs="宋体"/>
          <w:b/>
          <w:kern w:val="0"/>
          <w:sz w:val="32"/>
          <w:szCs w:val="32"/>
        </w:rPr>
        <w:t>附件：</w:t>
      </w:r>
      <w:r>
        <w:rPr>
          <w:rFonts w:hint="eastAsia" w:ascii="宋体" w:hAnsi="宋体" w:cs="宋体"/>
          <w:b/>
          <w:bCs/>
          <w:kern w:val="0"/>
          <w:sz w:val="32"/>
          <w:szCs w:val="32"/>
        </w:rPr>
        <w:t>平顶山市卫东区融媒体中心</w:t>
      </w:r>
      <w:r>
        <w:rPr>
          <w:rFonts w:hint="eastAsia" w:ascii="宋体" w:hAnsi="宋体" w:cs="宋体"/>
          <w:b/>
          <w:kern w:val="0"/>
          <w:sz w:val="32"/>
          <w:szCs w:val="32"/>
        </w:rPr>
        <w:t>2022年部门预算表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一、部门收支预算表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二、部门收入预算表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三、部门支出预算表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四、财政拨款收支预算表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五、一般公共预算支出预算表</w:t>
      </w:r>
    </w:p>
    <w:p>
      <w:pPr>
        <w:keepNext w:val="0"/>
        <w:keepLines w:val="0"/>
        <w:pageBreakBefore w:val="0"/>
        <w:kinsoku/>
        <w:wordWrap/>
        <w:overflowPunct/>
        <w:topLinePunct w:val="0"/>
        <w:autoSpaceDE/>
        <w:autoSpaceDN/>
        <w:bidi w:val="0"/>
        <w:adjustRightInd/>
        <w:snapToGrid w:val="0"/>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六、一般公共预算基本支出表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七、支出经济分类汇总表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八、一般公共预算“三公”经费预算表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九、政府性基金支出预算表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十、项目支出预算表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十一、部门（单位）整体绩效目标表</w:t>
      </w:r>
    </w:p>
    <w:p>
      <w:pPr>
        <w:keepNext w:val="0"/>
        <w:keepLines w:val="0"/>
        <w:pageBreakBefore w:val="0"/>
        <w:kinsoku/>
        <w:wordWrap/>
        <w:overflowPunct/>
        <w:topLinePunct w:val="0"/>
        <w:autoSpaceDE/>
        <w:autoSpaceDN/>
        <w:bidi w:val="0"/>
        <w:adjustRightInd/>
        <w:spacing w:line="540" w:lineRule="exact"/>
        <w:ind w:firstLine="320" w:firstLineChars="100"/>
        <w:textAlignment w:val="auto"/>
        <w:rPr>
          <w:rFonts w:ascii="仿宋" w:hAnsi="仿宋" w:eastAsia="仿宋" w:cs="仿宋"/>
          <w:bCs/>
          <w:kern w:val="0"/>
          <w:sz w:val="32"/>
          <w:szCs w:val="32"/>
        </w:rPr>
      </w:pPr>
      <w:r>
        <w:rPr>
          <w:rFonts w:hint="eastAsia" w:ascii="仿宋" w:hAnsi="仿宋" w:eastAsia="仿宋" w:cs="仿宋"/>
          <w:bCs/>
          <w:kern w:val="0"/>
          <w:sz w:val="32"/>
          <w:szCs w:val="32"/>
        </w:rPr>
        <w:t>十二、部门预算项目绩效目标汇总表</w:t>
      </w:r>
    </w:p>
    <w:p>
      <w:pPr>
        <w:keepNext w:val="0"/>
        <w:keepLines w:val="0"/>
        <w:pageBreakBefore w:val="0"/>
        <w:kinsoku/>
        <w:wordWrap/>
        <w:overflowPunct/>
        <w:topLinePunct w:val="0"/>
        <w:autoSpaceDE/>
        <w:autoSpaceDN/>
        <w:bidi w:val="0"/>
        <w:adjustRightInd/>
        <w:spacing w:line="540" w:lineRule="exact"/>
        <w:jc w:val="center"/>
        <w:textAlignment w:val="auto"/>
        <w:rPr>
          <w:rFonts w:ascii="宋体" w:hAnsi="宋体" w:cs="宋体"/>
          <w:b/>
          <w:bCs/>
          <w:kern w:val="0"/>
          <w:sz w:val="32"/>
          <w:szCs w:val="32"/>
        </w:rPr>
      </w:pPr>
      <w:r>
        <w:rPr>
          <w:rFonts w:hint="eastAsia" w:ascii="宋体" w:hAnsi="宋体" w:cs="宋体"/>
          <w:b/>
          <w:bCs/>
          <w:kern w:val="0"/>
          <w:sz w:val="32"/>
          <w:szCs w:val="32"/>
        </w:rPr>
        <w:t>第一部分</w:t>
      </w:r>
    </w:p>
    <w:p>
      <w:pPr>
        <w:keepNext w:val="0"/>
        <w:keepLines w:val="0"/>
        <w:pageBreakBefore w:val="0"/>
        <w:kinsoku/>
        <w:wordWrap/>
        <w:overflowPunct/>
        <w:topLinePunct w:val="0"/>
        <w:autoSpaceDE/>
        <w:autoSpaceDN/>
        <w:bidi w:val="0"/>
        <w:adjustRightInd/>
        <w:spacing w:line="540" w:lineRule="exact"/>
        <w:jc w:val="center"/>
        <w:textAlignment w:val="auto"/>
        <w:rPr>
          <w:rFonts w:ascii="宋体" w:hAnsi="宋体" w:cs="宋体"/>
          <w:b/>
          <w:bCs/>
          <w:kern w:val="0"/>
          <w:sz w:val="32"/>
          <w:szCs w:val="32"/>
        </w:rPr>
      </w:pPr>
      <w:r>
        <w:rPr>
          <w:rFonts w:hint="eastAsia" w:ascii="宋体" w:hAnsi="宋体" w:cs="宋体"/>
          <w:b/>
          <w:bCs/>
          <w:kern w:val="0"/>
          <w:sz w:val="32"/>
          <w:szCs w:val="32"/>
        </w:rPr>
        <w:t>平顶山市卫东区融媒体中心概况</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ascii="仿宋" w:hAnsi="仿宋" w:eastAsia="仿宋" w:cs="仿宋"/>
          <w:sz w:val="32"/>
          <w:szCs w:val="32"/>
        </w:rPr>
      </w:pPr>
      <w:r>
        <w:rPr>
          <w:rFonts w:hint="eastAsia" w:ascii="宋体" w:hAnsi="宋体" w:cs="宋体"/>
          <w:b/>
          <w:bCs/>
          <w:sz w:val="32"/>
          <w:szCs w:val="32"/>
        </w:rPr>
        <w:t>一</w:t>
      </w:r>
      <w:r>
        <w:rPr>
          <w:rFonts w:hint="eastAsia" w:ascii="仿宋" w:hAnsi="仿宋" w:eastAsia="仿宋" w:cs="仿宋"/>
          <w:sz w:val="32"/>
          <w:szCs w:val="32"/>
        </w:rPr>
        <w:t>、</w:t>
      </w:r>
      <w:r>
        <w:rPr>
          <w:rFonts w:hint="eastAsia" w:ascii="宋体" w:hAnsi="宋体" w:cs="宋体"/>
          <w:b/>
          <w:bCs/>
          <w:kern w:val="0"/>
          <w:sz w:val="32"/>
          <w:szCs w:val="32"/>
        </w:rPr>
        <w:t>平顶山市卫东区融媒体中心</w:t>
      </w:r>
      <w:r>
        <w:rPr>
          <w:rFonts w:hint="eastAsia" w:ascii="宋体" w:hAnsi="宋体" w:cs="宋体"/>
          <w:b/>
          <w:bCs/>
          <w:sz w:val="32"/>
          <w:szCs w:val="32"/>
        </w:rPr>
        <w:t>主要职能</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ascii="仿宋_GB2312" w:eastAsia="仿宋_GB2312"/>
          <w:bCs/>
          <w:kern w:val="0"/>
          <w:sz w:val="32"/>
          <w:szCs w:val="32"/>
        </w:rPr>
      </w:pPr>
      <w:r>
        <w:rPr>
          <w:rFonts w:hint="eastAsia" w:ascii="仿宋_GB2312" w:eastAsia="仿宋_GB2312"/>
          <w:bCs/>
          <w:kern w:val="0"/>
          <w:sz w:val="32"/>
          <w:szCs w:val="32"/>
        </w:rPr>
        <w:t>平顶山市卫东区融媒体中心主要职能是：围绕卫东区中心工作，负责新闻报道和舆论引导，健全完善宣传舆论引导机制，全面宣介卫东区经济社会高质量发展成果和先进典型；负责整合全区各类媒体资源，推进媒体融合发展工作；统筹运用各类媒体传播平台和信息技术，形成全方位、立体化宣传合力；负责全区各部门各单位的新闻及专题影像资料的采编工作，加强与省、市新闻媒体的沟通、交流、合作，提供新闻、专题、通讯等稿件；负责全区影像资料、音频、图片等资料的收集、留存、保管、使用；负责卫东外宣微博、微信公众号的运营维护；负责网络宣传工作；承担区融媒体平台建设，全面对接省级、市级技术平台。</w:t>
      </w:r>
    </w:p>
    <w:p>
      <w:pPr>
        <w:keepNext w:val="0"/>
        <w:keepLines w:val="0"/>
        <w:pageBreakBefore w:val="0"/>
        <w:kinsoku/>
        <w:wordWrap/>
        <w:overflowPunct/>
        <w:topLinePunct w:val="0"/>
        <w:autoSpaceDE/>
        <w:autoSpaceDN/>
        <w:bidi w:val="0"/>
        <w:adjustRightInd/>
        <w:spacing w:line="540" w:lineRule="exact"/>
        <w:textAlignment w:val="auto"/>
        <w:rPr>
          <w:rFonts w:ascii="仿宋" w:hAnsi="仿宋" w:eastAsia="仿宋" w:cs="仿宋"/>
          <w:sz w:val="32"/>
          <w:szCs w:val="32"/>
        </w:rPr>
      </w:pPr>
      <w:r>
        <w:rPr>
          <w:rFonts w:hint="eastAsia" w:ascii="仿宋" w:hAnsi="仿宋" w:eastAsia="仿宋" w:cs="仿宋"/>
          <w:sz w:val="32"/>
          <w:szCs w:val="32"/>
        </w:rPr>
        <w:t xml:space="preserve">   </w:t>
      </w:r>
      <w:r>
        <w:rPr>
          <w:rFonts w:hint="eastAsia" w:ascii="宋体" w:hAnsi="宋体" w:cs="宋体"/>
          <w:b/>
          <w:bCs/>
          <w:sz w:val="32"/>
          <w:szCs w:val="32"/>
        </w:rPr>
        <w:t xml:space="preserve"> 二、</w:t>
      </w:r>
      <w:r>
        <w:rPr>
          <w:rFonts w:hint="eastAsia" w:ascii="宋体" w:hAnsi="宋体" w:cs="宋体"/>
          <w:b/>
          <w:bCs/>
          <w:kern w:val="0"/>
          <w:sz w:val="32"/>
          <w:szCs w:val="32"/>
        </w:rPr>
        <w:t>平顶山市卫东区融媒体中心</w:t>
      </w:r>
      <w:r>
        <w:rPr>
          <w:rFonts w:hint="eastAsia" w:ascii="宋体" w:hAnsi="宋体" w:cs="宋体"/>
          <w:b/>
          <w:bCs/>
          <w:sz w:val="32"/>
          <w:szCs w:val="32"/>
        </w:rPr>
        <w:t>预算单位构成</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sz w:val="32"/>
          <w:szCs w:val="32"/>
        </w:rPr>
      </w:pPr>
      <w:r>
        <w:rPr>
          <w:rFonts w:hint="eastAsia" w:ascii="仿宋_GB2312" w:eastAsia="仿宋_GB2312"/>
          <w:bCs/>
          <w:kern w:val="0"/>
          <w:sz w:val="32"/>
          <w:szCs w:val="32"/>
        </w:rPr>
        <w:t>平顶山市卫东区融媒体中心</w:t>
      </w:r>
      <w:r>
        <w:rPr>
          <w:rFonts w:hint="eastAsia" w:ascii="仿宋_GB2312" w:hAnsi="宋体" w:eastAsia="仿宋_GB2312"/>
          <w:sz w:val="32"/>
          <w:szCs w:val="32"/>
        </w:rPr>
        <w:t>2022年部门预算为包含本级预算在内的汇总预算。</w:t>
      </w:r>
    </w:p>
    <w:p>
      <w:pPr>
        <w:pStyle w:val="9"/>
        <w:keepNext w:val="0"/>
        <w:keepLines w:val="0"/>
        <w:pageBreakBefore w:val="0"/>
        <w:tabs>
          <w:tab w:val="left" w:pos="1277"/>
        </w:tabs>
        <w:kinsoku/>
        <w:wordWrap/>
        <w:overflowPunct/>
        <w:topLinePunct w:val="0"/>
        <w:autoSpaceDE/>
        <w:autoSpaceDN/>
        <w:bidi w:val="0"/>
        <w:adjustRightInd/>
        <w:spacing w:line="54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pacing w:line="540" w:lineRule="exact"/>
        <w:jc w:val="center"/>
        <w:textAlignment w:val="auto"/>
        <w:rPr>
          <w:rFonts w:ascii="宋体" w:hAnsi="宋体" w:cs="宋体"/>
          <w:b/>
          <w:bCs/>
          <w:kern w:val="0"/>
          <w:sz w:val="32"/>
          <w:szCs w:val="32"/>
        </w:rPr>
      </w:pPr>
      <w:r>
        <w:rPr>
          <w:rFonts w:hint="eastAsia" w:ascii="宋体" w:hAnsi="宋体" w:cs="宋体"/>
          <w:b/>
          <w:bCs/>
          <w:kern w:val="0"/>
          <w:sz w:val="32"/>
          <w:szCs w:val="32"/>
        </w:rPr>
        <w:t>第二部分</w:t>
      </w:r>
    </w:p>
    <w:p>
      <w:pPr>
        <w:keepNext w:val="0"/>
        <w:keepLines w:val="0"/>
        <w:pageBreakBefore w:val="0"/>
        <w:kinsoku/>
        <w:wordWrap/>
        <w:overflowPunct/>
        <w:topLinePunct w:val="0"/>
        <w:autoSpaceDE/>
        <w:autoSpaceDN/>
        <w:bidi w:val="0"/>
        <w:adjustRightInd/>
        <w:spacing w:line="540" w:lineRule="exact"/>
        <w:ind w:firstLine="643" w:firstLineChars="200"/>
        <w:jc w:val="center"/>
        <w:textAlignment w:val="auto"/>
        <w:rPr>
          <w:rFonts w:ascii="宋体" w:hAnsi="宋体" w:cs="宋体"/>
          <w:b/>
          <w:bCs/>
          <w:kern w:val="0"/>
          <w:sz w:val="32"/>
          <w:szCs w:val="32"/>
        </w:rPr>
      </w:pPr>
      <w:r>
        <w:rPr>
          <w:rFonts w:hint="eastAsia" w:ascii="宋体" w:hAnsi="宋体" w:cs="宋体"/>
          <w:b/>
          <w:bCs/>
          <w:kern w:val="0"/>
          <w:sz w:val="32"/>
          <w:szCs w:val="32"/>
        </w:rPr>
        <w:t>平顶山市卫东区融媒体中心2022年部门预算情况说明</w:t>
      </w:r>
    </w:p>
    <w:p>
      <w:pPr>
        <w:keepNext w:val="0"/>
        <w:keepLines w:val="0"/>
        <w:pageBreakBefore w:val="0"/>
        <w:kinsoku/>
        <w:wordWrap/>
        <w:overflowPunct/>
        <w:topLinePunct w:val="0"/>
        <w:autoSpaceDE/>
        <w:autoSpaceDN/>
        <w:bidi w:val="0"/>
        <w:adjustRightInd/>
        <w:spacing w:line="540" w:lineRule="exact"/>
        <w:ind w:firstLine="3524" w:firstLineChars="1097"/>
        <w:textAlignment w:val="auto"/>
        <w:rPr>
          <w:rFonts w:ascii="宋体" w:hAnsi="宋体" w:cs="宋体"/>
          <w:b/>
          <w:bCs/>
          <w:kern w:val="0"/>
          <w:sz w:val="32"/>
          <w:szCs w:val="32"/>
        </w:rPr>
      </w:pPr>
    </w:p>
    <w:p>
      <w:pPr>
        <w:keepNext w:val="0"/>
        <w:keepLines w:val="0"/>
        <w:pageBreakBefore w:val="0"/>
        <w:kinsoku/>
        <w:wordWrap/>
        <w:overflowPunct/>
        <w:topLinePunct w:val="0"/>
        <w:autoSpaceDE/>
        <w:autoSpaceDN/>
        <w:bidi w:val="0"/>
        <w:adjustRightInd/>
        <w:spacing w:line="540" w:lineRule="exact"/>
        <w:ind w:firstLine="803" w:firstLineChars="250"/>
        <w:textAlignment w:val="auto"/>
        <w:rPr>
          <w:rFonts w:ascii="宋体" w:hAnsi="宋体" w:cs="宋体"/>
          <w:b/>
          <w:kern w:val="0"/>
          <w:sz w:val="32"/>
          <w:szCs w:val="32"/>
        </w:rPr>
      </w:pPr>
      <w:r>
        <w:rPr>
          <w:rFonts w:hint="eastAsia" w:ascii="宋体" w:hAnsi="宋体" w:cs="宋体"/>
          <w:b/>
          <w:kern w:val="0"/>
          <w:sz w:val="32"/>
          <w:szCs w:val="32"/>
        </w:rPr>
        <w:t>一、收入支出预算总体情况说明</w:t>
      </w:r>
    </w:p>
    <w:p>
      <w:pPr>
        <w:keepNext w:val="0"/>
        <w:keepLines w:val="0"/>
        <w:pageBreakBefore w:val="0"/>
        <w:kinsoku/>
        <w:wordWrap/>
        <w:overflowPunct/>
        <w:topLinePunct w:val="0"/>
        <w:autoSpaceDE/>
        <w:autoSpaceDN/>
        <w:bidi w:val="0"/>
        <w:adjustRightInd/>
        <w:spacing w:line="540" w:lineRule="exact"/>
        <w:ind w:firstLine="800" w:firstLineChars="25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融媒体中心2022年收、支总计均为309.74万元，与2021年相比，收、支总计均增加10.35万元。主要原因：因机构改革，业务增多。</w:t>
      </w:r>
    </w:p>
    <w:p>
      <w:pPr>
        <w:keepNext w:val="0"/>
        <w:keepLines w:val="0"/>
        <w:pageBreakBefore w:val="0"/>
        <w:kinsoku/>
        <w:wordWrap/>
        <w:overflowPunct/>
        <w:topLinePunct w:val="0"/>
        <w:autoSpaceDE/>
        <w:autoSpaceDN/>
        <w:bidi w:val="0"/>
        <w:adjustRightInd/>
        <w:spacing w:line="540" w:lineRule="exact"/>
        <w:ind w:firstLine="803" w:firstLineChars="250"/>
        <w:textAlignment w:val="auto"/>
        <w:rPr>
          <w:rFonts w:ascii="宋体" w:hAnsi="宋体" w:cs="宋体"/>
          <w:b/>
          <w:kern w:val="0"/>
          <w:sz w:val="32"/>
          <w:szCs w:val="32"/>
        </w:rPr>
      </w:pPr>
      <w:r>
        <w:rPr>
          <w:rFonts w:hint="eastAsia" w:ascii="宋体" w:hAnsi="宋体" w:cs="宋体"/>
          <w:b/>
          <w:kern w:val="0"/>
          <w:sz w:val="32"/>
          <w:szCs w:val="32"/>
        </w:rPr>
        <w:t>二、收入预算总体情况说明</w:t>
      </w:r>
    </w:p>
    <w:p>
      <w:pPr>
        <w:keepNext w:val="0"/>
        <w:keepLines w:val="0"/>
        <w:pageBreakBefore w:val="0"/>
        <w:kinsoku/>
        <w:wordWrap/>
        <w:overflowPunct/>
        <w:topLinePunct w:val="0"/>
        <w:autoSpaceDE/>
        <w:autoSpaceDN/>
        <w:bidi w:val="0"/>
        <w:adjustRightInd/>
        <w:spacing w:line="540" w:lineRule="exact"/>
        <w:ind w:firstLine="800" w:firstLineChars="25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融媒体中心2022年收入预算309.74万元，其中财政拨款收入309.74万元。比上年增加10.35万元。</w:t>
      </w:r>
    </w:p>
    <w:p>
      <w:pPr>
        <w:keepNext w:val="0"/>
        <w:keepLines w:val="0"/>
        <w:pageBreakBefore w:val="0"/>
        <w:numPr>
          <w:ilvl w:val="0"/>
          <w:numId w:val="1"/>
        </w:numPr>
        <w:kinsoku/>
        <w:wordWrap/>
        <w:overflowPunct/>
        <w:topLinePunct w:val="0"/>
        <w:autoSpaceDE/>
        <w:autoSpaceDN/>
        <w:bidi w:val="0"/>
        <w:adjustRightInd/>
        <w:spacing w:line="540" w:lineRule="exact"/>
        <w:ind w:firstLine="803" w:firstLineChars="250"/>
        <w:textAlignment w:val="auto"/>
        <w:rPr>
          <w:rFonts w:ascii="宋体" w:hAnsi="宋体" w:cs="宋体"/>
          <w:b/>
          <w:kern w:val="0"/>
          <w:sz w:val="32"/>
          <w:szCs w:val="32"/>
        </w:rPr>
      </w:pPr>
      <w:r>
        <w:rPr>
          <w:rFonts w:hint="eastAsia" w:ascii="宋体" w:hAnsi="宋体" w:cs="宋体"/>
          <w:b/>
          <w:kern w:val="0"/>
          <w:sz w:val="32"/>
          <w:szCs w:val="32"/>
        </w:rPr>
        <w:t>支出预算总体情况说明</w:t>
      </w:r>
    </w:p>
    <w:p>
      <w:pPr>
        <w:keepNext w:val="0"/>
        <w:keepLines w:val="0"/>
        <w:pageBreakBefore w:val="0"/>
        <w:kinsoku/>
        <w:wordWrap/>
        <w:overflowPunct/>
        <w:topLinePunct w:val="0"/>
        <w:autoSpaceDE/>
        <w:autoSpaceDN/>
        <w:bidi w:val="0"/>
        <w:adjustRightInd/>
        <w:spacing w:line="540" w:lineRule="exact"/>
        <w:ind w:firstLine="800" w:firstLineChars="25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融媒体中心2022年支出预算309.74万元，其中财政拨款支出309.74万元。2022年支出预算按用途划分：工资福利支出128.47万元，占 41.4</w:t>
      </w:r>
      <w:r>
        <w:rPr>
          <w:rFonts w:hint="eastAsia" w:ascii="仿宋_GB2312" w:hAnsi="宋体" w:eastAsia="仿宋_GB2312" w:cs="宋体"/>
          <w:bCs/>
          <w:kern w:val="0"/>
          <w:sz w:val="32"/>
          <w:szCs w:val="32"/>
          <w:lang w:val="en-US" w:eastAsia="zh-CN"/>
        </w:rPr>
        <w:t>8</w:t>
      </w:r>
      <w:r>
        <w:rPr>
          <w:rFonts w:hint="eastAsia" w:ascii="仿宋_GB2312" w:hAnsi="宋体" w:eastAsia="仿宋_GB2312" w:cs="宋体"/>
          <w:bCs/>
          <w:kern w:val="0"/>
          <w:sz w:val="32"/>
          <w:szCs w:val="32"/>
        </w:rPr>
        <w:t>%；商品服务支出3.63万元，占1.17 %；对个人和家庭的补助0.47万元，占0.15 %；项目支出177.17万元，占 57.2</w:t>
      </w:r>
      <w:r>
        <w:rPr>
          <w:rFonts w:hint="eastAsia" w:ascii="仿宋_GB2312" w:hAnsi="宋体" w:eastAsia="仿宋_GB2312" w:cs="宋体"/>
          <w:bCs/>
          <w:kern w:val="0"/>
          <w:sz w:val="32"/>
          <w:szCs w:val="32"/>
          <w:lang w:val="en-US" w:eastAsia="zh-CN"/>
        </w:rPr>
        <w:t>0</w:t>
      </w:r>
      <w:r>
        <w:rPr>
          <w:rFonts w:hint="eastAsia" w:ascii="仿宋_GB2312" w:hAnsi="宋体" w:eastAsia="仿宋_GB2312" w:cs="宋体"/>
          <w:bCs/>
          <w:kern w:val="0"/>
          <w:sz w:val="32"/>
          <w:szCs w:val="32"/>
        </w:rPr>
        <w:t>%。</w:t>
      </w:r>
    </w:p>
    <w:p>
      <w:pPr>
        <w:keepNext w:val="0"/>
        <w:keepLines w:val="0"/>
        <w:pageBreakBefore w:val="0"/>
        <w:kinsoku/>
        <w:wordWrap/>
        <w:overflowPunct/>
        <w:topLinePunct w:val="0"/>
        <w:autoSpaceDE/>
        <w:autoSpaceDN/>
        <w:bidi w:val="0"/>
        <w:adjustRightInd/>
        <w:spacing w:line="540" w:lineRule="exact"/>
        <w:ind w:firstLine="803" w:firstLineChars="250"/>
        <w:textAlignment w:val="auto"/>
        <w:rPr>
          <w:rFonts w:ascii="宋体" w:hAnsi="宋体" w:cs="宋体"/>
          <w:b/>
          <w:kern w:val="0"/>
          <w:sz w:val="32"/>
          <w:szCs w:val="32"/>
        </w:rPr>
      </w:pPr>
      <w:r>
        <w:rPr>
          <w:rFonts w:hint="eastAsia" w:ascii="宋体" w:hAnsi="宋体" w:cs="宋体"/>
          <w:b/>
          <w:kern w:val="0"/>
          <w:sz w:val="32"/>
          <w:szCs w:val="32"/>
        </w:rPr>
        <w:t>四、财政拨款收入支出预算总体情况说明</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融媒体中心2022年一般公共预算收支预算309.74万元，与2021年相比，一般公共预算收支预算增加10.35万元。主要原因：因机构改革，业务增多。</w:t>
      </w:r>
    </w:p>
    <w:p>
      <w:pPr>
        <w:keepNext w:val="0"/>
        <w:keepLines w:val="0"/>
        <w:pageBreakBefore w:val="0"/>
        <w:kinsoku/>
        <w:wordWrap/>
        <w:overflowPunct/>
        <w:topLinePunct w:val="0"/>
        <w:autoSpaceDE/>
        <w:autoSpaceDN/>
        <w:bidi w:val="0"/>
        <w:adjustRightInd/>
        <w:spacing w:line="540" w:lineRule="exact"/>
        <w:ind w:firstLine="803" w:firstLineChars="250"/>
        <w:textAlignment w:val="auto"/>
        <w:rPr>
          <w:rFonts w:ascii="宋体" w:hAnsi="宋体" w:cs="宋体"/>
          <w:b/>
          <w:kern w:val="0"/>
          <w:sz w:val="32"/>
          <w:szCs w:val="32"/>
        </w:rPr>
      </w:pPr>
      <w:r>
        <w:rPr>
          <w:rFonts w:hint="eastAsia" w:ascii="宋体" w:hAnsi="宋体" w:cs="宋体"/>
          <w:b/>
          <w:kern w:val="0"/>
          <w:sz w:val="32"/>
          <w:szCs w:val="32"/>
        </w:rPr>
        <w:t>五、一般公共预算支出预算情况说明</w:t>
      </w:r>
    </w:p>
    <w:p>
      <w:pPr>
        <w:keepNext w:val="0"/>
        <w:keepLines w:val="0"/>
        <w:pageBreakBefore w:val="0"/>
        <w:kinsoku/>
        <w:wordWrap/>
        <w:overflowPunct/>
        <w:topLinePunct w:val="0"/>
        <w:autoSpaceDE/>
        <w:autoSpaceDN/>
        <w:bidi w:val="0"/>
        <w:adjustRightInd/>
        <w:spacing w:line="540" w:lineRule="exact"/>
        <w:ind w:firstLine="800" w:firstLineChars="25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融媒体中心</w:t>
      </w:r>
      <w:r>
        <w:rPr>
          <w:rFonts w:ascii="仿宋_GB2312" w:hAnsi="宋体" w:eastAsia="仿宋_GB2312" w:cs="宋体"/>
          <w:bCs/>
          <w:kern w:val="0"/>
          <w:sz w:val="32"/>
          <w:szCs w:val="32"/>
        </w:rPr>
        <w:t>202</w:t>
      </w:r>
      <w:r>
        <w:rPr>
          <w:rFonts w:hint="eastAsia" w:ascii="仿宋_GB2312" w:hAnsi="宋体" w:eastAsia="仿宋_GB2312" w:cs="宋体"/>
          <w:bCs/>
          <w:kern w:val="0"/>
          <w:sz w:val="32"/>
          <w:szCs w:val="32"/>
        </w:rPr>
        <w:t>2</w:t>
      </w:r>
      <w:r>
        <w:rPr>
          <w:rFonts w:ascii="仿宋_GB2312" w:hAnsi="宋体" w:eastAsia="仿宋_GB2312" w:cs="宋体"/>
          <w:bCs/>
          <w:kern w:val="0"/>
          <w:sz w:val="32"/>
          <w:szCs w:val="32"/>
        </w:rPr>
        <w:t>年一般公共预算支出年初预算为</w:t>
      </w:r>
      <w:r>
        <w:rPr>
          <w:rFonts w:hint="eastAsia" w:ascii="仿宋_GB2312" w:hAnsi="宋体" w:eastAsia="仿宋_GB2312" w:cs="宋体"/>
          <w:bCs/>
          <w:kern w:val="0"/>
          <w:sz w:val="32"/>
          <w:szCs w:val="32"/>
        </w:rPr>
        <w:t>309.74</w:t>
      </w:r>
      <w:r>
        <w:rPr>
          <w:rFonts w:ascii="仿宋_GB2312" w:hAnsi="宋体" w:eastAsia="仿宋_GB2312" w:cs="宋体"/>
          <w:bCs/>
          <w:kern w:val="0"/>
          <w:sz w:val="32"/>
          <w:szCs w:val="32"/>
        </w:rPr>
        <w:t>万元。主要用于以下方面：一般公共服务（类）支出</w:t>
      </w:r>
      <w:r>
        <w:rPr>
          <w:rFonts w:hint="eastAsia" w:ascii="仿宋_GB2312" w:hAnsi="宋体" w:eastAsia="仿宋_GB2312" w:cs="宋体"/>
          <w:bCs/>
          <w:kern w:val="0"/>
          <w:sz w:val="32"/>
          <w:szCs w:val="32"/>
        </w:rPr>
        <w:t xml:space="preserve">281.75 </w:t>
      </w:r>
      <w:r>
        <w:rPr>
          <w:rFonts w:ascii="仿宋_GB2312" w:hAnsi="宋体" w:eastAsia="仿宋_GB2312" w:cs="宋体"/>
          <w:bCs/>
          <w:kern w:val="0"/>
          <w:sz w:val="32"/>
          <w:szCs w:val="32"/>
        </w:rPr>
        <w:t>万元，占</w:t>
      </w:r>
      <w:r>
        <w:rPr>
          <w:rFonts w:hint="eastAsia" w:ascii="仿宋_GB2312" w:hAnsi="宋体" w:eastAsia="仿宋_GB2312" w:cs="宋体"/>
          <w:bCs/>
          <w:kern w:val="0"/>
          <w:sz w:val="32"/>
          <w:szCs w:val="32"/>
        </w:rPr>
        <w:t xml:space="preserve">90.96 </w:t>
      </w:r>
      <w:r>
        <w:rPr>
          <w:rFonts w:ascii="仿宋_GB2312" w:hAnsi="宋体" w:eastAsia="仿宋_GB2312" w:cs="宋体"/>
          <w:bCs/>
          <w:kern w:val="0"/>
          <w:sz w:val="32"/>
          <w:szCs w:val="32"/>
        </w:rPr>
        <w:t>%；社会保障和就业（类）支出</w:t>
      </w:r>
      <w:r>
        <w:rPr>
          <w:rFonts w:hint="eastAsia" w:ascii="仿宋_GB2312" w:hAnsi="宋体" w:eastAsia="仿宋_GB2312" w:cs="宋体"/>
          <w:bCs/>
          <w:kern w:val="0"/>
          <w:sz w:val="32"/>
          <w:szCs w:val="32"/>
        </w:rPr>
        <w:t>12.79</w:t>
      </w:r>
      <w:r>
        <w:rPr>
          <w:rFonts w:ascii="仿宋_GB2312" w:hAnsi="宋体" w:eastAsia="仿宋_GB2312" w:cs="宋体"/>
          <w:bCs/>
          <w:kern w:val="0"/>
          <w:sz w:val="32"/>
          <w:szCs w:val="32"/>
        </w:rPr>
        <w:t>万元，占</w:t>
      </w:r>
      <w:r>
        <w:rPr>
          <w:rFonts w:hint="eastAsia" w:ascii="仿宋_GB2312" w:hAnsi="宋体" w:eastAsia="仿宋_GB2312" w:cs="宋体"/>
          <w:bCs/>
          <w:kern w:val="0"/>
          <w:sz w:val="32"/>
          <w:szCs w:val="32"/>
        </w:rPr>
        <w:t>4.1</w:t>
      </w:r>
      <w:r>
        <w:rPr>
          <w:rFonts w:hint="eastAsia" w:ascii="仿宋_GB2312" w:hAnsi="宋体" w:eastAsia="仿宋_GB2312" w:cs="宋体"/>
          <w:bCs/>
          <w:kern w:val="0"/>
          <w:sz w:val="32"/>
          <w:szCs w:val="32"/>
          <w:lang w:val="en-US" w:eastAsia="zh-CN"/>
        </w:rPr>
        <w:t>3</w:t>
      </w:r>
      <w:r>
        <w:rPr>
          <w:rFonts w:ascii="仿宋_GB2312" w:hAnsi="宋体" w:eastAsia="仿宋_GB2312" w:cs="宋体"/>
          <w:bCs/>
          <w:kern w:val="0"/>
          <w:sz w:val="32"/>
          <w:szCs w:val="32"/>
        </w:rPr>
        <w:t>%；医疗卫生（类）支出</w:t>
      </w:r>
      <w:r>
        <w:rPr>
          <w:rFonts w:hint="eastAsia" w:ascii="仿宋_GB2312" w:hAnsi="宋体" w:eastAsia="仿宋_GB2312" w:cs="宋体"/>
          <w:bCs/>
          <w:kern w:val="0"/>
          <w:sz w:val="32"/>
          <w:szCs w:val="32"/>
        </w:rPr>
        <w:t>5.89</w:t>
      </w:r>
      <w:r>
        <w:rPr>
          <w:rFonts w:ascii="仿宋_GB2312" w:hAnsi="宋体" w:eastAsia="仿宋_GB2312" w:cs="宋体"/>
          <w:bCs/>
          <w:kern w:val="0"/>
          <w:sz w:val="32"/>
          <w:szCs w:val="32"/>
        </w:rPr>
        <w:t>万元，占</w:t>
      </w:r>
      <w:r>
        <w:rPr>
          <w:rFonts w:hint="eastAsia" w:ascii="仿宋_GB2312" w:hAnsi="宋体" w:eastAsia="仿宋_GB2312" w:cs="宋体"/>
          <w:bCs/>
          <w:kern w:val="0"/>
          <w:sz w:val="32"/>
          <w:szCs w:val="32"/>
        </w:rPr>
        <w:t xml:space="preserve"> 1.9</w:t>
      </w:r>
      <w:r>
        <w:rPr>
          <w:rFonts w:hint="eastAsia" w:ascii="仿宋_GB2312" w:hAnsi="宋体" w:eastAsia="仿宋_GB2312" w:cs="宋体"/>
          <w:bCs/>
          <w:kern w:val="0"/>
          <w:sz w:val="32"/>
          <w:szCs w:val="32"/>
          <w:lang w:val="en-US" w:eastAsia="zh-CN"/>
        </w:rPr>
        <w:t>0</w:t>
      </w:r>
      <w:r>
        <w:rPr>
          <w:rFonts w:ascii="仿宋_GB2312" w:hAnsi="宋体" w:eastAsia="仿宋_GB2312" w:cs="宋体"/>
          <w:bCs/>
          <w:kern w:val="0"/>
          <w:sz w:val="32"/>
          <w:szCs w:val="32"/>
        </w:rPr>
        <w:t>%；住房保障（类）支出</w:t>
      </w:r>
      <w:r>
        <w:rPr>
          <w:rFonts w:hint="eastAsia" w:ascii="仿宋_GB2312" w:hAnsi="宋体" w:eastAsia="仿宋_GB2312" w:cs="宋体"/>
          <w:bCs/>
          <w:kern w:val="0"/>
          <w:sz w:val="32"/>
          <w:szCs w:val="32"/>
        </w:rPr>
        <w:t>9.32</w:t>
      </w:r>
      <w:r>
        <w:rPr>
          <w:rFonts w:ascii="仿宋_GB2312" w:hAnsi="宋体" w:eastAsia="仿宋_GB2312" w:cs="宋体"/>
          <w:bCs/>
          <w:kern w:val="0"/>
          <w:sz w:val="32"/>
          <w:szCs w:val="32"/>
        </w:rPr>
        <w:t>万元，占</w:t>
      </w:r>
      <w:r>
        <w:rPr>
          <w:rFonts w:hint="eastAsia" w:ascii="仿宋_GB2312" w:hAnsi="宋体" w:eastAsia="仿宋_GB2312" w:cs="宋体"/>
          <w:bCs/>
          <w:kern w:val="0"/>
          <w:sz w:val="32"/>
          <w:szCs w:val="32"/>
        </w:rPr>
        <w:t xml:space="preserve"> 3.0</w:t>
      </w:r>
      <w:r>
        <w:rPr>
          <w:rFonts w:hint="eastAsia" w:ascii="仿宋_GB2312" w:hAnsi="宋体" w:eastAsia="仿宋_GB2312" w:cs="宋体"/>
          <w:bCs/>
          <w:kern w:val="0"/>
          <w:sz w:val="32"/>
          <w:szCs w:val="32"/>
          <w:lang w:val="en-US" w:eastAsia="zh-CN"/>
        </w:rPr>
        <w:t>1</w:t>
      </w:r>
      <w:r>
        <w:rPr>
          <w:rFonts w:hint="eastAsia" w:ascii="仿宋_GB2312" w:hAnsi="宋体" w:eastAsia="仿宋_GB2312" w:cs="宋体"/>
          <w:bCs/>
          <w:kern w:val="0"/>
          <w:sz w:val="32"/>
          <w:szCs w:val="32"/>
        </w:rPr>
        <w:t xml:space="preserve"> </w:t>
      </w:r>
      <w:r>
        <w:rPr>
          <w:rFonts w:ascii="仿宋_GB2312" w:hAnsi="宋体" w:eastAsia="仿宋_GB2312" w:cs="宋体"/>
          <w:bCs/>
          <w:kern w:val="0"/>
          <w:sz w:val="32"/>
          <w:szCs w:val="32"/>
        </w:rPr>
        <w:t>%</w:t>
      </w:r>
      <w:r>
        <w:rPr>
          <w:rFonts w:hint="eastAsia" w:ascii="仿宋_GB2312" w:hAnsi="宋体" w:eastAsia="仿宋_GB2312" w:cs="宋体"/>
          <w:bCs/>
          <w:kern w:val="0"/>
          <w:sz w:val="32"/>
          <w:szCs w:val="32"/>
        </w:rPr>
        <w:t>。</w:t>
      </w:r>
    </w:p>
    <w:p>
      <w:pPr>
        <w:keepNext w:val="0"/>
        <w:keepLines w:val="0"/>
        <w:pageBreakBefore w:val="0"/>
        <w:kinsoku/>
        <w:wordWrap/>
        <w:overflowPunct/>
        <w:topLinePunct w:val="0"/>
        <w:autoSpaceDE/>
        <w:autoSpaceDN/>
        <w:bidi w:val="0"/>
        <w:adjustRightInd/>
        <w:spacing w:line="540" w:lineRule="exact"/>
        <w:ind w:firstLine="803" w:firstLineChars="250"/>
        <w:textAlignment w:val="auto"/>
        <w:rPr>
          <w:rFonts w:ascii="宋体" w:hAnsi="宋体" w:cs="宋体"/>
          <w:b/>
          <w:kern w:val="0"/>
          <w:sz w:val="32"/>
          <w:szCs w:val="32"/>
        </w:rPr>
      </w:pPr>
      <w:r>
        <w:rPr>
          <w:rFonts w:hint="eastAsia" w:ascii="宋体" w:hAnsi="宋体" w:cs="宋体"/>
          <w:b/>
          <w:kern w:val="0"/>
          <w:sz w:val="32"/>
          <w:szCs w:val="32"/>
        </w:rPr>
        <w:t>六、支出预算经济分类情况说明</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科目预算调整为两套经济分类科目分别反应不同资金来源的全部预算支出。</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仿宋" w:eastAsia="仿宋_GB2312" w:cs="仿宋"/>
          <w:bCs/>
          <w:sz w:val="32"/>
          <w:szCs w:val="32"/>
        </w:rPr>
      </w:pPr>
      <w:r>
        <w:rPr>
          <w:rFonts w:hint="eastAsia" w:ascii="仿宋_GB2312" w:hAnsi="仿宋" w:eastAsia="仿宋_GB2312" w:cs="仿宋"/>
          <w:bCs/>
          <w:sz w:val="32"/>
          <w:szCs w:val="32"/>
        </w:rPr>
        <w:t>2022年预算支出309.74万元，其中：工资福利支出</w:t>
      </w:r>
      <w:r>
        <w:rPr>
          <w:rFonts w:hint="eastAsia" w:ascii="仿宋_GB2312" w:hAnsi="仿宋" w:eastAsia="仿宋_GB2312" w:cs="仿宋"/>
          <w:bCs/>
          <w:sz w:val="32"/>
          <w:szCs w:val="32"/>
          <w:lang w:val="en-US" w:eastAsia="zh-CN"/>
        </w:rPr>
        <w:t>132.57</w:t>
      </w:r>
      <w:r>
        <w:rPr>
          <w:rFonts w:hint="eastAsia" w:ascii="仿宋_GB2312" w:hAnsi="仿宋" w:eastAsia="仿宋_GB2312" w:cs="仿宋"/>
          <w:bCs/>
          <w:sz w:val="32"/>
          <w:szCs w:val="32"/>
        </w:rPr>
        <w:t>万元，主要包括：基本工资、津贴补贴、奖金、职工基本医疗保险缴费、公务员医疗补助缴费、其他社会保障缴费、住房公积金、其他工资福利支出</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离休费、退休费、生活补助；</w:t>
      </w:r>
      <w:r>
        <w:rPr>
          <w:rFonts w:hint="eastAsia" w:ascii="仿宋_GB2312" w:hAnsi="仿宋" w:eastAsia="仿宋_GB2312" w:cs="仿宋"/>
          <w:bCs/>
          <w:sz w:val="32"/>
          <w:szCs w:val="32"/>
          <w:lang w:val="en-US" w:eastAsia="zh-CN"/>
        </w:rPr>
        <w:t>项目</w:t>
      </w:r>
      <w:r>
        <w:rPr>
          <w:rFonts w:hint="eastAsia" w:ascii="仿宋_GB2312" w:hAnsi="仿宋" w:eastAsia="仿宋_GB2312" w:cs="仿宋"/>
          <w:bCs/>
          <w:sz w:val="32"/>
          <w:szCs w:val="32"/>
        </w:rPr>
        <w:t>支出</w:t>
      </w:r>
      <w:r>
        <w:rPr>
          <w:rFonts w:hint="eastAsia" w:ascii="仿宋_GB2312" w:hAnsi="仿宋" w:eastAsia="仿宋_GB2312" w:cs="仿宋"/>
          <w:bCs/>
          <w:sz w:val="32"/>
          <w:szCs w:val="32"/>
          <w:lang w:val="en-US" w:eastAsia="zh-CN"/>
        </w:rPr>
        <w:t>177.17</w:t>
      </w:r>
      <w:r>
        <w:rPr>
          <w:rFonts w:hint="eastAsia" w:ascii="仿宋_GB2312" w:hAnsi="仿宋" w:eastAsia="仿宋_GB2312" w:cs="仿宋"/>
          <w:bCs/>
          <w:sz w:val="32"/>
          <w:szCs w:val="32"/>
        </w:rPr>
        <w:t>万元，主要包括：办公费、印刷费、差旅费、公务接待费、劳务费、工会经费、公务用车运行维护费、其他商品和服务支出。</w:t>
      </w:r>
    </w:p>
    <w:p>
      <w:pPr>
        <w:keepNext w:val="0"/>
        <w:keepLines w:val="0"/>
        <w:pageBreakBefore w:val="0"/>
        <w:kinsoku/>
        <w:wordWrap/>
        <w:overflowPunct/>
        <w:topLinePunct w:val="0"/>
        <w:autoSpaceDE/>
        <w:autoSpaceDN/>
        <w:bidi w:val="0"/>
        <w:adjustRightInd/>
        <w:spacing w:line="540" w:lineRule="exact"/>
        <w:ind w:left="630"/>
        <w:textAlignment w:val="auto"/>
        <w:rPr>
          <w:rFonts w:ascii="宋体" w:hAnsi="宋体" w:cs="宋体"/>
          <w:b/>
          <w:kern w:val="0"/>
          <w:sz w:val="32"/>
          <w:szCs w:val="32"/>
        </w:rPr>
      </w:pPr>
      <w:r>
        <w:rPr>
          <w:rFonts w:hint="eastAsia" w:ascii="宋体" w:hAnsi="宋体" w:cs="宋体"/>
          <w:b/>
          <w:kern w:val="0"/>
          <w:sz w:val="32"/>
          <w:szCs w:val="32"/>
        </w:rPr>
        <w:t>七、</w:t>
      </w:r>
      <w:r>
        <w:rPr>
          <w:rFonts w:hint="eastAsia" w:ascii="宋体" w:hAnsi="宋体" w:cs="宋体"/>
          <w:b/>
          <w:sz w:val="32"/>
          <w:szCs w:val="32"/>
        </w:rPr>
        <w:t>“三公”</w:t>
      </w:r>
      <w:r>
        <w:rPr>
          <w:rFonts w:hint="eastAsia" w:ascii="宋体" w:hAnsi="宋体" w:cs="宋体"/>
          <w:b/>
          <w:kern w:val="0"/>
          <w:sz w:val="32"/>
          <w:szCs w:val="32"/>
        </w:rPr>
        <w:t>经费支出预算情况说明</w:t>
      </w:r>
    </w:p>
    <w:p>
      <w:pPr>
        <w:keepNext w:val="0"/>
        <w:keepLines w:val="0"/>
        <w:pageBreakBefore w:val="0"/>
        <w:widowControl/>
        <w:shd w:val="clear" w:color="auto" w:fill="FFFFFF"/>
        <w:kinsoku/>
        <w:wordWrap/>
        <w:overflowPunct/>
        <w:topLinePunct w:val="0"/>
        <w:autoSpaceDE/>
        <w:autoSpaceDN/>
        <w:bidi w:val="0"/>
        <w:adjustRightInd/>
        <w:spacing w:line="540" w:lineRule="exact"/>
        <w:ind w:firstLine="800"/>
        <w:textAlignment w:val="auto"/>
        <w:rPr>
          <w:sz w:val="27"/>
          <w:szCs w:val="27"/>
        </w:rPr>
      </w:pPr>
      <w:r>
        <w:rPr>
          <w:rFonts w:hint="eastAsia" w:ascii="仿宋_GB2312" w:hAnsi="宋体" w:eastAsia="仿宋_GB2312" w:cs="宋体"/>
          <w:bCs/>
          <w:kern w:val="0"/>
          <w:sz w:val="32"/>
          <w:szCs w:val="32"/>
        </w:rPr>
        <w:t>融媒体中心</w:t>
      </w:r>
      <w:r>
        <w:rPr>
          <w:rFonts w:ascii="仿宋_GB2312" w:eastAsia="仿宋_GB2312" w:cs="仿宋_GB2312"/>
          <w:kern w:val="0"/>
          <w:sz w:val="32"/>
          <w:szCs w:val="32"/>
          <w:shd w:val="clear" w:color="auto" w:fill="FFFFFF"/>
        </w:rPr>
        <w:t>202</w:t>
      </w:r>
      <w:r>
        <w:rPr>
          <w:rFonts w:hint="eastAsia" w:ascii="仿宋_GB2312" w:eastAsia="仿宋_GB2312" w:cs="仿宋_GB2312"/>
          <w:kern w:val="0"/>
          <w:sz w:val="32"/>
          <w:szCs w:val="32"/>
          <w:shd w:val="clear" w:color="auto" w:fill="FFFFFF"/>
        </w:rPr>
        <w:t>2</w:t>
      </w:r>
      <w:r>
        <w:rPr>
          <w:rFonts w:ascii="仿宋_GB2312" w:eastAsia="仿宋_GB2312" w:cs="仿宋_GB2312"/>
          <w:kern w:val="0"/>
          <w:sz w:val="32"/>
          <w:szCs w:val="32"/>
          <w:shd w:val="clear" w:color="auto" w:fill="FFFFFF"/>
        </w:rPr>
        <w:t>年 “三公”经费公共预算</w:t>
      </w:r>
      <w:r>
        <w:rPr>
          <w:rFonts w:hint="eastAsia" w:ascii="仿宋_GB2312" w:eastAsia="仿宋_GB2312" w:cs="仿宋_GB2312"/>
          <w:kern w:val="0"/>
          <w:sz w:val="32"/>
          <w:szCs w:val="32"/>
          <w:shd w:val="clear" w:color="auto" w:fill="FFFFFF"/>
        </w:rPr>
        <w:t>1.18</w:t>
      </w:r>
      <w:r>
        <w:rPr>
          <w:rFonts w:ascii="仿宋_GB2312" w:eastAsia="仿宋_GB2312" w:cs="仿宋_GB2312"/>
          <w:kern w:val="0"/>
          <w:sz w:val="32"/>
          <w:szCs w:val="32"/>
          <w:shd w:val="clear" w:color="auto" w:fill="FFFFFF"/>
        </w:rPr>
        <w:t>万元。其中：</w:t>
      </w:r>
    </w:p>
    <w:p>
      <w:pPr>
        <w:keepNext w:val="0"/>
        <w:keepLines w:val="0"/>
        <w:pageBreakBefore w:val="0"/>
        <w:widowControl/>
        <w:numPr>
          <w:numId w:val="0"/>
        </w:numPr>
        <w:shd w:val="clear" w:color="auto" w:fill="FFFFFF"/>
        <w:kinsoku/>
        <w:wordWrap/>
        <w:overflowPunct/>
        <w:topLinePunct w:val="0"/>
        <w:autoSpaceDE/>
        <w:autoSpaceDN/>
        <w:bidi w:val="0"/>
        <w:adjustRightInd/>
        <w:spacing w:line="540" w:lineRule="exact"/>
        <w:ind w:firstLine="643" w:firstLineChars="200"/>
        <w:textAlignment w:val="auto"/>
        <w:rPr>
          <w:rFonts w:hint="eastAsia" w:ascii="仿宋_GB2312" w:hAnsi="仿宋" w:eastAsia="仿宋_GB2312" w:cs="仿宋"/>
          <w:sz w:val="32"/>
          <w:szCs w:val="32"/>
          <w:highlight w:val="none"/>
        </w:rPr>
      </w:pPr>
      <w:r>
        <w:rPr>
          <w:rFonts w:hint="eastAsia" w:ascii="仿宋_GB2312" w:eastAsia="仿宋_GB2312" w:cs="仿宋_GB2312"/>
          <w:b/>
          <w:kern w:val="0"/>
          <w:sz w:val="32"/>
          <w:szCs w:val="32"/>
          <w:shd w:val="clear" w:color="auto" w:fill="FFFFFF"/>
          <w:lang w:eastAsia="zh-CN"/>
        </w:rPr>
        <w:t>（</w:t>
      </w:r>
      <w:r>
        <w:rPr>
          <w:rFonts w:hint="eastAsia" w:ascii="仿宋_GB2312" w:eastAsia="仿宋_GB2312" w:cs="仿宋_GB2312"/>
          <w:b/>
          <w:kern w:val="0"/>
          <w:sz w:val="32"/>
          <w:szCs w:val="32"/>
          <w:shd w:val="clear" w:color="auto" w:fill="FFFFFF"/>
          <w:lang w:val="en-US" w:eastAsia="zh-CN"/>
        </w:rPr>
        <w:t>一）</w:t>
      </w:r>
      <w:r>
        <w:rPr>
          <w:rFonts w:ascii="仿宋_GB2312" w:eastAsia="仿宋_GB2312" w:cs="仿宋_GB2312"/>
          <w:b/>
          <w:kern w:val="0"/>
          <w:sz w:val="32"/>
          <w:szCs w:val="32"/>
          <w:shd w:val="clear" w:color="auto" w:fill="FFFFFF"/>
        </w:rPr>
        <w:t>因公出国（境）费</w:t>
      </w:r>
      <w:r>
        <w:rPr>
          <w:rFonts w:ascii="仿宋_GB2312" w:eastAsia="仿宋_GB2312" w:cs="仿宋_GB2312"/>
          <w:kern w:val="0"/>
          <w:sz w:val="32"/>
          <w:szCs w:val="32"/>
          <w:shd w:val="clear" w:color="auto" w:fill="FFFFFF"/>
        </w:rPr>
        <w:t>预算0万元，</w:t>
      </w:r>
      <w:r>
        <w:rPr>
          <w:rFonts w:hint="eastAsia" w:ascii="仿宋_GB2312" w:hAnsi="仿宋" w:eastAsia="仿宋_GB2312" w:cs="仿宋"/>
          <w:sz w:val="32"/>
          <w:szCs w:val="32"/>
          <w:highlight w:val="none"/>
        </w:rPr>
        <w:t>预算数与 202</w:t>
      </w:r>
      <w:r>
        <w:rPr>
          <w:rFonts w:hint="eastAsia" w:ascii="仿宋_GB2312" w:hAnsi="仿宋" w:eastAsia="仿宋_GB2312" w:cs="仿宋"/>
          <w:sz w:val="32"/>
          <w:szCs w:val="32"/>
          <w:highlight w:val="none"/>
          <w:lang w:val="en-US" w:eastAsia="zh-CN"/>
        </w:rPr>
        <w:t>1</w:t>
      </w:r>
      <w:r>
        <w:rPr>
          <w:rFonts w:hint="eastAsia" w:ascii="仿宋_GB2312" w:hAnsi="仿宋" w:eastAsia="仿宋_GB2312" w:cs="仿宋"/>
          <w:sz w:val="32"/>
          <w:szCs w:val="32"/>
          <w:highlight w:val="none"/>
        </w:rPr>
        <w:t xml:space="preserve"> 年持平，主要原因是我单位202</w:t>
      </w:r>
      <w:r>
        <w:rPr>
          <w:rFonts w:hint="eastAsia" w:ascii="仿宋_GB2312" w:hAnsi="仿宋" w:eastAsia="仿宋_GB2312" w:cs="仿宋"/>
          <w:sz w:val="32"/>
          <w:szCs w:val="32"/>
          <w:highlight w:val="none"/>
          <w:lang w:val="en-US" w:eastAsia="zh-CN"/>
        </w:rPr>
        <w:t>2</w:t>
      </w:r>
      <w:r>
        <w:rPr>
          <w:rFonts w:hint="eastAsia" w:ascii="仿宋_GB2312" w:hAnsi="仿宋" w:eastAsia="仿宋_GB2312" w:cs="仿宋"/>
          <w:sz w:val="32"/>
          <w:szCs w:val="32"/>
          <w:highlight w:val="none"/>
        </w:rPr>
        <w:t>年无因公出国境任务。</w:t>
      </w:r>
    </w:p>
    <w:p>
      <w:pPr>
        <w:keepNext w:val="0"/>
        <w:keepLines w:val="0"/>
        <w:pageBreakBefore w:val="0"/>
        <w:widowControl/>
        <w:numPr>
          <w:numId w:val="0"/>
        </w:numPr>
        <w:shd w:val="clear" w:color="auto" w:fill="FFFFFF"/>
        <w:kinsoku/>
        <w:wordWrap/>
        <w:overflowPunct/>
        <w:topLinePunct w:val="0"/>
        <w:autoSpaceDE/>
        <w:autoSpaceDN/>
        <w:bidi w:val="0"/>
        <w:adjustRightInd/>
        <w:spacing w:line="540" w:lineRule="exact"/>
        <w:ind w:firstLine="643" w:firstLineChars="200"/>
        <w:textAlignment w:val="auto"/>
        <w:rPr>
          <w:rFonts w:ascii="仿宋_GB2312" w:eastAsia="仿宋_GB2312" w:cs="仿宋_GB2312"/>
          <w:kern w:val="0"/>
          <w:sz w:val="32"/>
          <w:szCs w:val="32"/>
          <w:shd w:val="clear" w:color="auto" w:fill="FFFFFF"/>
        </w:rPr>
      </w:pPr>
      <w:r>
        <w:rPr>
          <w:rFonts w:ascii="仿宋_GB2312" w:eastAsia="仿宋_GB2312" w:cs="仿宋_GB2312"/>
          <w:b/>
          <w:kern w:val="0"/>
          <w:sz w:val="32"/>
          <w:szCs w:val="32"/>
          <w:shd w:val="clear" w:color="auto" w:fill="FFFFFF"/>
        </w:rPr>
        <w:t>（二）公务用车</w:t>
      </w:r>
      <w:r>
        <w:rPr>
          <w:rFonts w:hint="eastAsia" w:ascii="仿宋_GB2312" w:eastAsia="仿宋_GB2312" w:cs="仿宋_GB2312"/>
          <w:b/>
          <w:kern w:val="0"/>
          <w:sz w:val="32"/>
          <w:szCs w:val="32"/>
          <w:shd w:val="clear" w:color="auto" w:fill="FFFFFF"/>
        </w:rPr>
        <w:t>购置及</w:t>
      </w:r>
      <w:r>
        <w:rPr>
          <w:rFonts w:ascii="仿宋_GB2312" w:eastAsia="仿宋_GB2312" w:cs="仿宋_GB2312"/>
          <w:b/>
          <w:kern w:val="0"/>
          <w:sz w:val="32"/>
          <w:szCs w:val="32"/>
          <w:shd w:val="clear" w:color="auto" w:fill="FFFFFF"/>
        </w:rPr>
        <w:t>运行费</w:t>
      </w:r>
      <w:r>
        <w:rPr>
          <w:rFonts w:hint="eastAsia" w:ascii="仿宋_GB2312" w:hAnsi="仿宋" w:eastAsia="仿宋_GB2312" w:cs="仿宋"/>
          <w:sz w:val="32"/>
          <w:szCs w:val="32"/>
          <w:highlight w:val="none"/>
        </w:rPr>
        <w:t>预算</w:t>
      </w:r>
      <w:r>
        <w:rPr>
          <w:rFonts w:hint="eastAsia" w:ascii="仿宋_GB2312" w:hAnsi="仿宋" w:eastAsia="仿宋_GB2312" w:cs="仿宋"/>
          <w:sz w:val="32"/>
          <w:szCs w:val="32"/>
          <w:highlight w:val="none"/>
          <w:lang w:val="en-US" w:eastAsia="zh-CN"/>
        </w:rPr>
        <w:t>0.84</w:t>
      </w:r>
      <w:r>
        <w:rPr>
          <w:rFonts w:hint="eastAsia" w:ascii="仿宋_GB2312" w:hAnsi="仿宋" w:eastAsia="仿宋_GB2312" w:cs="仿宋"/>
          <w:sz w:val="32"/>
          <w:szCs w:val="32"/>
          <w:highlight w:val="none"/>
        </w:rPr>
        <w:t>万元，</w:t>
      </w:r>
      <w:r>
        <w:rPr>
          <w:rFonts w:ascii="仿宋_GB2312" w:eastAsia="仿宋_GB2312" w:cs="仿宋_GB2312"/>
          <w:kern w:val="0"/>
          <w:sz w:val="32"/>
          <w:szCs w:val="32"/>
          <w:shd w:val="clear" w:color="auto" w:fill="FFFFFF"/>
        </w:rPr>
        <w:t>预算数比20</w:t>
      </w:r>
      <w:r>
        <w:rPr>
          <w:rFonts w:hint="eastAsia" w:ascii="仿宋_GB2312" w:eastAsia="仿宋_GB2312" w:cs="仿宋_GB2312"/>
          <w:kern w:val="0"/>
          <w:sz w:val="32"/>
          <w:szCs w:val="32"/>
          <w:shd w:val="clear" w:color="auto" w:fill="FFFFFF"/>
        </w:rPr>
        <w:t>2</w:t>
      </w:r>
      <w:r>
        <w:rPr>
          <w:rFonts w:hint="eastAsia" w:ascii="仿宋_GB2312" w:eastAsia="仿宋_GB2312" w:cs="仿宋_GB2312"/>
          <w:kern w:val="0"/>
          <w:sz w:val="32"/>
          <w:szCs w:val="32"/>
          <w:shd w:val="clear" w:color="auto" w:fill="FFFFFF"/>
          <w:lang w:val="en-US" w:eastAsia="zh-CN"/>
        </w:rPr>
        <w:t>1</w:t>
      </w:r>
      <w:r>
        <w:rPr>
          <w:rFonts w:ascii="仿宋_GB2312" w:eastAsia="仿宋_GB2312" w:cs="仿宋_GB2312"/>
          <w:kern w:val="0"/>
          <w:sz w:val="32"/>
          <w:szCs w:val="32"/>
          <w:shd w:val="clear" w:color="auto" w:fill="FFFFFF"/>
        </w:rPr>
        <w:t>年</w:t>
      </w:r>
      <w:r>
        <w:rPr>
          <w:rFonts w:hint="eastAsia" w:ascii="仿宋_GB2312" w:eastAsia="仿宋_GB2312" w:cs="仿宋_GB2312"/>
          <w:kern w:val="0"/>
          <w:sz w:val="32"/>
          <w:szCs w:val="32"/>
          <w:shd w:val="clear" w:color="auto" w:fill="FFFFFF"/>
          <w:lang w:eastAsia="zh-CN"/>
        </w:rPr>
        <w:t>下降</w:t>
      </w:r>
      <w:r>
        <w:rPr>
          <w:rFonts w:hint="eastAsia" w:ascii="仿宋_GB2312" w:eastAsia="仿宋_GB2312" w:cs="仿宋_GB2312"/>
          <w:kern w:val="0"/>
          <w:sz w:val="32"/>
          <w:szCs w:val="32"/>
          <w:shd w:val="clear" w:color="auto" w:fill="FFFFFF"/>
          <w:lang w:val="en-US" w:eastAsia="zh-CN"/>
        </w:rPr>
        <w:t>0.14</w:t>
      </w:r>
      <w:r>
        <w:rPr>
          <w:rFonts w:ascii="仿宋_GB2312" w:eastAsia="仿宋_GB2312" w:cs="仿宋_GB2312"/>
          <w:kern w:val="0"/>
          <w:sz w:val="32"/>
          <w:szCs w:val="32"/>
          <w:shd w:val="clear" w:color="auto" w:fill="FFFFFF"/>
        </w:rPr>
        <w:t>万元</w:t>
      </w:r>
      <w:r>
        <w:rPr>
          <w:rFonts w:hint="eastAsia" w:ascii="仿宋_GB2312" w:hAnsi="仿宋" w:eastAsia="仿宋_GB2312" w:cs="仿宋"/>
          <w:sz w:val="32"/>
          <w:szCs w:val="32"/>
          <w:highlight w:val="none"/>
        </w:rPr>
        <w:t>，占“三公”经费总额的</w:t>
      </w:r>
      <w:r>
        <w:rPr>
          <w:rFonts w:hint="eastAsia" w:ascii="仿宋_GB2312" w:hAnsi="仿宋" w:eastAsia="仿宋_GB2312" w:cs="仿宋"/>
          <w:sz w:val="32"/>
          <w:szCs w:val="32"/>
          <w:highlight w:val="none"/>
          <w:lang w:val="en-US" w:eastAsia="zh-CN"/>
        </w:rPr>
        <w:t>71.19</w:t>
      </w:r>
      <w:r>
        <w:rPr>
          <w:rFonts w:hint="eastAsia" w:ascii="仿宋_GB2312" w:hAnsi="仿宋" w:eastAsia="仿宋_GB2312" w:cs="仿宋"/>
          <w:sz w:val="32"/>
          <w:szCs w:val="32"/>
          <w:highlight w:val="none"/>
        </w:rPr>
        <w:t>%。其中，公务用车运行费</w:t>
      </w:r>
      <w:r>
        <w:rPr>
          <w:rFonts w:hint="eastAsia" w:ascii="仿宋_GB2312" w:hAnsi="仿宋" w:eastAsia="仿宋_GB2312" w:cs="仿宋"/>
          <w:sz w:val="32"/>
          <w:szCs w:val="32"/>
          <w:highlight w:val="none"/>
          <w:lang w:val="en-US" w:eastAsia="zh-CN"/>
        </w:rPr>
        <w:t>0.84</w:t>
      </w:r>
      <w:r>
        <w:rPr>
          <w:rFonts w:hint="eastAsia" w:ascii="仿宋_GB2312" w:hAnsi="仿宋" w:eastAsia="仿宋_GB2312" w:cs="仿宋"/>
          <w:sz w:val="32"/>
          <w:szCs w:val="32"/>
          <w:highlight w:val="none"/>
        </w:rPr>
        <w:t>万元，预</w:t>
      </w:r>
      <w:r>
        <w:rPr>
          <w:rFonts w:ascii="仿宋_GB2312" w:eastAsia="仿宋_GB2312" w:cs="仿宋_GB2312"/>
          <w:kern w:val="0"/>
          <w:sz w:val="32"/>
          <w:szCs w:val="32"/>
          <w:shd w:val="clear" w:color="auto" w:fill="FFFFFF"/>
        </w:rPr>
        <w:t>算数比20</w:t>
      </w:r>
      <w:r>
        <w:rPr>
          <w:rFonts w:hint="eastAsia" w:ascii="仿宋_GB2312" w:eastAsia="仿宋_GB2312" w:cs="仿宋_GB2312"/>
          <w:kern w:val="0"/>
          <w:sz w:val="32"/>
          <w:szCs w:val="32"/>
          <w:shd w:val="clear" w:color="auto" w:fill="FFFFFF"/>
        </w:rPr>
        <w:t>2</w:t>
      </w:r>
      <w:r>
        <w:rPr>
          <w:rFonts w:hint="eastAsia" w:ascii="仿宋_GB2312" w:eastAsia="仿宋_GB2312" w:cs="仿宋_GB2312"/>
          <w:kern w:val="0"/>
          <w:sz w:val="32"/>
          <w:szCs w:val="32"/>
          <w:shd w:val="clear" w:color="auto" w:fill="FFFFFF"/>
          <w:lang w:val="en-US" w:eastAsia="zh-CN"/>
        </w:rPr>
        <w:t>1</w:t>
      </w:r>
      <w:r>
        <w:rPr>
          <w:rFonts w:ascii="仿宋_GB2312" w:eastAsia="仿宋_GB2312" w:cs="仿宋_GB2312"/>
          <w:kern w:val="0"/>
          <w:sz w:val="32"/>
          <w:szCs w:val="32"/>
          <w:shd w:val="clear" w:color="auto" w:fill="FFFFFF"/>
        </w:rPr>
        <w:t>年</w:t>
      </w:r>
      <w:r>
        <w:rPr>
          <w:rFonts w:hint="eastAsia" w:ascii="仿宋_GB2312" w:eastAsia="仿宋_GB2312" w:cs="仿宋_GB2312"/>
          <w:kern w:val="0"/>
          <w:sz w:val="32"/>
          <w:szCs w:val="32"/>
          <w:shd w:val="clear" w:color="auto" w:fill="FFFFFF"/>
          <w:lang w:eastAsia="zh-CN"/>
        </w:rPr>
        <w:t>下降</w:t>
      </w:r>
      <w:r>
        <w:rPr>
          <w:rFonts w:hint="eastAsia" w:ascii="仿宋_GB2312" w:eastAsia="仿宋_GB2312" w:cs="仿宋_GB2312"/>
          <w:kern w:val="0"/>
          <w:sz w:val="32"/>
          <w:szCs w:val="32"/>
          <w:shd w:val="clear" w:color="auto" w:fill="FFFFFF"/>
          <w:lang w:val="en-US" w:eastAsia="zh-CN"/>
        </w:rPr>
        <w:t>0.14</w:t>
      </w:r>
      <w:r>
        <w:rPr>
          <w:rFonts w:ascii="仿宋_GB2312" w:eastAsia="仿宋_GB2312" w:cs="仿宋_GB2312"/>
          <w:kern w:val="0"/>
          <w:sz w:val="32"/>
          <w:szCs w:val="32"/>
          <w:shd w:val="clear" w:color="auto" w:fill="FFFFFF"/>
        </w:rPr>
        <w:t>万元</w:t>
      </w:r>
      <w:r>
        <w:rPr>
          <w:rFonts w:hint="eastAsia" w:ascii="仿宋_GB2312" w:hAnsi="仿宋" w:eastAsia="仿宋_GB2312" w:cs="仿宋"/>
          <w:sz w:val="32"/>
          <w:szCs w:val="32"/>
          <w:highlight w:val="none"/>
        </w:rPr>
        <w:t>，占“三公”经费总额的</w:t>
      </w:r>
      <w:r>
        <w:rPr>
          <w:rFonts w:hint="eastAsia" w:ascii="仿宋_GB2312" w:hAnsi="仿宋" w:eastAsia="仿宋_GB2312" w:cs="仿宋"/>
          <w:sz w:val="32"/>
          <w:szCs w:val="32"/>
          <w:highlight w:val="none"/>
          <w:lang w:val="en-US" w:eastAsia="zh-CN"/>
        </w:rPr>
        <w:t>71.19</w:t>
      </w:r>
      <w:r>
        <w:rPr>
          <w:rFonts w:hint="eastAsia" w:ascii="仿宋_GB2312" w:hAnsi="仿宋" w:eastAsia="仿宋_GB2312" w:cs="仿宋"/>
          <w:sz w:val="32"/>
          <w:szCs w:val="32"/>
          <w:highlight w:val="none"/>
        </w:rPr>
        <w:t>%。主要原因是继续贯彻落实中央八项规定精神，坚持厉行勤俭节约，进一步规范公务用车制度，严格控制公务用车范围，主要用于日常公务发生的燃料费、维修费、过路过桥费、保险费等支出；公务用车购置预算为 0万元，比上年增加0万元，占“三公”经费总额的0%，主要原因是落实公车改革政策、加强公务用车管理，严控公务用车支出。</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ascii="仿宋_GB2312" w:eastAsia="仿宋_GB2312" w:cs="仿宋_GB2312"/>
          <w:kern w:val="0"/>
          <w:sz w:val="32"/>
          <w:szCs w:val="32"/>
          <w:shd w:val="clear" w:color="auto" w:fill="FFFFFF"/>
        </w:rPr>
      </w:pPr>
      <w:r>
        <w:rPr>
          <w:rFonts w:ascii="仿宋_GB2312" w:eastAsia="仿宋_GB2312" w:cs="仿宋_GB2312"/>
          <w:b/>
          <w:kern w:val="0"/>
          <w:sz w:val="32"/>
          <w:szCs w:val="32"/>
          <w:shd w:val="clear" w:color="auto" w:fill="FFFFFF"/>
        </w:rPr>
        <w:t>（三）公务接待费</w:t>
      </w:r>
      <w:r>
        <w:rPr>
          <w:rFonts w:ascii="仿宋_GB2312" w:eastAsia="仿宋_GB2312" w:cs="仿宋_GB2312"/>
          <w:kern w:val="0"/>
          <w:sz w:val="32"/>
          <w:szCs w:val="32"/>
          <w:shd w:val="clear" w:color="auto" w:fill="FFFFFF"/>
        </w:rPr>
        <w:t>预算</w:t>
      </w:r>
      <w:r>
        <w:rPr>
          <w:rFonts w:hint="eastAsia" w:ascii="仿宋_GB2312" w:eastAsia="仿宋_GB2312" w:cs="仿宋_GB2312"/>
          <w:kern w:val="0"/>
          <w:sz w:val="32"/>
          <w:szCs w:val="32"/>
          <w:shd w:val="clear" w:color="auto" w:fill="FFFFFF"/>
        </w:rPr>
        <w:t>0.34</w:t>
      </w:r>
      <w:r>
        <w:rPr>
          <w:rFonts w:ascii="仿宋_GB2312" w:eastAsia="仿宋_GB2312" w:cs="仿宋_GB2312"/>
          <w:kern w:val="0"/>
          <w:sz w:val="32"/>
          <w:szCs w:val="32"/>
          <w:shd w:val="clear" w:color="auto" w:fill="FFFFFF"/>
        </w:rPr>
        <w:t>万元，预算数与20</w:t>
      </w:r>
      <w:r>
        <w:rPr>
          <w:rFonts w:hint="eastAsia" w:ascii="仿宋_GB2312" w:eastAsia="仿宋_GB2312" w:cs="仿宋_GB2312"/>
          <w:kern w:val="0"/>
          <w:sz w:val="32"/>
          <w:szCs w:val="32"/>
          <w:shd w:val="clear" w:color="auto" w:fill="FFFFFF"/>
        </w:rPr>
        <w:t>21</w:t>
      </w:r>
      <w:r>
        <w:rPr>
          <w:rFonts w:ascii="仿宋_GB2312" w:eastAsia="仿宋_GB2312" w:cs="仿宋_GB2312"/>
          <w:kern w:val="0"/>
          <w:sz w:val="32"/>
          <w:szCs w:val="32"/>
          <w:shd w:val="clear" w:color="auto" w:fill="FFFFFF"/>
        </w:rPr>
        <w:t>年</w:t>
      </w:r>
      <w:r>
        <w:rPr>
          <w:rFonts w:hint="eastAsia" w:ascii="仿宋_GB2312" w:eastAsia="仿宋_GB2312" w:cs="仿宋_GB2312"/>
          <w:kern w:val="0"/>
          <w:sz w:val="32"/>
          <w:szCs w:val="32"/>
          <w:shd w:val="clear" w:color="auto" w:fill="FFFFFF"/>
        </w:rPr>
        <w:t>上升0.14</w:t>
      </w:r>
      <w:r>
        <w:rPr>
          <w:rFonts w:ascii="仿宋_GB2312" w:eastAsia="仿宋_GB2312" w:cs="仿宋_GB2312"/>
          <w:kern w:val="0"/>
          <w:sz w:val="32"/>
          <w:szCs w:val="32"/>
          <w:shd w:val="clear" w:color="auto" w:fill="FFFFFF"/>
        </w:rPr>
        <w:t>万元，占“三公”经费总额的</w:t>
      </w:r>
      <w:r>
        <w:rPr>
          <w:rFonts w:hint="eastAsia" w:ascii="仿宋_GB2312" w:eastAsia="仿宋_GB2312" w:cs="仿宋_GB2312"/>
          <w:kern w:val="0"/>
          <w:sz w:val="32"/>
          <w:szCs w:val="32"/>
          <w:shd w:val="clear" w:color="auto" w:fill="FFFFFF"/>
        </w:rPr>
        <w:t>28.81</w:t>
      </w:r>
      <w:r>
        <w:rPr>
          <w:rFonts w:ascii="仿宋_GB2312" w:eastAsia="仿宋_GB2312" w:cs="仿宋_GB2312"/>
          <w:kern w:val="0"/>
          <w:sz w:val="32"/>
          <w:szCs w:val="32"/>
          <w:shd w:val="clear" w:color="auto" w:fill="FFFFFF"/>
        </w:rPr>
        <w:t>%。</w:t>
      </w:r>
      <w:r>
        <w:rPr>
          <w:rFonts w:hint="eastAsia" w:ascii="仿宋_GB2312" w:hAnsi="仿宋" w:eastAsia="仿宋_GB2312" w:cs="仿宋"/>
          <w:bCs/>
          <w:kern w:val="0"/>
          <w:sz w:val="32"/>
          <w:szCs w:val="32"/>
        </w:rPr>
        <w:t>主要原因是业务增多。</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宋体" w:hAnsi="宋体" w:cs="宋体"/>
          <w:b/>
          <w:kern w:val="0"/>
          <w:sz w:val="18"/>
          <w:szCs w:val="18"/>
        </w:rPr>
      </w:pPr>
      <w:r>
        <w:rPr>
          <w:rFonts w:hint="eastAsia" w:ascii="仿宋_GB2312" w:hAnsi="仿宋" w:eastAsia="仿宋_GB2312" w:cs="仿宋"/>
          <w:sz w:val="32"/>
          <w:szCs w:val="32"/>
        </w:rPr>
        <w:tab/>
      </w:r>
      <w:r>
        <w:rPr>
          <w:rFonts w:hint="eastAsia" w:ascii="宋体" w:hAnsi="宋体" w:cs="宋体"/>
          <w:b/>
          <w:bCs/>
          <w:sz w:val="32"/>
          <w:szCs w:val="32"/>
        </w:rPr>
        <w:t>八</w:t>
      </w:r>
      <w:r>
        <w:rPr>
          <w:rFonts w:hint="eastAsia" w:ascii="宋体" w:hAnsi="宋体" w:cs="宋体"/>
          <w:b/>
          <w:kern w:val="0"/>
          <w:sz w:val="32"/>
          <w:szCs w:val="32"/>
        </w:rPr>
        <w:t>、政府性基金预算支出预算情况说明</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ascii="宋体" w:hAnsi="宋体" w:cs="宋体"/>
          <w:b/>
          <w:bCs/>
          <w:sz w:val="32"/>
          <w:szCs w:val="32"/>
        </w:rPr>
      </w:pPr>
      <w:r>
        <w:rPr>
          <w:rFonts w:hint="eastAsia" w:ascii="仿宋_GB2312" w:hAnsi="仿宋" w:eastAsia="仿宋_GB2312" w:cs="仿宋"/>
          <w:bCs/>
          <w:sz w:val="32"/>
          <w:szCs w:val="32"/>
        </w:rPr>
        <w:t>部门20</w:t>
      </w:r>
      <w:r>
        <w:rPr>
          <w:rFonts w:ascii="仿宋_GB2312" w:hAnsi="仿宋" w:eastAsia="仿宋_GB2312" w:cs="仿宋"/>
          <w:bCs/>
          <w:sz w:val="32"/>
          <w:szCs w:val="32"/>
        </w:rPr>
        <w:t>2</w:t>
      </w:r>
      <w:r>
        <w:rPr>
          <w:rFonts w:hint="eastAsia" w:ascii="仿宋_GB2312" w:hAnsi="仿宋" w:eastAsia="仿宋_GB2312" w:cs="仿宋"/>
          <w:bCs/>
          <w:sz w:val="32"/>
          <w:szCs w:val="32"/>
        </w:rPr>
        <w:t>2年政府性基金预算支出0万元。</w:t>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ab/>
      </w:r>
      <w:r>
        <w:rPr>
          <w:rFonts w:hint="eastAsia" w:ascii="仿宋_GB2312" w:hAnsi="仿宋" w:eastAsia="仿宋_GB2312" w:cs="仿宋"/>
          <w:sz w:val="32"/>
          <w:szCs w:val="32"/>
        </w:rPr>
        <w:t xml:space="preserve">   </w:t>
      </w:r>
      <w:r>
        <w:rPr>
          <w:rFonts w:hint="eastAsia" w:ascii="宋体" w:hAnsi="宋体" w:cs="宋体"/>
          <w:b/>
          <w:bCs/>
          <w:sz w:val="32"/>
          <w:szCs w:val="32"/>
        </w:rPr>
        <w:t>九、其他重要事项情况说明</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ascii="仿宋" w:hAnsi="仿宋" w:eastAsia="仿宋" w:cs="仿宋"/>
          <w:bCs/>
          <w:kern w:val="0"/>
          <w:sz w:val="32"/>
          <w:szCs w:val="32"/>
        </w:rPr>
      </w:pPr>
      <w:r>
        <w:rPr>
          <w:rFonts w:hint="eastAsia" w:ascii="仿宋" w:hAnsi="仿宋" w:eastAsia="仿宋" w:cs="仿宋"/>
          <w:b/>
          <w:kern w:val="0"/>
          <w:sz w:val="32"/>
          <w:szCs w:val="32"/>
        </w:rPr>
        <w:t>（一）机关运行经费预算</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融媒体中心2022年，机关运行经费支出预算3.63万元，主要用于办公及印刷费、邮电费、差旅费、会议费等运行维护费、公务用车运行维护费以及其他费用。</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ascii="仿宋" w:hAnsi="仿宋" w:eastAsia="仿宋" w:cs="仿宋"/>
          <w:b/>
          <w:kern w:val="0"/>
          <w:sz w:val="32"/>
          <w:szCs w:val="32"/>
        </w:rPr>
      </w:pPr>
      <w:r>
        <w:rPr>
          <w:rFonts w:hint="eastAsia" w:ascii="仿宋" w:hAnsi="仿宋" w:eastAsia="仿宋" w:cs="仿宋"/>
          <w:b/>
          <w:kern w:val="0"/>
          <w:sz w:val="32"/>
          <w:szCs w:val="32"/>
        </w:rPr>
        <w:t>（二）政府采购支出情况</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ascii="仿宋_GB2312" w:hAnsi="仿宋" w:eastAsia="仿宋_GB2312" w:cs="仿宋"/>
          <w:bCs/>
          <w:kern w:val="0"/>
          <w:sz w:val="32"/>
          <w:szCs w:val="32"/>
        </w:rPr>
      </w:pPr>
      <w:r>
        <w:rPr>
          <w:rFonts w:hint="eastAsia" w:ascii="仿宋_GB2312" w:hAnsi="仿宋" w:eastAsia="仿宋_GB2312" w:cs="仿宋"/>
          <w:bCs/>
          <w:kern w:val="0"/>
          <w:sz w:val="32"/>
          <w:szCs w:val="32"/>
        </w:rPr>
        <w:t>2022</w:t>
      </w:r>
      <w:r>
        <w:rPr>
          <w:rFonts w:ascii="仿宋_GB2312" w:hAnsi="仿宋" w:eastAsia="仿宋_GB2312" w:cs="仿宋"/>
          <w:bCs/>
          <w:kern w:val="0"/>
          <w:sz w:val="32"/>
          <w:szCs w:val="32"/>
        </w:rPr>
        <w:t>年</w:t>
      </w:r>
      <w:r>
        <w:rPr>
          <w:rFonts w:hint="eastAsia" w:ascii="仿宋_GB2312" w:hAnsi="仿宋" w:eastAsia="仿宋_GB2312" w:cs="仿宋"/>
          <w:bCs/>
          <w:kern w:val="0"/>
          <w:sz w:val="32"/>
          <w:szCs w:val="32"/>
        </w:rPr>
        <w:t>，</w:t>
      </w:r>
      <w:r>
        <w:rPr>
          <w:rFonts w:ascii="仿宋_GB2312" w:hAnsi="仿宋" w:eastAsia="仿宋_GB2312" w:cs="仿宋"/>
          <w:bCs/>
          <w:kern w:val="0"/>
          <w:sz w:val="32"/>
          <w:szCs w:val="32"/>
        </w:rPr>
        <w:t>政府采购预算</w:t>
      </w:r>
      <w:r>
        <w:rPr>
          <w:rFonts w:hint="eastAsia" w:ascii="仿宋_GB2312" w:hAnsi="仿宋" w:eastAsia="仿宋_GB2312" w:cs="仿宋"/>
          <w:bCs/>
          <w:kern w:val="0"/>
          <w:sz w:val="32"/>
          <w:szCs w:val="32"/>
        </w:rPr>
        <w:t>安排11.67万元，其中，政府采购货物预算11.67万元、政府采购工程预算0万元、政府采购服务预算0万元。主要用于办公货物。预算数与上年相比有所减少。</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ascii="仿宋" w:hAnsi="仿宋" w:eastAsia="仿宋" w:cs="仿宋"/>
          <w:b/>
          <w:kern w:val="0"/>
          <w:sz w:val="32"/>
          <w:szCs w:val="32"/>
        </w:rPr>
      </w:pPr>
      <w:r>
        <w:rPr>
          <w:rFonts w:hint="eastAsia" w:ascii="仿宋" w:hAnsi="仿宋" w:eastAsia="仿宋" w:cs="仿宋"/>
          <w:b/>
          <w:kern w:val="0"/>
          <w:sz w:val="32"/>
          <w:szCs w:val="32"/>
        </w:rPr>
        <w:t>（三）绩效目标设置情况</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ascii="仿宋_GB2312" w:hAnsi="仿宋" w:eastAsia="仿宋_GB2312" w:cs="仿宋"/>
          <w:bCs/>
          <w:sz w:val="32"/>
          <w:szCs w:val="32"/>
        </w:rPr>
      </w:pPr>
      <w:r>
        <w:rPr>
          <w:rFonts w:hint="eastAsia" w:ascii="仿宋_GB2312" w:hAnsi="仿宋" w:eastAsia="仿宋_GB2312" w:cs="仿宋"/>
          <w:bCs/>
          <w:sz w:val="32"/>
          <w:szCs w:val="32"/>
        </w:rPr>
        <w:t>我单位对20</w:t>
      </w:r>
      <w:r>
        <w:rPr>
          <w:rFonts w:ascii="仿宋_GB2312" w:hAnsi="仿宋" w:eastAsia="仿宋_GB2312" w:cs="仿宋"/>
          <w:bCs/>
          <w:sz w:val="32"/>
          <w:szCs w:val="32"/>
        </w:rPr>
        <w:t>2</w:t>
      </w:r>
      <w:r>
        <w:rPr>
          <w:rFonts w:hint="eastAsia" w:ascii="仿宋_GB2312" w:hAnsi="仿宋" w:eastAsia="仿宋_GB2312" w:cs="仿宋"/>
          <w:bCs/>
          <w:sz w:val="32"/>
          <w:szCs w:val="32"/>
        </w:rPr>
        <w:t>2年预算项目均按要求编制了绩效目标，从项目产出、项目效益、满意度等方面设置了绩效目标，综合反映项目预期完成的数量、实效、质量，预期达到的社会经济效益、可持续影响以及服务对象满意度等情况。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ascii="仿宋" w:hAnsi="仿宋" w:eastAsia="仿宋" w:cs="仿宋"/>
          <w:b/>
          <w:kern w:val="0"/>
          <w:sz w:val="32"/>
          <w:szCs w:val="32"/>
        </w:rPr>
      </w:pPr>
      <w:r>
        <w:rPr>
          <w:rFonts w:hint="eastAsia" w:ascii="仿宋" w:hAnsi="仿宋" w:eastAsia="仿宋" w:cs="仿宋"/>
          <w:b/>
          <w:kern w:val="0"/>
          <w:sz w:val="32"/>
          <w:szCs w:val="32"/>
        </w:rPr>
        <w:t>（四）国有资产占用情况</w:t>
      </w:r>
    </w:p>
    <w:p>
      <w:pPr>
        <w:keepNext w:val="0"/>
        <w:keepLines w:val="0"/>
        <w:pageBreakBefore w:val="0"/>
        <w:kinsoku/>
        <w:wordWrap/>
        <w:overflowPunct/>
        <w:topLinePunct w:val="0"/>
        <w:autoSpaceDE/>
        <w:autoSpaceDN/>
        <w:bidi w:val="0"/>
        <w:adjustRightInd/>
        <w:snapToGrid w:val="0"/>
        <w:spacing w:line="540" w:lineRule="exact"/>
        <w:ind w:firstLine="960" w:firstLineChars="300"/>
        <w:textAlignment w:val="auto"/>
        <w:rPr>
          <w:rFonts w:ascii="仿宋_GB2312" w:hAnsi="仿宋" w:eastAsia="仿宋_GB2312" w:cs="仿宋"/>
          <w:bCs/>
          <w:sz w:val="32"/>
          <w:szCs w:val="32"/>
        </w:rPr>
      </w:pPr>
      <w:r>
        <w:rPr>
          <w:rFonts w:hint="eastAsia" w:ascii="仿宋_GB2312" w:hAnsi="仿宋" w:eastAsia="仿宋_GB2312" w:cs="仿宋"/>
          <w:bCs/>
          <w:sz w:val="32"/>
          <w:szCs w:val="32"/>
        </w:rPr>
        <w:t>融媒体中心2021年期末，我单位共有车辆1辆，其中：一般公务用车1辆。</w:t>
      </w:r>
    </w:p>
    <w:p>
      <w:pPr>
        <w:keepNext w:val="0"/>
        <w:keepLines w:val="0"/>
        <w:pageBreakBefore w:val="0"/>
        <w:kinsoku/>
        <w:wordWrap/>
        <w:overflowPunct/>
        <w:topLinePunct w:val="0"/>
        <w:autoSpaceDE/>
        <w:autoSpaceDN/>
        <w:bidi w:val="0"/>
        <w:adjustRightInd/>
        <w:spacing w:line="540" w:lineRule="exact"/>
        <w:ind w:firstLine="643" w:firstLineChars="200"/>
        <w:textAlignment w:val="auto"/>
        <w:rPr>
          <w:rFonts w:ascii="仿宋" w:hAnsi="仿宋" w:eastAsia="仿宋" w:cs="仿宋"/>
          <w:b/>
          <w:kern w:val="0"/>
          <w:sz w:val="32"/>
          <w:szCs w:val="32"/>
        </w:rPr>
      </w:pPr>
      <w:r>
        <w:rPr>
          <w:rFonts w:hint="eastAsia" w:ascii="仿宋" w:hAnsi="仿宋" w:eastAsia="仿宋" w:cs="仿宋"/>
          <w:b/>
          <w:kern w:val="0"/>
          <w:sz w:val="32"/>
          <w:szCs w:val="32"/>
        </w:rPr>
        <w:t>（五）专项转移支付项目情况</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宋体" w:hAnsi="宋体" w:cs="宋体"/>
          <w:b/>
          <w:bCs/>
          <w:kern w:val="0"/>
          <w:sz w:val="32"/>
          <w:szCs w:val="32"/>
        </w:rPr>
      </w:pPr>
      <w:r>
        <w:rPr>
          <w:rFonts w:hint="eastAsia" w:ascii="仿宋_GB2312" w:hAnsi="宋体" w:eastAsia="仿宋_GB2312" w:cs="宋体"/>
          <w:bCs/>
          <w:kern w:val="0"/>
          <w:sz w:val="32"/>
          <w:szCs w:val="32"/>
        </w:rPr>
        <w:t>我单位2022年没有专项转移支付项目。</w:t>
      </w:r>
    </w:p>
    <w:p>
      <w:pPr>
        <w:keepNext w:val="0"/>
        <w:keepLines w:val="0"/>
        <w:pageBreakBefore w:val="0"/>
        <w:kinsoku/>
        <w:wordWrap/>
        <w:overflowPunct/>
        <w:topLinePunct w:val="0"/>
        <w:autoSpaceDE/>
        <w:autoSpaceDN/>
        <w:bidi w:val="0"/>
        <w:adjustRightInd/>
        <w:spacing w:line="540" w:lineRule="exact"/>
        <w:jc w:val="center"/>
        <w:textAlignment w:val="auto"/>
        <w:rPr>
          <w:rFonts w:ascii="宋体" w:hAnsi="宋体" w:cs="宋体"/>
          <w:b/>
          <w:bCs/>
          <w:kern w:val="0"/>
          <w:sz w:val="32"/>
          <w:szCs w:val="32"/>
        </w:rPr>
      </w:pPr>
    </w:p>
    <w:p>
      <w:pPr>
        <w:keepNext w:val="0"/>
        <w:keepLines w:val="0"/>
        <w:pageBreakBefore w:val="0"/>
        <w:kinsoku/>
        <w:wordWrap/>
        <w:overflowPunct/>
        <w:topLinePunct w:val="0"/>
        <w:autoSpaceDE/>
        <w:autoSpaceDN/>
        <w:bidi w:val="0"/>
        <w:adjustRightInd/>
        <w:spacing w:line="540" w:lineRule="exact"/>
        <w:jc w:val="center"/>
        <w:textAlignment w:val="auto"/>
        <w:rPr>
          <w:rFonts w:ascii="宋体" w:hAnsi="宋体" w:cs="宋体"/>
          <w:b/>
          <w:bCs/>
          <w:kern w:val="0"/>
          <w:sz w:val="32"/>
          <w:szCs w:val="32"/>
        </w:rPr>
      </w:pPr>
      <w:r>
        <w:rPr>
          <w:rFonts w:hint="eastAsia" w:ascii="宋体" w:hAnsi="宋体" w:cs="宋体"/>
          <w:b/>
          <w:bCs/>
          <w:kern w:val="0"/>
          <w:sz w:val="32"/>
          <w:szCs w:val="32"/>
        </w:rPr>
        <w:t>第三部分</w:t>
      </w:r>
    </w:p>
    <w:p>
      <w:pPr>
        <w:keepNext w:val="0"/>
        <w:keepLines w:val="0"/>
        <w:pageBreakBefore w:val="0"/>
        <w:kinsoku/>
        <w:wordWrap/>
        <w:overflowPunct/>
        <w:topLinePunct w:val="0"/>
        <w:autoSpaceDE/>
        <w:autoSpaceDN/>
        <w:bidi w:val="0"/>
        <w:adjustRightInd/>
        <w:spacing w:line="540" w:lineRule="exact"/>
        <w:jc w:val="center"/>
        <w:textAlignment w:val="auto"/>
        <w:rPr>
          <w:rFonts w:hint="eastAsia" w:ascii="宋体" w:hAnsi="宋体" w:cs="宋体"/>
          <w:b/>
          <w:bCs/>
          <w:kern w:val="0"/>
          <w:sz w:val="32"/>
          <w:szCs w:val="32"/>
        </w:rPr>
      </w:pPr>
      <w:r>
        <w:rPr>
          <w:rFonts w:hint="eastAsia" w:ascii="宋体" w:hAnsi="宋体" w:cs="宋体"/>
          <w:b/>
          <w:bCs/>
          <w:kern w:val="0"/>
          <w:sz w:val="32"/>
          <w:szCs w:val="32"/>
        </w:rPr>
        <w:t>名词解释</w:t>
      </w:r>
    </w:p>
    <w:p>
      <w:pPr>
        <w:keepNext w:val="0"/>
        <w:keepLines w:val="0"/>
        <w:pageBreakBefore w:val="0"/>
        <w:kinsoku/>
        <w:wordWrap/>
        <w:overflowPunct/>
        <w:topLinePunct w:val="0"/>
        <w:autoSpaceDE/>
        <w:autoSpaceDN/>
        <w:bidi w:val="0"/>
        <w:adjustRightInd/>
        <w:spacing w:line="540" w:lineRule="exact"/>
        <w:jc w:val="center"/>
        <w:textAlignment w:val="auto"/>
        <w:rPr>
          <w:rFonts w:hint="eastAsia" w:ascii="宋体" w:hAnsi="宋体" w:cs="宋体"/>
          <w:b/>
          <w:bCs/>
          <w:kern w:val="0"/>
          <w:sz w:val="32"/>
          <w:szCs w:val="32"/>
        </w:rPr>
      </w:pPr>
      <w:bookmarkStart w:id="0" w:name="_GoBack"/>
      <w:bookmarkEnd w:id="0"/>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一、财政拨款收入：是指省级财政当年拨付的资金。</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二、事业收入：是指事业单位开展专业活动及辅助活动所取得的收入。</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三、其他收入：是指部门取得的除“财政拨款”、“事业收入”、“事业单位经营收入”等以外的收入。</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五、基本支出：是指为保障机构正常运转、完成日常工作任务所必需的开支，其内容包括人员经费和日常公用经费两部分。</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六、项目支出：是指在基本支出之外，为完成特定的行政工作任务或事业发展目标所发生的支出。</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cs="宋体"/>
          <w:bCs/>
          <w:kern w:val="0"/>
          <w:sz w:val="32"/>
          <w:szCs w:val="32"/>
        </w:rPr>
      </w:pPr>
      <w:r>
        <w:rPr>
          <w:rFonts w:hint="eastAsia" w:ascii="仿宋_GB2312" w:hAnsi="宋体" w:eastAsia="仿宋_GB2312" w:cs="宋体"/>
          <w:bCs/>
          <w:kern w:val="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pacing w:line="540" w:lineRule="exact"/>
        <w:ind w:firstLine="3084" w:firstLineChars="1097"/>
        <w:textAlignment w:val="auto"/>
        <w:rPr>
          <w:rFonts w:ascii="宋体" w:hAnsi="宋体" w:cs="宋体"/>
          <w:b/>
          <w:bCs/>
          <w:kern w:val="0"/>
          <w:sz w:val="28"/>
          <w:szCs w:val="28"/>
        </w:rPr>
      </w:pPr>
    </w:p>
    <w:p>
      <w:pPr>
        <w:keepNext w:val="0"/>
        <w:keepLines w:val="0"/>
        <w:pageBreakBefore w:val="0"/>
        <w:kinsoku/>
        <w:wordWrap/>
        <w:overflowPunct/>
        <w:topLinePunct w:val="0"/>
        <w:autoSpaceDE/>
        <w:autoSpaceDN/>
        <w:bidi w:val="0"/>
        <w:adjustRightInd/>
        <w:spacing w:line="540" w:lineRule="exact"/>
        <w:textAlignment w:val="auto"/>
        <w:rPr>
          <w:rFonts w:ascii="仿宋_GB2312" w:hAnsi="宋体" w:eastAsia="仿宋_GB2312" w:cs="宋体"/>
          <w:bCs/>
          <w:kern w:val="0"/>
          <w:sz w:val="32"/>
          <w:szCs w:val="32"/>
        </w:rPr>
      </w:pPr>
    </w:p>
    <w:p>
      <w:pPr>
        <w:keepNext w:val="0"/>
        <w:keepLines w:val="0"/>
        <w:pageBreakBefore w:val="0"/>
        <w:kinsoku/>
        <w:wordWrap/>
        <w:overflowPunct/>
        <w:topLinePunct w:val="0"/>
        <w:autoSpaceDE/>
        <w:autoSpaceDN/>
        <w:bidi w:val="0"/>
        <w:adjustRightInd/>
        <w:spacing w:line="540" w:lineRule="exact"/>
        <w:textAlignment w:val="auto"/>
        <w:rPr>
          <w:rFonts w:ascii="宋体" w:hAnsi="宋体" w:cs="宋体"/>
          <w:b/>
          <w:kern w:val="0"/>
          <w:sz w:val="32"/>
          <w:szCs w:val="32"/>
        </w:rPr>
      </w:pPr>
      <w:r>
        <w:rPr>
          <w:rFonts w:hint="eastAsia" w:ascii="宋体" w:hAnsi="宋体" w:cs="宋体"/>
          <w:b/>
          <w:kern w:val="0"/>
          <w:sz w:val="32"/>
          <w:szCs w:val="32"/>
        </w:rPr>
        <w:t>附件：</w:t>
      </w:r>
    </w:p>
    <w:p>
      <w:pPr>
        <w:keepNext w:val="0"/>
        <w:keepLines w:val="0"/>
        <w:pageBreakBefore w:val="0"/>
        <w:kinsoku/>
        <w:wordWrap/>
        <w:overflowPunct/>
        <w:topLinePunct w:val="0"/>
        <w:autoSpaceDE/>
        <w:autoSpaceDN/>
        <w:bidi w:val="0"/>
        <w:adjustRightInd/>
        <w:spacing w:line="540" w:lineRule="exact"/>
        <w:ind w:firstLine="1285" w:firstLineChars="400"/>
        <w:textAlignment w:val="auto"/>
        <w:rPr>
          <w:rFonts w:ascii="仿宋_GB2312" w:hAnsi="宋体" w:eastAsia="仿宋_GB2312" w:cs="宋体"/>
          <w:bCs/>
          <w:kern w:val="0"/>
          <w:sz w:val="32"/>
          <w:szCs w:val="32"/>
        </w:rPr>
      </w:pPr>
      <w:r>
        <w:rPr>
          <w:rFonts w:hint="eastAsia" w:ascii="宋体" w:hAnsi="宋体" w:cs="宋体"/>
          <w:b/>
          <w:bCs/>
          <w:kern w:val="0"/>
          <w:sz w:val="32"/>
          <w:szCs w:val="32"/>
        </w:rPr>
        <w:t>平顶山市卫东区融媒体中心</w:t>
      </w:r>
      <w:r>
        <w:rPr>
          <w:rFonts w:hint="eastAsia" w:ascii="宋体" w:hAnsi="宋体" w:cs="宋体"/>
          <w:b/>
          <w:kern w:val="0"/>
          <w:sz w:val="32"/>
          <w:szCs w:val="32"/>
        </w:rPr>
        <w:t>2022年部门预算表</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ascii="仿宋_GB2312" w:hAnsi="宋体" w:eastAsia="仿宋_GB2312" w:cs="宋体"/>
          <w:bCs/>
          <w:kern w:val="0"/>
          <w:sz w:val="32"/>
          <w:szCs w:val="32"/>
        </w:rPr>
      </w:pPr>
    </w:p>
    <w:p>
      <w:pPr>
        <w:keepNext w:val="0"/>
        <w:keepLines w:val="0"/>
        <w:pageBreakBefore w:val="0"/>
        <w:kinsoku/>
        <w:wordWrap/>
        <w:overflowPunct/>
        <w:topLinePunct w:val="0"/>
        <w:autoSpaceDE/>
        <w:autoSpaceDN/>
        <w:bidi w:val="0"/>
        <w:adjustRightInd/>
        <w:spacing w:line="540" w:lineRule="exact"/>
        <w:ind w:firstLine="540" w:firstLineChars="200"/>
        <w:textAlignment w:val="auto"/>
        <w:rPr>
          <w:rFonts w:ascii="宋体" w:hAnsi="宋体" w:cs="宋体"/>
          <w:bCs/>
          <w:kern w:val="0"/>
          <w:sz w:val="27"/>
          <w:szCs w:val="27"/>
        </w:rPr>
      </w:pPr>
    </w:p>
    <w:p>
      <w:pPr>
        <w:keepNext w:val="0"/>
        <w:keepLines w:val="0"/>
        <w:pageBreakBefore w:val="0"/>
        <w:kinsoku/>
        <w:wordWrap/>
        <w:overflowPunct/>
        <w:topLinePunct w:val="0"/>
        <w:autoSpaceDE/>
        <w:autoSpaceDN/>
        <w:bidi w:val="0"/>
        <w:adjustRightInd/>
        <w:spacing w:line="540" w:lineRule="exact"/>
        <w:ind w:firstLine="540" w:firstLineChars="200"/>
        <w:textAlignment w:val="auto"/>
        <w:rPr>
          <w:rFonts w:ascii="宋体" w:hAnsi="宋体" w:cs="宋体"/>
          <w:bCs/>
          <w:kern w:val="0"/>
          <w:sz w:val="27"/>
          <w:szCs w:val="27"/>
        </w:rPr>
      </w:pPr>
    </w:p>
    <w:sectPr>
      <w:headerReference r:id="rId3" w:type="default"/>
      <w:footerReference r:id="rId4" w:type="default"/>
      <w:pgSz w:w="11906" w:h="16838"/>
      <w:pgMar w:top="2098" w:right="1800"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8E963"/>
    <w:multiLevelType w:val="singleLevel"/>
    <w:tmpl w:val="2F68E96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DC02674"/>
    <w:rsid w:val="00002C16"/>
    <w:rsid w:val="00007FA1"/>
    <w:rsid w:val="000144B5"/>
    <w:rsid w:val="0002093B"/>
    <w:rsid w:val="0004300F"/>
    <w:rsid w:val="00091A2A"/>
    <w:rsid w:val="00130DAE"/>
    <w:rsid w:val="001618B2"/>
    <w:rsid w:val="0016311D"/>
    <w:rsid w:val="001759D4"/>
    <w:rsid w:val="00175AF7"/>
    <w:rsid w:val="00191CFD"/>
    <w:rsid w:val="001956F2"/>
    <w:rsid w:val="001C66EB"/>
    <w:rsid w:val="001D4AF0"/>
    <w:rsid w:val="001E3C01"/>
    <w:rsid w:val="00200717"/>
    <w:rsid w:val="00240D2B"/>
    <w:rsid w:val="00297CB8"/>
    <w:rsid w:val="002B5339"/>
    <w:rsid w:val="002C1273"/>
    <w:rsid w:val="002C4DCB"/>
    <w:rsid w:val="002F0A78"/>
    <w:rsid w:val="00330CFB"/>
    <w:rsid w:val="003E1CFA"/>
    <w:rsid w:val="003E681C"/>
    <w:rsid w:val="003F4C4E"/>
    <w:rsid w:val="00414BA0"/>
    <w:rsid w:val="00415B29"/>
    <w:rsid w:val="00425712"/>
    <w:rsid w:val="00470B72"/>
    <w:rsid w:val="0048727A"/>
    <w:rsid w:val="004A39B4"/>
    <w:rsid w:val="004A525D"/>
    <w:rsid w:val="004D7F83"/>
    <w:rsid w:val="004E0766"/>
    <w:rsid w:val="005121D3"/>
    <w:rsid w:val="00512DBF"/>
    <w:rsid w:val="00515B72"/>
    <w:rsid w:val="0052057A"/>
    <w:rsid w:val="005262C6"/>
    <w:rsid w:val="00533309"/>
    <w:rsid w:val="00572630"/>
    <w:rsid w:val="005838C8"/>
    <w:rsid w:val="005D7ADB"/>
    <w:rsid w:val="005F2EC8"/>
    <w:rsid w:val="005F4735"/>
    <w:rsid w:val="00631BE1"/>
    <w:rsid w:val="00647A4A"/>
    <w:rsid w:val="00665CD1"/>
    <w:rsid w:val="006B0C4F"/>
    <w:rsid w:val="006F5713"/>
    <w:rsid w:val="00724CBD"/>
    <w:rsid w:val="0073467A"/>
    <w:rsid w:val="00745EA0"/>
    <w:rsid w:val="00767EB9"/>
    <w:rsid w:val="007A0D26"/>
    <w:rsid w:val="007A468C"/>
    <w:rsid w:val="007C667E"/>
    <w:rsid w:val="007E294A"/>
    <w:rsid w:val="00817776"/>
    <w:rsid w:val="00821A30"/>
    <w:rsid w:val="0084005D"/>
    <w:rsid w:val="00855B6D"/>
    <w:rsid w:val="00857886"/>
    <w:rsid w:val="008657AC"/>
    <w:rsid w:val="008879C1"/>
    <w:rsid w:val="008A71A6"/>
    <w:rsid w:val="008C3042"/>
    <w:rsid w:val="008F1AB8"/>
    <w:rsid w:val="00923E45"/>
    <w:rsid w:val="00926E2F"/>
    <w:rsid w:val="009A2F8A"/>
    <w:rsid w:val="009C2222"/>
    <w:rsid w:val="009D4D99"/>
    <w:rsid w:val="00A32184"/>
    <w:rsid w:val="00A46E8C"/>
    <w:rsid w:val="00A47C83"/>
    <w:rsid w:val="00A531CF"/>
    <w:rsid w:val="00A55456"/>
    <w:rsid w:val="00A72A67"/>
    <w:rsid w:val="00AA5823"/>
    <w:rsid w:val="00AA7F18"/>
    <w:rsid w:val="00AE5134"/>
    <w:rsid w:val="00AF67CB"/>
    <w:rsid w:val="00B041AB"/>
    <w:rsid w:val="00B07C2A"/>
    <w:rsid w:val="00B169AC"/>
    <w:rsid w:val="00B72591"/>
    <w:rsid w:val="00B74663"/>
    <w:rsid w:val="00B94028"/>
    <w:rsid w:val="00BA143A"/>
    <w:rsid w:val="00BA2430"/>
    <w:rsid w:val="00BD3E57"/>
    <w:rsid w:val="00BF6098"/>
    <w:rsid w:val="00C27140"/>
    <w:rsid w:val="00C30A53"/>
    <w:rsid w:val="00C665AE"/>
    <w:rsid w:val="00C74E90"/>
    <w:rsid w:val="00C82AC4"/>
    <w:rsid w:val="00C85E6F"/>
    <w:rsid w:val="00C93D65"/>
    <w:rsid w:val="00CA0338"/>
    <w:rsid w:val="00CE6E91"/>
    <w:rsid w:val="00D37A7C"/>
    <w:rsid w:val="00D54066"/>
    <w:rsid w:val="00D73911"/>
    <w:rsid w:val="00DA3282"/>
    <w:rsid w:val="00DC5A8D"/>
    <w:rsid w:val="00DE341E"/>
    <w:rsid w:val="00DF4E0A"/>
    <w:rsid w:val="00E15C9D"/>
    <w:rsid w:val="00E2292F"/>
    <w:rsid w:val="00E63FE3"/>
    <w:rsid w:val="00F00F54"/>
    <w:rsid w:val="00F077B0"/>
    <w:rsid w:val="00F07FC7"/>
    <w:rsid w:val="00F21F1C"/>
    <w:rsid w:val="00F223C8"/>
    <w:rsid w:val="00F47F66"/>
    <w:rsid w:val="00F51697"/>
    <w:rsid w:val="00F92333"/>
    <w:rsid w:val="00FE6ABF"/>
    <w:rsid w:val="00FF4B28"/>
    <w:rsid w:val="02D811EB"/>
    <w:rsid w:val="03065C17"/>
    <w:rsid w:val="03C055EC"/>
    <w:rsid w:val="049B6098"/>
    <w:rsid w:val="05B60FAC"/>
    <w:rsid w:val="063D244B"/>
    <w:rsid w:val="07D10309"/>
    <w:rsid w:val="08E43594"/>
    <w:rsid w:val="09E91CF1"/>
    <w:rsid w:val="0BFC76A4"/>
    <w:rsid w:val="0C2D6F2A"/>
    <w:rsid w:val="0C5C4CA1"/>
    <w:rsid w:val="0D393BDA"/>
    <w:rsid w:val="0DD06546"/>
    <w:rsid w:val="0E773BE7"/>
    <w:rsid w:val="0FB21A15"/>
    <w:rsid w:val="0FF14F07"/>
    <w:rsid w:val="11DE6036"/>
    <w:rsid w:val="12406569"/>
    <w:rsid w:val="127C169E"/>
    <w:rsid w:val="12C37E1A"/>
    <w:rsid w:val="134252B9"/>
    <w:rsid w:val="13A9392F"/>
    <w:rsid w:val="13D80069"/>
    <w:rsid w:val="14C66129"/>
    <w:rsid w:val="14CD0EDD"/>
    <w:rsid w:val="14D214EA"/>
    <w:rsid w:val="153B298F"/>
    <w:rsid w:val="1595058F"/>
    <w:rsid w:val="159F27CD"/>
    <w:rsid w:val="1613368C"/>
    <w:rsid w:val="170F6FF8"/>
    <w:rsid w:val="173128D1"/>
    <w:rsid w:val="1740044F"/>
    <w:rsid w:val="19921017"/>
    <w:rsid w:val="19DD683D"/>
    <w:rsid w:val="1A317330"/>
    <w:rsid w:val="1BB24809"/>
    <w:rsid w:val="1C110BD6"/>
    <w:rsid w:val="1DFF1758"/>
    <w:rsid w:val="1E693362"/>
    <w:rsid w:val="1EF739A3"/>
    <w:rsid w:val="20257B4B"/>
    <w:rsid w:val="20A32FB1"/>
    <w:rsid w:val="21C42F51"/>
    <w:rsid w:val="226C7C2E"/>
    <w:rsid w:val="235D5134"/>
    <w:rsid w:val="23610171"/>
    <w:rsid w:val="23A977D2"/>
    <w:rsid w:val="240850FB"/>
    <w:rsid w:val="2461519D"/>
    <w:rsid w:val="24C2363F"/>
    <w:rsid w:val="24CC2486"/>
    <w:rsid w:val="27F764A1"/>
    <w:rsid w:val="282E547D"/>
    <w:rsid w:val="28B9623C"/>
    <w:rsid w:val="292415FB"/>
    <w:rsid w:val="29A952E1"/>
    <w:rsid w:val="2A056213"/>
    <w:rsid w:val="2B3A1590"/>
    <w:rsid w:val="2B617512"/>
    <w:rsid w:val="2BFB336E"/>
    <w:rsid w:val="2DD02F73"/>
    <w:rsid w:val="2E864C85"/>
    <w:rsid w:val="2E957C48"/>
    <w:rsid w:val="2EAF7673"/>
    <w:rsid w:val="2F2853A3"/>
    <w:rsid w:val="2FA12BEC"/>
    <w:rsid w:val="2FCD0FAC"/>
    <w:rsid w:val="30D451A9"/>
    <w:rsid w:val="32556946"/>
    <w:rsid w:val="330A2F3E"/>
    <w:rsid w:val="33685098"/>
    <w:rsid w:val="3396579E"/>
    <w:rsid w:val="33D343E2"/>
    <w:rsid w:val="343C119F"/>
    <w:rsid w:val="34504F3F"/>
    <w:rsid w:val="34C14288"/>
    <w:rsid w:val="379F00A4"/>
    <w:rsid w:val="384F5651"/>
    <w:rsid w:val="386A20C1"/>
    <w:rsid w:val="387470AE"/>
    <w:rsid w:val="39FD0D0E"/>
    <w:rsid w:val="39FF5553"/>
    <w:rsid w:val="3A2B58D7"/>
    <w:rsid w:val="3B935DC6"/>
    <w:rsid w:val="3C72379F"/>
    <w:rsid w:val="3DC02674"/>
    <w:rsid w:val="3E2F31EF"/>
    <w:rsid w:val="3E402DAF"/>
    <w:rsid w:val="3E480264"/>
    <w:rsid w:val="3F5362FF"/>
    <w:rsid w:val="3F944507"/>
    <w:rsid w:val="40280970"/>
    <w:rsid w:val="407E4F6B"/>
    <w:rsid w:val="417D27FA"/>
    <w:rsid w:val="42D5227F"/>
    <w:rsid w:val="43AE2736"/>
    <w:rsid w:val="43CB5DD1"/>
    <w:rsid w:val="440A0EA9"/>
    <w:rsid w:val="452310E9"/>
    <w:rsid w:val="4585507F"/>
    <w:rsid w:val="45AF73C5"/>
    <w:rsid w:val="464706EB"/>
    <w:rsid w:val="49330531"/>
    <w:rsid w:val="4976178A"/>
    <w:rsid w:val="49D26CA2"/>
    <w:rsid w:val="4A932A7A"/>
    <w:rsid w:val="4BA0321E"/>
    <w:rsid w:val="4BD26EC7"/>
    <w:rsid w:val="4C25265E"/>
    <w:rsid w:val="4CFD631B"/>
    <w:rsid w:val="4CFE6D86"/>
    <w:rsid w:val="4E380BCF"/>
    <w:rsid w:val="51A365BC"/>
    <w:rsid w:val="51D6034B"/>
    <w:rsid w:val="54B45691"/>
    <w:rsid w:val="55863189"/>
    <w:rsid w:val="55E42515"/>
    <w:rsid w:val="56344A2D"/>
    <w:rsid w:val="56A323FF"/>
    <w:rsid w:val="59535892"/>
    <w:rsid w:val="5B215C22"/>
    <w:rsid w:val="5B5A3603"/>
    <w:rsid w:val="5CE423B9"/>
    <w:rsid w:val="5DDA26B3"/>
    <w:rsid w:val="5DF52679"/>
    <w:rsid w:val="5DFD7414"/>
    <w:rsid w:val="5EC96D8D"/>
    <w:rsid w:val="634A3360"/>
    <w:rsid w:val="64374788"/>
    <w:rsid w:val="651432A3"/>
    <w:rsid w:val="651C34EF"/>
    <w:rsid w:val="6605588C"/>
    <w:rsid w:val="6907434E"/>
    <w:rsid w:val="6A7E632C"/>
    <w:rsid w:val="6CD34A78"/>
    <w:rsid w:val="6D913FBB"/>
    <w:rsid w:val="6FF302B9"/>
    <w:rsid w:val="72F15387"/>
    <w:rsid w:val="739203FD"/>
    <w:rsid w:val="75A13617"/>
    <w:rsid w:val="7643318E"/>
    <w:rsid w:val="777D2782"/>
    <w:rsid w:val="78935AFF"/>
    <w:rsid w:val="7A6651BD"/>
    <w:rsid w:val="7B5E796A"/>
    <w:rsid w:val="7B672D69"/>
    <w:rsid w:val="7BA1797D"/>
    <w:rsid w:val="7BBD3E33"/>
    <w:rsid w:val="7DEA75F9"/>
    <w:rsid w:val="7E384793"/>
    <w:rsid w:val="7F0A4B44"/>
    <w:rsid w:val="7F8C4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paragraph" w:customStyle="1" w:styleId="8">
    <w:name w:val="p0"/>
    <w:basedOn w:val="1"/>
    <w:qFormat/>
    <w:uiPriority w:val="0"/>
    <w:pPr>
      <w:widowControl/>
    </w:pPr>
    <w:rPr>
      <w:kern w:val="0"/>
      <w:szCs w:val="21"/>
    </w:rPr>
  </w:style>
  <w:style w:type="paragraph" w:customStyle="1" w:styleId="9">
    <w:name w:val="Body text|1"/>
    <w:basedOn w:val="1"/>
    <w:qFormat/>
    <w:uiPriority w:val="0"/>
    <w:pPr>
      <w:spacing w:line="430" w:lineRule="auto"/>
      <w:ind w:firstLine="400"/>
    </w:pPr>
    <w:rPr>
      <w:rFonts w:ascii="宋体" w:hAnsi="宋体" w:cs="宋体"/>
      <w:sz w:val="30"/>
      <w:szCs w:val="30"/>
      <w:lang w:val="zh-TW" w:eastAsia="zh-TW" w:bidi="zh-TW"/>
    </w:rPr>
  </w:style>
  <w:style w:type="paragraph" w:customStyle="1" w:styleId="10">
    <w:name w:val="普通(网站)1"/>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65288;&#36130;&#25919;&#23616;&#65289;2019&#24180;&#37096;&#38376;&#39044;&#31639;&#20844;&#243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（财政局）2019年部门预算公开.dot</Template>
  <Pages>8</Pages>
  <Words>462</Words>
  <Characters>2639</Characters>
  <Lines>21</Lines>
  <Paragraphs>6</Paragraphs>
  <TotalTime>2</TotalTime>
  <ScaleCrop>false</ScaleCrop>
  <LinksUpToDate>false</LinksUpToDate>
  <CharactersWithSpaces>3095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2021-04-21T02:27:00Z</dcterms:created>
  <dc:creator>标点符号</dc:creator>
  <cp:lastModifiedBy>Administrator</cp:lastModifiedBy>
  <dcterms:modified xsi:type="dcterms:W3CDTF">2022-06-23T03:40:19Z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7A31F236040E4DE69810ADB46AFDACA7</vt:lpwstr>
  </property>
</Properties>
</file>