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44"/>
          <w:szCs w:val="44"/>
          <w:shd w:val="clear" w:color="auto" w:fill="FFFFFF"/>
        </w:rPr>
      </w:pPr>
      <w:r>
        <w:rPr>
          <w:rFonts w:hint="eastAsia" w:cs="Arial"/>
          <w:b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cs="Arial"/>
          <w:b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cs="Arial"/>
          <w:b/>
          <w:color w:val="auto"/>
          <w:sz w:val="44"/>
          <w:szCs w:val="44"/>
          <w:shd w:val="clear" w:color="auto" w:fill="FFFFFF"/>
        </w:rPr>
        <w:t>年中国人民政治协商会议平顶山市卫东区委员会部门预算说明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ascii="Arial" w:hAnsi="Arial" w:cs="Arial"/>
          <w:color w:val="auto"/>
          <w:sz w:val="21"/>
          <w:szCs w:val="21"/>
        </w:rPr>
      </w:pPr>
      <w:r>
        <w:rPr>
          <w:rFonts w:hint="eastAsia" w:cs="Arial"/>
          <w:vanish/>
          <w:color w:val="auto"/>
          <w:sz w:val="20"/>
          <w:szCs w:val="20"/>
          <w:shd w:val="clear" w:color="auto" w:fill="FFFFFF"/>
        </w:rPr>
        <w:t>文号： 索引号：005452110/2018-00024 发布部门：市财政局 发布日期：2018-10-23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44"/>
          <w:szCs w:val="44"/>
          <w:shd w:val="clear" w:color="auto" w:fill="FFFFFF"/>
        </w:rPr>
      </w:pPr>
      <w:r>
        <w:rPr>
          <w:rFonts w:hint="eastAsia" w:cs="Arial"/>
          <w:b/>
          <w:color w:val="auto"/>
          <w:sz w:val="44"/>
          <w:szCs w:val="44"/>
          <w:shd w:val="clear" w:color="auto" w:fill="FFFFFF"/>
        </w:rPr>
        <w:t>目　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第一部分　中国人民政治协商会议平顶山市卫东区委员会概况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一、主要职能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二、部门预算单位构成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第二部分　中国人民政治协商会议平顶山市卫东区委员会202</w:t>
      </w:r>
      <w:r>
        <w:rPr>
          <w:rFonts w:hint="eastAsia" w:cs="Arial"/>
          <w:b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年预算情况说明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outlineLvl w:val="9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第三部分　名词解释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附件： 中国人民政治协商会议平顶山市卫东区委员会202</w:t>
      </w:r>
      <w:r>
        <w:rPr>
          <w:rFonts w:hint="eastAsia" w:cs="Arial"/>
          <w:b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一共公共预算支出预算表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hint="eastAsia" w:ascii="仿宋_GB2312" w:eastAsia="仿宋_GB2312"/>
          <w:sz w:val="32"/>
          <w:szCs w:val="32"/>
        </w:rPr>
        <w:t>政府性基金支出预算表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整体</w:t>
      </w:r>
      <w:r>
        <w:rPr>
          <w:rFonts w:ascii="仿宋_GB2312" w:eastAsia="仿宋_GB2312"/>
          <w:sz w:val="32"/>
          <w:szCs w:val="32"/>
        </w:rPr>
        <w:t>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预算项目绩效目标汇总表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第一部分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中国人民政治协商会议平顶山市卫东区委员会概况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cs="Arial"/>
          <w:b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中国人民政治协商会议平顶山市卫东区委员会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  <w:t>主要职能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负责政协卫东区委员会全体会议、常务委员会会议、主席会议、秘书长会议以及其他重要会议、活动的组织和服务工作。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负责政协卫东区委员会全体会议、常务委员会会议、主席会议决议、决定的具体组织实施工作。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研究统一战线和人民政协的理论、政策，提出人民政协履行职能的工作建议；起草区政协的重要文稿；协调和组织人民政协的对内对外宣传工作。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责协调、保障专门委员会实施专题调研计划和开展相关活动的组织服务工作。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负责区政协委员提案办理的协调和服务工作。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负责区政协委员视察、考察、调研及其重要活动的组织服务工作。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整理、报送政协组织和委员履行职能形成的调研报告、视察报告；集反映社情民意，处理政协委员和人民群众的来信来访。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负责与中共卫东区委、区人大、区政府有关部门工作联系，负责与区级各民主党派、工商联的联系协调工作。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参与区政协委员的协商推荐等有关人事工作。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负责区政协机关的机构编制、干部人事管理和外事工作。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负责区政协及机关的后勤保障及接待工作。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承办区政协领导同志交办的其它工作。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color w:val="auto"/>
          <w:sz w:val="32"/>
          <w:szCs w:val="32"/>
          <w:shd w:val="clear" w:color="auto" w:fill="FFFFFF"/>
        </w:rPr>
        <w:t>中国人民政治协商会议平顶山市卫东区委员会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  <w:t xml:space="preserve">预算单位构成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5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中国人民政治协商会议平顶山市卫东区委员会202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年本部门预算仅包含本级预算，无所属单位预算。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5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中国人民政治协商会议平顶山市卫东区委员会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/>
          <w:b/>
          <w:bCs/>
          <w:color w:val="auto"/>
          <w:sz w:val="32"/>
          <w:szCs w:val="32"/>
        </w:rPr>
        <w:t>部门预算情况说明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一、收入支出预算总体情况说明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0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年收、支总计均为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万元，与202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年相比，收、支总计均增加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16.1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万元，上升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%。主要原因：人员支出增加。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二、收入预算总体情况说明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0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年收入预算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万元，其中：财政拨款收入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三、支出预算总体情况说明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0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万元，按用途划分为：基本支出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417.4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83.6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81.7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四、财政拨款收入支出预算总体情况说明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0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年收、支总计均为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年相比，收、支总计均增加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16.1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万元，上升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%。主要原因：人员支出增加。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五、一般公共预算支出预算情况说明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0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cs="Arial"/>
          <w:color w:val="auto"/>
          <w:sz w:val="27"/>
          <w:szCs w:val="27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年一般公共预算支出年初预算为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万元。主要用于以下方面：一般公共服务（类）支出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409.2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万元，占8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%；社会保障和就业（类）支出4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万元，占9.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%； 卫生健康（类）支出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17.2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%；住房保障（类）支出2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7.0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六、支出预算经济分类情况说明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按照《财政部关于印发&lt;支出经济分类科目改革方案&gt;的通知》（财预[2017]98号)要求，从2018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《支出经济分类汇总表》，按两套经济分类科目分别反应不同资金来源的全部预算支出。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499.1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417.4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81.7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主要包括：办公费、印刷费、邮电费、差旅费、维修（护）费、租赁费、会议费、培训费、公务接待费、劳务费、福利费、公务用车运行维护费、其他交通费用、其他商品和服务支出、办公设备购置、信息网络及软件购置更新和其他支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75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七、“三公”经费支出预算情况说明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年“三公”经费预算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万元,202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年“三公”经费支出预算数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 w:cs="Courier New"/>
          <w:sz w:val="32"/>
          <w:szCs w:val="32"/>
        </w:rPr>
        <w:t>2021年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减少7.5万元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，主要原因是继续贯彻落实中央八项规定精神，坚持厉行勤俭节约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具体支出情况如下：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ascii="Arial" w:hAnsi="Arial" w:cs="Arial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（一）因公出国（境）费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预算0万元，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主要用于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工作人员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出国(境)的住宿费、旅费、伙食补助费、杂费、培训费等支出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，主要原因是认真贯彻中央八项规定精神，坚持厉行勤俭节约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ascii="Arial" w:hAnsi="Arial" w:cs="Arial"/>
          <w:color w:val="auto"/>
          <w:sz w:val="21"/>
          <w:szCs w:val="21"/>
          <w:highlight w:val="yellow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（二）公务用车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购置及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万元，预算数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 w:cs="Courier New"/>
          <w:sz w:val="32"/>
          <w:szCs w:val="32"/>
        </w:rPr>
        <w:t>2021年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减少7万元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占“三公”经费总额的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100.0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%。其中，公务用车运行费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 w:cs="Courier New"/>
          <w:sz w:val="32"/>
          <w:szCs w:val="32"/>
        </w:rPr>
        <w:t>2021年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减少7万元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主要用于日常公务发生的燃料费、维修费、过路过桥费、保险费等支出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占“三公”经费总额的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100.0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%；公务用车购置0万元, 比上年持平，主要原因是落实公车改革政策、加强公务用车管理，严控公务用车支出。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（三）公务接待费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0.0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主要用于规定开支的各类公务接待（含外宾接待）支出。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ascii="仿宋_GB2312" w:hAnsi="宋体" w:eastAsia="仿宋_GB2312" w:cs="Courier New"/>
          <w:sz w:val="32"/>
          <w:szCs w:val="32"/>
        </w:rPr>
        <w:t>21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减少0.5万元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占“三公”经费总额的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0.0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八、政府性基金预算支出预算情况说明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部门202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年政府性基金预算支出0万元，预算数与上年持平。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cs="Arial"/>
          <w:b/>
          <w:bCs/>
          <w:color w:val="auto"/>
          <w:sz w:val="32"/>
          <w:szCs w:val="32"/>
          <w:shd w:val="clear" w:color="auto" w:fill="FFFFFF"/>
        </w:rPr>
        <w:t>其他重要事项的情况说明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（一）机关运行经费支出情况 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cs="Arial"/>
          <w:b/>
          <w:bCs/>
          <w:color w:val="auto"/>
          <w:sz w:val="27"/>
          <w:szCs w:val="27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年，机关运行经费支出预算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13.2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万元，主要用于办公及印刷费、邮电费、差旅费、会议费、水、电、暖、物业管理等运行维护费、公务用车运行维护费以及其他费用。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 xml:space="preserve">政府采购情况说明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年，政府采购预算安排0万元，预算数与202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1持平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。其中：政府采购货物预算0万元、政府采购工程预算0万元、政府采购服务预算0万元。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（三）绩效目标设置情况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cs="Arial"/>
          <w:b/>
          <w:bCs/>
          <w:color w:val="auto"/>
          <w:sz w:val="27"/>
          <w:szCs w:val="27"/>
          <w:shd w:val="clear" w:color="auto" w:fill="FFFFFF"/>
        </w:rPr>
      </w:pPr>
      <w:r>
        <w:rPr>
          <w:rFonts w:hint="eastAsia" w:cs="Arial"/>
          <w:color w:val="auto"/>
          <w:sz w:val="27"/>
          <w:szCs w:val="27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年，我单位按要求编制了绩效目标，从项目产出、项目效益、满意度等方面设置了绩效指标，综合反映项目预期完成的数量、实效、质量，预期达到的社会经济效益、可持续影响以及服务对象满意度等情况。 </w:t>
      </w:r>
      <w:r>
        <w:rPr>
          <w:rFonts w:hint="eastAsia" w:cs="Arial"/>
          <w:b/>
          <w:bCs/>
          <w:color w:val="auto"/>
          <w:sz w:val="27"/>
          <w:szCs w:val="27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(四)国有资产占用情况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期末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，我单位共有车辆2辆，其中：一般公务用车2辆,一般执法执勤用车0辆、特种专业技术用车0辆，其他用车0辆；单价50万元以上通用设备0套，单位价值100万元以上专用设备0套。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(五) 专项转移支付项目情况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我单位202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年没有专项转移支付项目。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3213" w:firstLineChars="1000"/>
        <w:jc w:val="both"/>
        <w:textAlignment w:val="auto"/>
        <w:outlineLvl w:val="9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第三部分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3213" w:firstLineChars="1000"/>
        <w:jc w:val="both"/>
        <w:textAlignment w:val="auto"/>
        <w:outlineLvl w:val="9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名词解释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一、财政拨款收入：是指省级财政当年拨付的资金。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二、事业收入：是指事业单位开展专业活动及辅助活动所取得的收入。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三、其他收入：是指部门取得的除“财政拨款”、“事业收入”、“事业单位经营收入”等以外的收入。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六、项目支出：是指在基本支出之外，为完成特定的行政工作任务或事业发展目标所发生的支出。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0"/>
        <w:textAlignment w:val="auto"/>
        <w:outlineLvl w:val="9"/>
        <w:rPr>
          <w:rFonts w:hint="eastAsia" w:ascii="仿宋" w:hAnsi="仿宋" w:eastAsia="仿宋" w:cs="仿宋"/>
          <w:color w:val="auto"/>
          <w:sz w:val="27"/>
          <w:szCs w:val="27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285" w:firstLineChars="400"/>
        <w:textAlignment w:val="auto"/>
        <w:outlineLvl w:val="9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中国人民政治协商会议河南省平顶山市卫东区委员会办公室2022年部门预算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F6CEB"/>
    <w:multiLevelType w:val="singleLevel"/>
    <w:tmpl w:val="802F6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0097A9"/>
    <w:multiLevelType w:val="singleLevel"/>
    <w:tmpl w:val="9B0097A9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64068E17"/>
    <w:multiLevelType w:val="singleLevel"/>
    <w:tmpl w:val="64068E1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mJhMDk1MWRiNTNlZWNmNGQwMDhiMDlkY2ZiOTkifQ=="/>
  </w:docVars>
  <w:rsids>
    <w:rsidRoot w:val="00000000"/>
    <w:rsid w:val="0F3A28DC"/>
    <w:rsid w:val="1E5E5637"/>
    <w:rsid w:val="2CF2403D"/>
    <w:rsid w:val="2FD420D8"/>
    <w:rsid w:val="317425D4"/>
    <w:rsid w:val="3AC6198C"/>
    <w:rsid w:val="4736172C"/>
    <w:rsid w:val="52E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9339</Words>
  <Characters>10951</Characters>
  <Lines>0</Lines>
  <Paragraphs>0</Paragraphs>
  <TotalTime>432</TotalTime>
  <ScaleCrop>false</ScaleCrop>
  <LinksUpToDate>false</LinksUpToDate>
  <CharactersWithSpaces>11106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2022-03-15T07:23:00Z</dcterms:created>
  <dc:creator>Administrator</dc:creator>
  <cp:lastModifiedBy>HELLO</cp:lastModifiedBy>
  <dcterms:modified xsi:type="dcterms:W3CDTF">2022-06-29T10:23:03Z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5F4D0784CB0F49A1B0C6B851CA6EB8C7</vt:lpwstr>
  </property>
</Properties>
</file>