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adjustRightInd/>
        <w:snapToGrid/>
        <w:spacing w:line="540" w:lineRule="exact"/>
        <w:ind w:left="1050" w:leftChars="500" w:right="1050" w:rightChars="5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cs="宋体"/>
          <w:b/>
          <w:bCs/>
          <w:sz w:val="44"/>
          <w:szCs w:val="44"/>
          <w:lang w:val="en-US" w:eastAsia="zh-CN"/>
        </w:rPr>
        <w:t>2</w:t>
      </w:r>
      <w:r>
        <w:rPr>
          <w:rFonts w:hint="eastAsia" w:ascii="宋体" w:hAnsi="宋体" w:eastAsia="宋体" w:cs="宋体"/>
          <w:b/>
          <w:bCs/>
          <w:sz w:val="44"/>
          <w:szCs w:val="44"/>
        </w:rPr>
        <w:t>年平顶山市卫东区医疗保障局部门预算说明</w:t>
      </w:r>
    </w:p>
    <w:p>
      <w:pPr>
        <w:keepNext w:val="0"/>
        <w:keepLines w:val="0"/>
        <w:pageBreakBefore w:val="0"/>
        <w:widowControl w:val="0"/>
        <w:kinsoku/>
        <w:wordWrap/>
        <w:overflowPunct/>
        <w:topLinePunct w:val="0"/>
        <w:autoSpaceDE/>
        <w:autoSpaceDN/>
        <w:bidi/>
        <w:adjustRightInd/>
        <w:snapToGrid/>
        <w:spacing w:line="540" w:lineRule="exact"/>
        <w:ind w:left="1050" w:leftChars="500" w:right="1050" w:rightChars="500"/>
        <w:jc w:val="center"/>
        <w:textAlignment w:val="auto"/>
        <w:rPr>
          <w:rFonts w:hint="eastAsia" w:ascii="宋体" w:hAnsi="宋体" w:cs="宋体"/>
          <w:b/>
          <w:bCs/>
          <w:sz w:val="44"/>
          <w:szCs w:val="44"/>
        </w:rPr>
      </w:pPr>
    </w:p>
    <w:p>
      <w:pPr>
        <w:keepNext w:val="0"/>
        <w:keepLines w:val="0"/>
        <w:pageBreakBefore w:val="0"/>
        <w:kinsoku/>
        <w:wordWrap/>
        <w:overflowPunct/>
        <w:topLinePunct w:val="0"/>
        <w:autoSpaceDE/>
        <w:autoSpaceDN/>
        <w:adjustRightInd/>
        <w:snapToGrid w:val="0"/>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pPr>
        <w:keepNext w:val="0"/>
        <w:keepLines w:val="0"/>
        <w:pageBreakBefore w:val="0"/>
        <w:kinsoku/>
        <w:wordWrap/>
        <w:overflowPunct/>
        <w:topLinePunct w:val="0"/>
        <w:autoSpaceDE/>
        <w:autoSpaceDN/>
        <w:adjustRightInd/>
        <w:snapToGrid w:val="0"/>
        <w:spacing w:line="540" w:lineRule="exact"/>
        <w:jc w:val="both"/>
        <w:textAlignment w:val="auto"/>
        <w:rPr>
          <w:rFonts w:ascii="仿宋" w:hAnsi="仿宋" w:eastAsia="仿宋" w:cs="仿宋"/>
          <w:sz w:val="32"/>
          <w:szCs w:val="32"/>
        </w:rPr>
      </w:pPr>
      <w:r>
        <w:rPr>
          <w:rFonts w:hint="eastAsia" w:ascii="宋体" w:hAnsi="宋体" w:eastAsia="宋体" w:cs="宋体"/>
          <w:b/>
          <w:bCs/>
          <w:sz w:val="32"/>
          <w:szCs w:val="32"/>
        </w:rPr>
        <w:t>第一部分　</w:t>
      </w:r>
      <w:r>
        <w:rPr>
          <w:rFonts w:hint="eastAsia" w:ascii="宋体" w:hAnsi="宋体" w:eastAsia="宋体" w:cs="宋体"/>
          <w:b/>
          <w:bCs/>
          <w:sz w:val="32"/>
          <w:szCs w:val="32"/>
          <w:lang w:eastAsia="zh-CN"/>
        </w:rPr>
        <w:t>平顶山市卫东区医疗保障局</w:t>
      </w:r>
      <w:r>
        <w:rPr>
          <w:rFonts w:hint="eastAsia" w:ascii="宋体" w:hAnsi="宋体" w:eastAsia="宋体" w:cs="宋体"/>
          <w:b/>
          <w:bCs/>
          <w:sz w:val="32"/>
          <w:szCs w:val="32"/>
        </w:rPr>
        <w:t>概况</w:t>
      </w:r>
      <w:r>
        <w:rPr>
          <w:rFonts w:hint="eastAsia" w:ascii="宋体" w:hAnsi="宋体" w:eastAsia="宋体" w:cs="宋体"/>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一、主要职</w:t>
      </w:r>
      <w:r>
        <w:rPr>
          <w:rFonts w:hint="eastAsia" w:ascii="仿宋_GB2312" w:hAnsi="仿宋_GB2312" w:eastAsia="仿宋_GB2312" w:cs="仿宋_GB2312"/>
          <w:bCs/>
          <w:kern w:val="0"/>
          <w:sz w:val="32"/>
          <w:szCs w:val="32"/>
          <w:lang w:eastAsia="zh-CN"/>
        </w:rPr>
        <w:t>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bCs/>
          <w:kern w:val="0"/>
          <w:sz w:val="32"/>
          <w:szCs w:val="32"/>
        </w:rPr>
        <w:t xml:space="preserve">二、部门预算单位构成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left="0" w:firstLine="0" w:firstLineChars="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第二部分　平顶山市卫东区医疗保障局202</w:t>
      </w:r>
      <w:r>
        <w:rPr>
          <w:rFonts w:hint="eastAsia" w:ascii="宋体" w:hAnsi="宋体" w:cs="宋体"/>
          <w:b/>
          <w:bCs/>
          <w:sz w:val="32"/>
          <w:szCs w:val="32"/>
          <w:lang w:val="en-US" w:eastAsia="zh-CN"/>
        </w:rPr>
        <w:t>2</w:t>
      </w:r>
      <w:r>
        <w:rPr>
          <w:rFonts w:hint="eastAsia" w:ascii="宋体" w:hAnsi="宋体" w:eastAsia="宋体" w:cs="宋体"/>
          <w:b/>
          <w:bCs/>
          <w:sz w:val="32"/>
          <w:szCs w:val="32"/>
        </w:rPr>
        <w:t xml:space="preserve">年部门预算情况说明    </w:t>
      </w: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第三部分　名词解释    </w:t>
      </w:r>
    </w:p>
    <w:p>
      <w:pPr>
        <w:keepNext w:val="0"/>
        <w:keepLines w:val="0"/>
        <w:pageBreakBefore w:val="0"/>
        <w:kinsoku/>
        <w:wordWrap/>
        <w:overflowPunct/>
        <w:topLinePunct w:val="0"/>
        <w:autoSpaceDE/>
        <w:autoSpaceDN/>
        <w:adjustRightInd/>
        <w:snapToGrid w:val="0"/>
        <w:spacing w:line="54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 xml:space="preserve"> 附件： 平顶山市卫东区医疗保障局202</w:t>
      </w:r>
      <w:r>
        <w:rPr>
          <w:rFonts w:hint="eastAsia" w:ascii="宋体" w:hAnsi="宋体" w:cs="宋体"/>
          <w:b/>
          <w:bCs/>
          <w:sz w:val="32"/>
          <w:szCs w:val="32"/>
          <w:lang w:val="en-US" w:eastAsia="zh-CN"/>
        </w:rPr>
        <w:t>2</w:t>
      </w:r>
      <w:r>
        <w:rPr>
          <w:rFonts w:hint="eastAsia" w:ascii="宋体" w:hAnsi="宋体" w:eastAsia="宋体" w:cs="宋体"/>
          <w:b/>
          <w:bCs/>
          <w:sz w:val="32"/>
          <w:szCs w:val="32"/>
        </w:rPr>
        <w:t xml:space="preserve">年部门预算表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一、部门收支</w:t>
      </w:r>
      <w:r>
        <w:rPr>
          <w:rFonts w:hint="eastAsia" w:ascii="仿宋_GB2312" w:hAnsi="仿宋_GB2312" w:eastAsia="仿宋_GB2312" w:cs="仿宋_GB2312"/>
          <w:bCs/>
          <w:kern w:val="0"/>
          <w:sz w:val="32"/>
          <w:szCs w:val="32"/>
          <w:lang w:eastAsia="zh-CN"/>
        </w:rPr>
        <w:t>预算</w:t>
      </w:r>
      <w:r>
        <w:rPr>
          <w:rFonts w:hint="eastAsia" w:ascii="仿宋_GB2312" w:hAnsi="仿宋_GB2312" w:eastAsia="仿宋_GB2312" w:cs="仿宋_GB2312"/>
          <w:bCs/>
          <w:kern w:val="0"/>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二、部门收入</w:t>
      </w:r>
      <w:r>
        <w:rPr>
          <w:rFonts w:hint="eastAsia" w:ascii="仿宋_GB2312" w:hAnsi="仿宋_GB2312" w:eastAsia="仿宋_GB2312" w:cs="仿宋_GB2312"/>
          <w:bCs/>
          <w:kern w:val="0"/>
          <w:sz w:val="32"/>
          <w:szCs w:val="32"/>
          <w:lang w:eastAsia="zh-CN"/>
        </w:rPr>
        <w:t>预算</w:t>
      </w:r>
      <w:r>
        <w:rPr>
          <w:rFonts w:hint="eastAsia" w:ascii="仿宋_GB2312" w:hAnsi="仿宋_GB2312" w:eastAsia="仿宋_GB2312" w:cs="仿宋_GB2312"/>
          <w:bCs/>
          <w:kern w:val="0"/>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三、部门支出</w:t>
      </w:r>
      <w:r>
        <w:rPr>
          <w:rFonts w:hint="eastAsia" w:ascii="仿宋_GB2312" w:hAnsi="仿宋_GB2312" w:eastAsia="仿宋_GB2312" w:cs="仿宋_GB2312"/>
          <w:bCs/>
          <w:kern w:val="0"/>
          <w:sz w:val="32"/>
          <w:szCs w:val="32"/>
          <w:lang w:eastAsia="zh-CN"/>
        </w:rPr>
        <w:t>预算</w:t>
      </w:r>
      <w:r>
        <w:rPr>
          <w:rFonts w:hint="eastAsia" w:ascii="仿宋_GB2312" w:hAnsi="仿宋_GB2312" w:eastAsia="仿宋_GB2312" w:cs="仿宋_GB2312"/>
          <w:bCs/>
          <w:kern w:val="0"/>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w:t>
      </w:r>
      <w:r>
        <w:rPr>
          <w:rFonts w:hint="eastAsia" w:ascii="仿宋_GB2312" w:hAnsi="仿宋_GB2312" w:eastAsia="仿宋_GB2312" w:cs="仿宋_GB2312"/>
          <w:bCs/>
          <w:kern w:val="0"/>
          <w:sz w:val="32"/>
          <w:szCs w:val="32"/>
          <w:lang w:eastAsia="zh-CN"/>
        </w:rPr>
        <w:t>预算</w:t>
      </w:r>
      <w:r>
        <w:rPr>
          <w:rFonts w:hint="eastAsia" w:ascii="仿宋_GB2312" w:hAnsi="仿宋_GB2312" w:eastAsia="仿宋_GB2312" w:cs="仿宋_GB2312"/>
          <w:bCs/>
          <w:kern w:val="0"/>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w:t>
      </w:r>
      <w:r>
        <w:rPr>
          <w:rFonts w:hint="eastAsia" w:ascii="仿宋_GB2312" w:hAnsi="仿宋_GB2312" w:eastAsia="仿宋_GB2312" w:cs="仿宋_GB2312"/>
          <w:bCs/>
          <w:kern w:val="0"/>
          <w:sz w:val="32"/>
          <w:szCs w:val="32"/>
          <w:lang w:eastAsia="zh-CN"/>
        </w:rPr>
        <w:t>预算</w:t>
      </w:r>
      <w:r>
        <w:rPr>
          <w:rFonts w:hint="eastAsia" w:ascii="仿宋_GB2312" w:hAnsi="仿宋_GB2312" w:eastAsia="仿宋_GB2312" w:cs="仿宋_GB2312"/>
          <w:bCs/>
          <w:kern w:val="0"/>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w:t>
      </w:r>
      <w:r>
        <w:rPr>
          <w:rFonts w:hint="eastAsia" w:ascii="仿宋_GB2312" w:hAnsi="仿宋_GB2312" w:eastAsia="仿宋_GB2312" w:cs="仿宋_GB2312"/>
          <w:bCs/>
          <w:kern w:val="0"/>
          <w:sz w:val="32"/>
          <w:szCs w:val="32"/>
          <w:lang w:eastAsia="zh-CN"/>
        </w:rPr>
        <w:t>基本</w:t>
      </w:r>
      <w:r>
        <w:rPr>
          <w:rFonts w:hint="eastAsia" w:ascii="仿宋_GB2312" w:hAnsi="仿宋_GB2312" w:eastAsia="仿宋_GB2312" w:cs="仿宋_GB2312"/>
          <w:bCs/>
          <w:kern w:val="0"/>
          <w:sz w:val="32"/>
          <w:szCs w:val="32"/>
        </w:rPr>
        <w:t>支出表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rPr>
        <w:t xml:space="preserve">七、 </w:t>
      </w:r>
      <w:r>
        <w:rPr>
          <w:rFonts w:hint="eastAsia" w:ascii="仿宋_GB2312" w:hAnsi="仿宋_GB2312" w:eastAsia="仿宋_GB2312" w:cs="仿宋_GB2312"/>
          <w:bCs/>
          <w:kern w:val="0"/>
          <w:sz w:val="32"/>
          <w:szCs w:val="32"/>
          <w:lang w:eastAsia="zh-CN"/>
        </w:rPr>
        <w:t>支出经济分类汇总表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八、一般公共预算“三公”经费</w:t>
      </w:r>
      <w:r>
        <w:rPr>
          <w:rFonts w:hint="eastAsia" w:ascii="仿宋_GB2312" w:hAnsi="仿宋_GB2312" w:eastAsia="仿宋_GB2312" w:cs="仿宋_GB2312"/>
          <w:bCs/>
          <w:kern w:val="0"/>
          <w:sz w:val="32"/>
          <w:szCs w:val="32"/>
          <w:lang w:eastAsia="zh-CN"/>
        </w:rPr>
        <w:t>预算</w:t>
      </w:r>
      <w:r>
        <w:rPr>
          <w:rFonts w:hint="eastAsia" w:ascii="仿宋_GB2312" w:hAnsi="仿宋_GB2312" w:eastAsia="仿宋_GB2312" w:cs="仿宋_GB2312"/>
          <w:bCs/>
          <w:kern w:val="0"/>
          <w:sz w:val="32"/>
          <w:szCs w:val="32"/>
        </w:rPr>
        <w:t>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九</w:t>
      </w:r>
      <w:r>
        <w:rPr>
          <w:rFonts w:hint="eastAsia" w:ascii="仿宋_GB2312" w:hAnsi="仿宋_GB2312" w:eastAsia="仿宋_GB2312" w:cs="仿宋_GB2312"/>
          <w:bCs/>
          <w:kern w:val="0"/>
          <w:sz w:val="32"/>
          <w:szCs w:val="32"/>
        </w:rPr>
        <w:t>、政府性基金预算支出</w:t>
      </w:r>
      <w:r>
        <w:rPr>
          <w:rFonts w:hint="eastAsia" w:ascii="仿宋_GB2312" w:hAnsi="仿宋_GB2312" w:eastAsia="仿宋_GB2312" w:cs="仿宋_GB2312"/>
          <w:bCs/>
          <w:kern w:val="0"/>
          <w:sz w:val="32"/>
          <w:szCs w:val="32"/>
          <w:lang w:eastAsia="zh-CN"/>
        </w:rPr>
        <w:t>预算</w:t>
      </w:r>
      <w:r>
        <w:rPr>
          <w:rFonts w:hint="eastAsia" w:ascii="仿宋_GB2312" w:hAnsi="仿宋_GB2312" w:eastAsia="仿宋_GB2312" w:cs="仿宋_GB2312"/>
          <w:bCs/>
          <w:kern w:val="0"/>
          <w:sz w:val="32"/>
          <w:szCs w:val="32"/>
        </w:rPr>
        <w:t>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w:t>
      </w:r>
      <w:r>
        <w:rPr>
          <w:rFonts w:hint="eastAsia" w:ascii="仿宋_GB2312" w:hAnsi="仿宋_GB2312" w:eastAsia="仿宋_GB2312" w:cs="仿宋_GB2312"/>
          <w:bCs/>
          <w:kern w:val="0"/>
          <w:sz w:val="32"/>
          <w:szCs w:val="32"/>
          <w:lang w:eastAsia="zh-CN"/>
        </w:rPr>
        <w:t>项目支出预算</w:t>
      </w:r>
      <w:r>
        <w:rPr>
          <w:rFonts w:hint="eastAsia" w:ascii="仿宋_GB2312" w:hAnsi="仿宋_GB2312" w:eastAsia="仿宋_GB2312" w:cs="仿宋_GB2312"/>
          <w:bCs/>
          <w:kern w:val="0"/>
          <w:sz w:val="32"/>
          <w:szCs w:val="32"/>
        </w:rPr>
        <w:t>表</w:t>
      </w:r>
      <w:r>
        <w:rPr>
          <w:rFonts w:hint="eastAsia" w:ascii="仿宋_GB2312" w:hAnsi="仿宋_GB2312" w:eastAsia="仿宋_GB2312" w:cs="仿宋_GB2312"/>
          <w:bCs/>
          <w:kern w:val="0"/>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十一、部门（单位）整体绩效目标表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kern w:val="0"/>
          <w:sz w:val="32"/>
          <w:szCs w:val="32"/>
        </w:rPr>
      </w:pPr>
      <w:r>
        <w:rPr>
          <w:rFonts w:hint="eastAsia" w:ascii="仿宋" w:hAnsi="仿宋" w:eastAsia="仿宋" w:cs="仿宋"/>
          <w:bCs/>
          <w:kern w:val="0"/>
          <w:sz w:val="32"/>
          <w:szCs w:val="32"/>
          <w:highlight w:val="none"/>
          <w:lang w:val="en-US" w:eastAsia="zh-CN"/>
        </w:rPr>
        <w:t>十二、部门预算项目绩效目标汇总表</w:t>
      </w:r>
    </w:p>
    <w:p>
      <w:pPr>
        <w:pStyle w:val="7"/>
        <w:keepNext w:val="0"/>
        <w:keepLines w:val="0"/>
        <w:pageBreakBefore w:val="0"/>
        <w:widowControl/>
        <w:shd w:val="clear" w:color="060000" w:fill="FFFFFF"/>
        <w:kinsoku/>
        <w:wordWrap/>
        <w:overflowPunct/>
        <w:topLinePunct w:val="0"/>
        <w:autoSpaceDE/>
        <w:autoSpaceDN/>
        <w:adjustRightInd/>
        <w:spacing w:beforeAutospacing="0" w:afterAutospacing="0" w:line="540" w:lineRule="exact"/>
        <w:ind w:firstLine="643" w:firstLineChars="200"/>
        <w:jc w:val="center"/>
        <w:textAlignment w:val="auto"/>
        <w:rPr>
          <w:rFonts w:hint="eastAsia" w:ascii="宋体" w:hAnsi="宋体" w:eastAsia="宋体" w:cs="宋体"/>
          <w:b/>
          <w:sz w:val="32"/>
          <w:szCs w:val="32"/>
        </w:rPr>
      </w:pPr>
      <w:r>
        <w:rPr>
          <w:rFonts w:hint="eastAsia" w:ascii="宋体" w:hAnsi="宋体" w:eastAsia="宋体" w:cs="宋体"/>
          <w:b/>
          <w:sz w:val="32"/>
          <w:szCs w:val="32"/>
        </w:rPr>
        <w:t>第一部分</w:t>
      </w:r>
      <w:bookmarkStart w:id="0" w:name="OLE_LINK2"/>
      <w:bookmarkStart w:id="1" w:name="OLE_LINK1"/>
    </w:p>
    <w:p>
      <w:pPr>
        <w:pStyle w:val="7"/>
        <w:keepNext w:val="0"/>
        <w:keepLines w:val="0"/>
        <w:pageBreakBefore w:val="0"/>
        <w:widowControl/>
        <w:shd w:val="clear" w:color="060000" w:fill="FFFFFF"/>
        <w:kinsoku/>
        <w:wordWrap/>
        <w:overflowPunct/>
        <w:topLinePunct w:val="0"/>
        <w:autoSpaceDE/>
        <w:autoSpaceDN/>
        <w:adjustRightInd/>
        <w:spacing w:beforeAutospacing="0" w:afterAutospacing="0" w:line="540" w:lineRule="exact"/>
        <w:ind w:firstLine="643" w:firstLineChars="200"/>
        <w:jc w:val="center"/>
        <w:textAlignment w:val="auto"/>
        <w:rPr>
          <w:rFonts w:hint="eastAsia" w:ascii="宋体" w:hAnsi="宋体" w:eastAsia="宋体" w:cs="宋体"/>
          <w:b/>
          <w:sz w:val="32"/>
          <w:szCs w:val="32"/>
        </w:rPr>
      </w:pPr>
      <w:r>
        <w:rPr>
          <w:rFonts w:hint="eastAsia" w:ascii="宋体" w:hAnsi="宋体" w:eastAsia="宋体" w:cs="宋体"/>
          <w:b/>
          <w:sz w:val="32"/>
          <w:szCs w:val="32"/>
        </w:rPr>
        <w:t>平顶山市卫东区医疗保障局</w:t>
      </w:r>
      <w:bookmarkEnd w:id="0"/>
      <w:bookmarkEnd w:id="1"/>
      <w:r>
        <w:rPr>
          <w:rFonts w:hint="eastAsia" w:ascii="宋体" w:hAnsi="宋体" w:eastAsia="宋体" w:cs="宋体"/>
          <w:b/>
          <w:sz w:val="32"/>
          <w:szCs w:val="32"/>
        </w:rPr>
        <w:t>概况</w:t>
      </w:r>
    </w:p>
    <w:p>
      <w:pPr>
        <w:pStyle w:val="7"/>
        <w:keepNext w:val="0"/>
        <w:keepLines w:val="0"/>
        <w:pageBreakBefore w:val="0"/>
        <w:widowControl/>
        <w:shd w:val="clear" w:color="060000" w:fill="FFFFFF"/>
        <w:kinsoku/>
        <w:wordWrap/>
        <w:overflowPunct/>
        <w:topLinePunct w:val="0"/>
        <w:autoSpaceDE/>
        <w:autoSpaceDN/>
        <w:adjustRightInd/>
        <w:spacing w:beforeAutospacing="0" w:afterAutospacing="0" w:line="540" w:lineRule="exact"/>
        <w:ind w:firstLine="643" w:firstLineChars="200"/>
        <w:jc w:val="center"/>
        <w:textAlignment w:val="auto"/>
        <w:rPr>
          <w:rFonts w:hint="eastAsia" w:ascii="宋体" w:hAnsi="宋体" w:eastAsia="宋体" w:cs="宋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3" w:firstLineChars="200"/>
        <w:jc w:val="both"/>
        <w:textAlignment w:val="auto"/>
        <w:rPr>
          <w:rFonts w:hint="eastAsia" w:ascii="宋体" w:hAnsi="宋体" w:eastAsia="宋体" w:cs="宋体"/>
          <w:b/>
          <w:bCs/>
          <w:sz w:val="32"/>
          <w:szCs w:val="32"/>
        </w:rPr>
      </w:pPr>
      <w:r>
        <w:rPr>
          <w:rFonts w:hint="eastAsia" w:ascii="宋体" w:hAnsi="宋体" w:cs="宋体"/>
          <w:b/>
          <w:bCs/>
          <w:sz w:val="32"/>
          <w:szCs w:val="32"/>
          <w:lang w:eastAsia="zh-CN"/>
        </w:rPr>
        <w:t>一、</w:t>
      </w:r>
      <w:r>
        <w:rPr>
          <w:rFonts w:hint="eastAsia" w:ascii="宋体" w:hAnsi="宋体" w:eastAsia="宋体" w:cs="宋体"/>
          <w:b/>
          <w:bCs/>
          <w:sz w:val="32"/>
          <w:szCs w:val="32"/>
          <w:lang w:eastAsia="zh-CN"/>
        </w:rPr>
        <w:t>平顶山市卫东区医疗保障局</w:t>
      </w:r>
      <w:r>
        <w:rPr>
          <w:rFonts w:hint="eastAsia" w:ascii="宋体" w:hAnsi="宋体" w:eastAsia="宋体" w:cs="宋体"/>
          <w:b/>
          <w:bCs/>
          <w:sz w:val="32"/>
          <w:szCs w:val="32"/>
        </w:rPr>
        <w:t>主要职能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(一）贯彻执行国家、省和市关于医疗保险、生育保险、医疗救助等医疗保障制度的法律法规、规划和标准。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(二）负责实施医疗保障基金监督管理办法，建立健全医疗保障基金安全防控机制，推进医疗保障基金支付方式改革。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(三）负责落实医疗保障筹资和待遇政策，统筹城乡医疗保障待遇标准，建立健全与筹资水平相适应的待遇调整机制。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(四）组织区域内药品、医用耗材、医疗服务项目、医疗服务设施等医保目录和支付标准，建立动态调整机制，承担医保目录准入相关工作。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五）负责落实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(六）贯彻执行药品、医用耗材的招标采购政策并监督实施，指导药品和医用耗材集中采购平台建设。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七）负责制定所辖定点医药机构协议和支付管理办法并组织实施，建立健全医疗保障信用评价体系和信息披露制度，监督管理纳入医保范围内的医疗服务行为和医疗费用，依法查处医疗保障和生育保险领域违法违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(八）负责公共服务体系和信息化建设。落实异地就医管理和费用结算政策；建立健全医疗保障关系转移接续制度。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(九）指导全区医疗保险、生育保险经办机构开展业务工作。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(十）按规定要求，承担对口事业服务机构业务工作的指导、协调和监督职责。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(十一）完成区委、区政府交办的其他事项。</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jc w:val="both"/>
        <w:textAlignment w:val="auto"/>
        <w:rPr>
          <w:rFonts w:hint="eastAsia" w:ascii="宋体" w:hAnsi="宋体" w:eastAsia="宋体" w:cs="宋体"/>
          <w:b/>
          <w:bCs/>
          <w:sz w:val="32"/>
          <w:szCs w:val="32"/>
          <w:highlight w:val="green"/>
        </w:rPr>
      </w:pPr>
      <w:r>
        <w:rPr>
          <w:rFonts w:hint="eastAsia" w:ascii="宋体" w:hAnsi="宋体" w:eastAsia="宋体" w:cs="宋体"/>
          <w:b/>
          <w:bCs/>
          <w:sz w:val="32"/>
          <w:szCs w:val="32"/>
        </w:rPr>
        <w:t>二、</w:t>
      </w:r>
      <w:r>
        <w:rPr>
          <w:rFonts w:hint="eastAsia" w:ascii="宋体" w:hAnsi="宋体" w:eastAsia="宋体" w:cs="宋体"/>
          <w:b/>
          <w:bCs/>
          <w:sz w:val="32"/>
          <w:szCs w:val="32"/>
          <w:lang w:eastAsia="zh-CN"/>
        </w:rPr>
        <w:t>平顶山市卫东区医疗保障局</w:t>
      </w:r>
      <w:r>
        <w:rPr>
          <w:rFonts w:hint="eastAsia" w:ascii="宋体" w:hAnsi="宋体" w:eastAsia="宋体" w:cs="宋体"/>
          <w:b/>
          <w:bCs/>
          <w:sz w:val="32"/>
          <w:szCs w:val="32"/>
        </w:rPr>
        <w:t>预算单位构成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平顶山市卫东区医疗保障局2022年部门预算包含本级预算和所属单位预算在内的汇总预算。二级机构包含：卫东区医疗保障监察大队、卫东区社会医疗保险中心、卫东区医保局党政综合便民服务中心。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平顶山市卫东区医疗保障局设4个内设机构：局办公室、待遇保障股、医药服务股、基金监管股。</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 w:eastAsia="仿宋_GB2312"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jc w:val="center"/>
        <w:textAlignment w:val="auto"/>
        <w:rPr>
          <w:rFonts w:hint="eastAsia" w:ascii="宋体" w:hAnsi="宋体" w:eastAsia="宋体" w:cs="宋体"/>
          <w:b/>
          <w:sz w:val="32"/>
          <w:szCs w:val="32"/>
        </w:rPr>
      </w:pPr>
      <w:r>
        <w:rPr>
          <w:rFonts w:hint="eastAsia" w:ascii="宋体" w:hAnsi="宋体" w:eastAsia="宋体" w:cs="宋体"/>
          <w:b/>
          <w:sz w:val="32"/>
          <w:szCs w:val="32"/>
        </w:rPr>
        <w:t>第二部分</w:t>
      </w:r>
    </w:p>
    <w:p>
      <w:pPr>
        <w:keepNext w:val="0"/>
        <w:keepLines w:val="0"/>
        <w:pageBreakBefore w:val="0"/>
        <w:kinsoku/>
        <w:wordWrap/>
        <w:overflowPunct/>
        <w:topLinePunct w:val="0"/>
        <w:autoSpaceDE/>
        <w:autoSpaceDN/>
        <w:adjustRightInd/>
        <w:snapToGrid w:val="0"/>
        <w:spacing w:line="540" w:lineRule="exact"/>
        <w:ind w:firstLine="643" w:firstLineChars="200"/>
        <w:jc w:val="center"/>
        <w:textAlignment w:val="auto"/>
        <w:rPr>
          <w:rFonts w:hint="eastAsia" w:ascii="宋体" w:hAnsi="宋体" w:eastAsia="宋体" w:cs="宋体"/>
          <w:b/>
          <w:sz w:val="32"/>
          <w:szCs w:val="32"/>
        </w:rPr>
      </w:pPr>
      <w:r>
        <w:rPr>
          <w:rFonts w:hint="eastAsia" w:ascii="宋体" w:hAnsi="宋体" w:eastAsia="宋体" w:cs="宋体"/>
          <w:b/>
          <w:sz w:val="32"/>
          <w:szCs w:val="32"/>
        </w:rPr>
        <w:t>平顶山市卫东区医疗保障局</w:t>
      </w:r>
      <w:r>
        <w:rPr>
          <w:rFonts w:hint="eastAsia" w:ascii="宋体" w:hAnsi="宋体" w:eastAsia="宋体" w:cs="宋体"/>
          <w:b/>
          <w:sz w:val="32"/>
          <w:szCs w:val="32"/>
          <w:lang w:val="en-US" w:eastAsia="zh-CN"/>
        </w:rPr>
        <w:t>202</w:t>
      </w:r>
      <w:r>
        <w:rPr>
          <w:rFonts w:hint="eastAsia" w:ascii="宋体" w:hAnsi="宋体" w:cs="宋体"/>
          <w:b/>
          <w:sz w:val="32"/>
          <w:szCs w:val="32"/>
          <w:lang w:val="en-US" w:eastAsia="zh-CN"/>
        </w:rPr>
        <w:t>2</w:t>
      </w:r>
      <w:r>
        <w:rPr>
          <w:rFonts w:hint="eastAsia" w:ascii="宋体" w:hAnsi="宋体" w:eastAsia="宋体" w:cs="宋体"/>
          <w:b/>
          <w:sz w:val="32"/>
          <w:szCs w:val="32"/>
          <w:lang w:val="en-US" w:eastAsia="zh-CN"/>
        </w:rPr>
        <w:t>年</w:t>
      </w:r>
      <w:r>
        <w:rPr>
          <w:rFonts w:hint="eastAsia" w:ascii="宋体" w:hAnsi="宋体" w:eastAsia="宋体" w:cs="宋体"/>
          <w:b/>
          <w:sz w:val="32"/>
          <w:szCs w:val="32"/>
        </w:rPr>
        <w:t>部门预算情况说明</w:t>
      </w:r>
    </w:p>
    <w:p>
      <w:pPr>
        <w:keepNext w:val="0"/>
        <w:keepLines w:val="0"/>
        <w:pageBreakBefore w:val="0"/>
        <w:kinsoku/>
        <w:wordWrap/>
        <w:overflowPunct/>
        <w:topLinePunct w:val="0"/>
        <w:autoSpaceDE/>
        <w:autoSpaceDN/>
        <w:adjustRightInd/>
        <w:snapToGrid w:val="0"/>
        <w:spacing w:line="540" w:lineRule="exact"/>
        <w:ind w:firstLine="643" w:firstLineChars="200"/>
        <w:jc w:val="center"/>
        <w:textAlignment w:val="auto"/>
        <w:rPr>
          <w:rFonts w:hint="eastAsia" w:ascii="宋体" w:hAnsi="宋体" w:eastAsia="宋体" w:cs="宋体"/>
          <w:b/>
          <w:sz w:val="32"/>
          <w:szCs w:val="32"/>
        </w:rPr>
      </w:pPr>
    </w:p>
    <w:p>
      <w:pPr>
        <w:keepNext w:val="0"/>
        <w:keepLines w:val="0"/>
        <w:pageBreakBefore w:val="0"/>
        <w:kinsoku/>
        <w:wordWrap/>
        <w:overflowPunct/>
        <w:topLinePunct w:val="0"/>
        <w:autoSpaceDE/>
        <w:autoSpaceDN/>
        <w:adjustRightInd/>
        <w:snapToGrid w:val="0"/>
        <w:spacing w:line="540" w:lineRule="exact"/>
        <w:ind w:firstLine="643" w:firstLineChars="200"/>
        <w:jc w:val="left"/>
        <w:textAlignment w:val="auto"/>
        <w:rPr>
          <w:rFonts w:ascii="仿宋" w:hAnsi="仿宋" w:eastAsia="仿宋" w:cs="仿宋"/>
          <w:sz w:val="32"/>
          <w:szCs w:val="32"/>
        </w:rPr>
      </w:pPr>
      <w:r>
        <w:rPr>
          <w:rFonts w:hint="eastAsia" w:ascii="宋体" w:hAnsi="宋体" w:eastAsia="宋体" w:cs="宋体"/>
          <w:b/>
          <w:bCs/>
          <w:sz w:val="32"/>
          <w:szCs w:val="32"/>
        </w:rPr>
        <w:t>一、收入支出预算总体情况说明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ascii="仿宋" w:hAnsi="仿宋" w:eastAsia="仿宋" w:cs="仿宋"/>
          <w:sz w:val="32"/>
          <w:szCs w:val="32"/>
          <w:highlight w:val="yellow"/>
        </w:rPr>
      </w:pPr>
      <w:r>
        <w:rPr>
          <w:rFonts w:hint="eastAsia" w:ascii="仿宋_GB2312" w:hAnsi="仿宋" w:eastAsia="仿宋_GB2312" w:cs="仿宋"/>
          <w:kern w:val="2"/>
          <w:sz w:val="32"/>
          <w:szCs w:val="32"/>
          <w:lang w:val="en-US" w:eastAsia="zh-CN" w:bidi="ar-SA"/>
        </w:rPr>
        <w:t>2022年收入总计为564.76万元；支出总计为564.76万元,与上年相比，收、支总计均减少5639.32万元, 下降90.90%。主要原因：医保基金费用不再在单位预算中列支。</w:t>
      </w:r>
      <w:r>
        <w:rPr>
          <w:rFonts w:hint="eastAsia" w:ascii="仿宋_GB2312" w:hAnsi="仿宋" w:eastAsia="仿宋_GB2312" w:cs="仿宋"/>
          <w:kern w:val="2"/>
          <w:sz w:val="32"/>
          <w:szCs w:val="32"/>
          <w:lang w:val="en-US" w:eastAsia="zh-CN" w:bidi="ar-SA"/>
        </w:rPr>
        <w:tab/>
      </w:r>
      <w:r>
        <w:rPr>
          <w:rFonts w:hint="eastAsia" w:ascii="仿宋_GB2312" w:hAnsi="仿宋" w:eastAsia="仿宋_GB2312" w:cs="仿宋"/>
          <w:kern w:val="2"/>
          <w:sz w:val="32"/>
          <w:szCs w:val="32"/>
          <w:lang w:val="en-US" w:eastAsia="zh-CN" w:bidi="ar-SA"/>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adjustRightInd/>
        <w:snapToGrid w:val="0"/>
        <w:spacing w:line="540" w:lineRule="exact"/>
        <w:ind w:firstLine="643" w:firstLineChars="200"/>
        <w:jc w:val="left"/>
        <w:textAlignment w:val="auto"/>
        <w:rPr>
          <w:rFonts w:ascii="仿宋" w:hAnsi="仿宋" w:eastAsia="仿宋" w:cs="仿宋"/>
          <w:sz w:val="32"/>
          <w:szCs w:val="32"/>
          <w:highlight w:val="none"/>
        </w:rPr>
      </w:pPr>
      <w:r>
        <w:rPr>
          <w:rFonts w:hint="eastAsia" w:ascii="宋体" w:hAnsi="宋体" w:eastAsia="宋体" w:cs="宋体"/>
          <w:b/>
          <w:bCs w:val="0"/>
          <w:kern w:val="0"/>
          <w:sz w:val="32"/>
          <w:szCs w:val="32"/>
          <w:highlight w:val="none"/>
        </w:rPr>
        <w:t>二、收入预算总体情况说明</w:t>
      </w:r>
      <w:r>
        <w:rPr>
          <w:rFonts w:ascii="仿宋" w:hAnsi="仿宋" w:eastAsia="仿宋" w:cs="仿宋"/>
          <w:sz w:val="32"/>
          <w:szCs w:val="32"/>
          <w:highlight w:val="none"/>
        </w:rPr>
        <w:tab/>
      </w:r>
      <w:r>
        <w:rPr>
          <w:rFonts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仿宋_GB2312" w:hAnsi="仿宋" w:eastAsia="仿宋_GB2312" w:cs="仿宋"/>
          <w:kern w:val="2"/>
          <w:sz w:val="32"/>
          <w:szCs w:val="32"/>
          <w:highlight w:val="yellow"/>
          <w:lang w:val="en-US" w:eastAsia="zh-CN" w:bidi="ar-SA"/>
        </w:rPr>
      </w:pPr>
      <w:r>
        <w:rPr>
          <w:rFonts w:hint="eastAsia" w:ascii="仿宋_GB2312" w:hAnsi="仿宋" w:eastAsia="仿宋_GB2312" w:cs="仿宋"/>
          <w:kern w:val="2"/>
          <w:sz w:val="32"/>
          <w:szCs w:val="32"/>
          <w:lang w:val="en-US" w:eastAsia="zh-CN" w:bidi="ar-SA"/>
        </w:rPr>
        <w:t>2022年收入合计为564.76万元，</w:t>
      </w:r>
      <w:r>
        <w:rPr>
          <w:rFonts w:hint="eastAsia" w:ascii="仿宋_GB2312" w:hAnsi="仿宋" w:eastAsia="仿宋_GB2312" w:cs="仿宋"/>
          <w:kern w:val="2"/>
          <w:sz w:val="32"/>
          <w:szCs w:val="32"/>
          <w:highlight w:val="none"/>
          <w:lang w:val="en-US" w:eastAsia="zh-CN" w:bidi="ar-SA"/>
        </w:rPr>
        <w:t>其中：一般公共预算561.76万元，政府性基金3万元。</w:t>
      </w:r>
    </w:p>
    <w:p>
      <w:pPr>
        <w:keepNext w:val="0"/>
        <w:keepLines w:val="0"/>
        <w:pageBreakBefore w:val="0"/>
        <w:kinsoku/>
        <w:wordWrap/>
        <w:overflowPunct/>
        <w:topLinePunct w:val="0"/>
        <w:autoSpaceDE/>
        <w:autoSpaceDN/>
        <w:adjustRightInd/>
        <w:snapToGrid w:val="0"/>
        <w:spacing w:line="540" w:lineRule="exact"/>
        <w:ind w:firstLine="643" w:firstLineChars="200"/>
        <w:jc w:val="left"/>
        <w:textAlignment w:val="auto"/>
        <w:rPr>
          <w:rFonts w:ascii="仿宋" w:hAnsi="仿宋" w:eastAsia="仿宋" w:cs="仿宋"/>
          <w:sz w:val="32"/>
          <w:szCs w:val="32"/>
          <w:highlight w:val="none"/>
        </w:rPr>
      </w:pPr>
      <w:r>
        <w:rPr>
          <w:rFonts w:hint="eastAsia" w:ascii="宋体" w:hAnsi="宋体" w:eastAsia="宋体" w:cs="宋体"/>
          <w:b/>
          <w:bCs w:val="0"/>
          <w:kern w:val="0"/>
          <w:sz w:val="32"/>
          <w:szCs w:val="32"/>
          <w:highlight w:val="none"/>
        </w:rPr>
        <w:t>三、支出预算总体情况说明</w:t>
      </w:r>
      <w:r>
        <w:rPr>
          <w:rFonts w:ascii="仿宋" w:hAnsi="仿宋" w:eastAsia="仿宋" w:cs="仿宋"/>
          <w:sz w:val="32"/>
          <w:szCs w:val="32"/>
          <w:highlight w:val="none"/>
        </w:rPr>
        <w:tab/>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kinsoku/>
        <w:wordWrap/>
        <w:overflowPunct/>
        <w:topLinePunct w:val="0"/>
        <w:autoSpaceDE/>
        <w:autoSpaceDN/>
        <w:adjustRightInd/>
        <w:snapToGrid w:val="0"/>
        <w:spacing w:line="540" w:lineRule="exact"/>
        <w:ind w:firstLine="640" w:firstLineChars="200"/>
        <w:jc w:val="both"/>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2022年支出预算564.76万元，按用途划分为：基本支出270.36万元,占47.87%；项目支出294.40万元，占52.13% 。</w:t>
      </w:r>
    </w:p>
    <w:p>
      <w:pPr>
        <w:keepNext w:val="0"/>
        <w:keepLines w:val="0"/>
        <w:pageBreakBefore w:val="0"/>
        <w:kinsoku/>
        <w:wordWrap/>
        <w:overflowPunct/>
        <w:topLinePunct w:val="0"/>
        <w:autoSpaceDE/>
        <w:autoSpaceDN/>
        <w:adjustRightInd/>
        <w:snapToGrid w:val="0"/>
        <w:spacing w:line="540" w:lineRule="exact"/>
        <w:ind w:firstLine="643" w:firstLineChars="200"/>
        <w:jc w:val="left"/>
        <w:textAlignment w:val="auto"/>
        <w:rPr>
          <w:rFonts w:ascii="仿宋" w:hAnsi="仿宋" w:eastAsia="仿宋" w:cs="仿宋"/>
          <w:sz w:val="32"/>
          <w:szCs w:val="32"/>
          <w:highlight w:val="none"/>
        </w:rPr>
      </w:pPr>
      <w:r>
        <w:rPr>
          <w:rFonts w:hint="eastAsia" w:ascii="宋体" w:hAnsi="宋体" w:eastAsia="宋体" w:cs="宋体"/>
          <w:b/>
          <w:bCs/>
          <w:sz w:val="32"/>
          <w:szCs w:val="32"/>
          <w:highlight w:val="none"/>
        </w:rPr>
        <w:t>四、财政拨款收入支出预算总体情况说明</w:t>
      </w:r>
      <w:r>
        <w:rPr>
          <w:rFonts w:hint="eastAsia" w:ascii="宋体" w:hAnsi="宋体" w:eastAsia="宋体" w:cs="宋体"/>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kinsoku/>
        <w:wordWrap/>
        <w:overflowPunct/>
        <w:topLinePunct w:val="0"/>
        <w:autoSpaceDE/>
        <w:autoSpaceDN/>
        <w:adjustRightInd/>
        <w:snapToGrid w:val="0"/>
        <w:spacing w:line="540" w:lineRule="exact"/>
        <w:ind w:firstLine="640" w:firstLineChars="200"/>
        <w:jc w:val="both"/>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2022年一般公共预算收支预算561.76万元，与上年相比，一般公共预算收支预算减少5794.19万元，下降93.39%,主要原因：医保基金费用不再在单位预算中列支。</w:t>
      </w:r>
    </w:p>
    <w:p>
      <w:pPr>
        <w:keepNext w:val="0"/>
        <w:keepLines w:val="0"/>
        <w:pageBreakBefore w:val="0"/>
        <w:numPr>
          <w:ilvl w:val="0"/>
          <w:numId w:val="1"/>
        </w:numPr>
        <w:kinsoku/>
        <w:wordWrap/>
        <w:overflowPunct/>
        <w:topLinePunct w:val="0"/>
        <w:autoSpaceDE/>
        <w:autoSpaceDN/>
        <w:adjustRightInd/>
        <w:snapToGrid w:val="0"/>
        <w:spacing w:line="540" w:lineRule="exact"/>
        <w:ind w:firstLine="643" w:firstLineChars="200"/>
        <w:jc w:val="left"/>
        <w:textAlignment w:val="auto"/>
        <w:rPr>
          <w:rFonts w:hint="eastAsia" w:ascii="仿宋" w:hAnsi="仿宋" w:eastAsia="仿宋" w:cs="仿宋"/>
          <w:sz w:val="32"/>
          <w:szCs w:val="32"/>
          <w:highlight w:val="none"/>
        </w:rPr>
      </w:pPr>
      <w:r>
        <w:rPr>
          <w:rFonts w:hint="eastAsia" w:ascii="宋体" w:hAnsi="宋体" w:eastAsia="宋体" w:cs="宋体"/>
          <w:b/>
          <w:bCs/>
          <w:sz w:val="32"/>
          <w:szCs w:val="32"/>
          <w:highlight w:val="none"/>
        </w:rPr>
        <w:t>一般公共预算支出预算情况说明</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r>
        <w:rPr>
          <w:rFonts w:hint="eastAsia" w:ascii="仿宋" w:hAnsi="仿宋" w:eastAsia="仿宋" w:cs="仿宋"/>
          <w:sz w:val="32"/>
          <w:szCs w:val="32"/>
          <w:highlight w:val="none"/>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left"/>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2022年一般公共预算支出年初预算为564.76万元。主要用于以下方面：社会保障和就业（类）支出24.38万元，占4.32%；医疗卫生（类）支出519.34万元，占91.95%；住房保障（类）支出18.04万元，占3.2%，其他支出（类）3万元，占0.53%。</w:t>
      </w:r>
    </w:p>
    <w:p>
      <w:pPr>
        <w:keepNext w:val="0"/>
        <w:keepLines w:val="0"/>
        <w:pageBreakBefore w:val="0"/>
        <w:kinsoku/>
        <w:wordWrap/>
        <w:overflowPunct/>
        <w:topLinePunct w:val="0"/>
        <w:autoSpaceDE/>
        <w:autoSpaceDN/>
        <w:adjustRightInd/>
        <w:snapToGrid w:val="0"/>
        <w:spacing w:line="540" w:lineRule="exact"/>
        <w:ind w:firstLine="643" w:firstLineChars="200"/>
        <w:jc w:val="left"/>
        <w:textAlignment w:val="auto"/>
        <w:rPr>
          <w:rFonts w:ascii="仿宋" w:hAnsi="仿宋" w:eastAsia="仿宋" w:cs="仿宋"/>
          <w:sz w:val="32"/>
          <w:szCs w:val="32"/>
          <w:highlight w:val="none"/>
        </w:rPr>
      </w:pPr>
      <w:r>
        <w:rPr>
          <w:rFonts w:hint="eastAsia" w:ascii="宋体" w:hAnsi="宋体" w:eastAsia="宋体" w:cs="宋体"/>
          <w:b/>
          <w:bCs/>
          <w:sz w:val="32"/>
          <w:szCs w:val="32"/>
          <w:highlight w:val="none"/>
        </w:rPr>
        <w:t>六、支出预算经济分类情况说明</w:t>
      </w:r>
      <w:r>
        <w:rPr>
          <w:rFonts w:hint="eastAsia" w:ascii="仿宋" w:hAnsi="仿宋" w:eastAsia="仿宋" w:cs="仿宋"/>
          <w:sz w:val="32"/>
          <w:szCs w:val="32"/>
          <w:highlight w:val="none"/>
        </w:rPr>
        <w:t xml:space="preserve">  </w:t>
      </w:r>
    </w:p>
    <w:p>
      <w:pPr>
        <w:pStyle w:val="7"/>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pStyle w:val="7"/>
        <w:keepNext w:val="0"/>
        <w:keepLines w:val="0"/>
        <w:pageBreakBefore w:val="0"/>
        <w:widowControl/>
        <w:shd w:val="clear" w:color="060000"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2022年预算支出564.76万元。其中：基本支出270.36万元，主要包括：基本工资、津贴补贴、奖金、职工基本医疗保险缴费、机关事业单位基本养老保险缴费、住房公积金、退休费、其他对个人和家庭的补助；项目支出294.40万元，主要包括：办公费、印刷费、邮电费、差旅费、公务接待费、工会经费、公务用车运行维护费。</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3" w:firstLineChars="200"/>
        <w:jc w:val="both"/>
        <w:textAlignment w:val="auto"/>
        <w:rPr>
          <w:rFonts w:ascii="仿宋" w:hAnsi="仿宋" w:eastAsia="仿宋" w:cs="仿宋"/>
          <w:sz w:val="32"/>
          <w:szCs w:val="32"/>
          <w:highlight w:val="none"/>
        </w:rPr>
      </w:pPr>
      <w:r>
        <w:rPr>
          <w:rFonts w:hint="eastAsia" w:ascii="宋体" w:hAnsi="宋体" w:cs="宋体"/>
          <w:b/>
          <w:bCs/>
          <w:sz w:val="32"/>
          <w:szCs w:val="32"/>
          <w:highlight w:val="none"/>
          <w:lang w:eastAsia="zh-CN"/>
        </w:rPr>
        <w:t>七</w:t>
      </w:r>
      <w:r>
        <w:rPr>
          <w:rFonts w:hint="eastAsia" w:ascii="宋体" w:hAnsi="宋体" w:eastAsia="宋体" w:cs="宋体"/>
          <w:b/>
          <w:bCs/>
          <w:sz w:val="32"/>
          <w:szCs w:val="32"/>
          <w:highlight w:val="none"/>
        </w:rPr>
        <w:t>、</w:t>
      </w:r>
      <w:r>
        <w:rPr>
          <w:rFonts w:hint="eastAsia" w:ascii="宋体" w:hAnsi="宋体" w:eastAsia="宋体" w:cs="宋体"/>
          <w:b/>
          <w:bCs w:val="0"/>
          <w:sz w:val="32"/>
          <w:szCs w:val="32"/>
          <w:highlight w:val="none"/>
        </w:rPr>
        <w:t>“三公”</w:t>
      </w:r>
      <w:r>
        <w:rPr>
          <w:rFonts w:hint="eastAsia" w:ascii="宋体" w:hAnsi="宋体" w:eastAsia="宋体" w:cs="宋体"/>
          <w:b/>
          <w:bCs w:val="0"/>
          <w:kern w:val="0"/>
          <w:sz w:val="32"/>
          <w:szCs w:val="32"/>
          <w:highlight w:val="none"/>
        </w:rPr>
        <w:t>经费</w:t>
      </w:r>
      <w:r>
        <w:rPr>
          <w:rFonts w:hint="eastAsia" w:ascii="宋体" w:hAnsi="宋体" w:eastAsia="宋体" w:cs="宋体"/>
          <w:b/>
          <w:bCs w:val="0"/>
          <w:kern w:val="0"/>
          <w:sz w:val="32"/>
          <w:szCs w:val="32"/>
          <w:highlight w:val="none"/>
          <w:lang w:eastAsia="zh-CN"/>
        </w:rPr>
        <w:t>支出预算情况说明</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_GB2312" w:hAnsi="仿宋" w:eastAsia="仿宋_GB2312" w:cs="仿宋"/>
          <w:sz w:val="32"/>
          <w:szCs w:val="32"/>
          <w:highlight w:val="none"/>
        </w:rPr>
        <w:t>202</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年“三公”经费公共预算</w:t>
      </w:r>
      <w:r>
        <w:rPr>
          <w:rFonts w:hint="eastAsia" w:ascii="仿宋_GB2312" w:hAnsi="仿宋" w:eastAsia="仿宋_GB2312" w:cs="仿宋"/>
          <w:sz w:val="32"/>
          <w:szCs w:val="32"/>
          <w:highlight w:val="none"/>
          <w:lang w:val="en-US" w:eastAsia="zh-CN"/>
        </w:rPr>
        <w:t>3.7</w:t>
      </w:r>
      <w:r>
        <w:rPr>
          <w:rFonts w:hint="eastAsia" w:ascii="仿宋_GB2312" w:hAnsi="仿宋" w:eastAsia="仿宋_GB2312" w:cs="仿宋"/>
          <w:sz w:val="32"/>
          <w:szCs w:val="32"/>
          <w:highlight w:val="none"/>
        </w:rPr>
        <w:t>万元</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其中：</w:t>
      </w:r>
      <w:r>
        <w:rPr>
          <w:rFonts w:hint="eastAsia" w:ascii="仿宋_GB2312" w:hAnsi="仿宋" w:eastAsia="仿宋_GB2312" w:cs="仿宋"/>
          <w:sz w:val="32"/>
          <w:szCs w:val="32"/>
          <w:highlight w:val="none"/>
        </w:rPr>
        <w:tab/>
      </w:r>
      <w:r>
        <w:rPr>
          <w:rFonts w:hint="eastAsia" w:ascii="仿宋_GB2312" w:hAnsi="仿宋" w:eastAsia="仿宋_GB2312" w:cs="仿宋"/>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jc w:val="both"/>
        <w:textAlignment w:val="auto"/>
        <w:rPr>
          <w:rFonts w:hint="eastAsia" w:ascii="仿宋_GB2312" w:hAnsi="仿宋" w:eastAsia="仿宋_GB2312" w:cs="仿宋"/>
          <w:sz w:val="32"/>
          <w:szCs w:val="32"/>
          <w:highlight w:val="none"/>
        </w:rPr>
      </w:pPr>
      <w:r>
        <w:rPr>
          <w:rFonts w:hint="eastAsia" w:ascii="仿宋_GB2312" w:hAnsi="仿宋" w:eastAsia="仿宋_GB2312" w:cs="仿宋"/>
          <w:b/>
          <w:bCs/>
          <w:sz w:val="32"/>
          <w:szCs w:val="32"/>
          <w:highlight w:val="none"/>
        </w:rPr>
        <w:t>（一）因公出国（境）费</w:t>
      </w:r>
      <w:r>
        <w:rPr>
          <w:rFonts w:hint="eastAsia" w:ascii="仿宋_GB2312" w:hAnsi="仿宋" w:eastAsia="仿宋_GB2312" w:cs="仿宋"/>
          <w:sz w:val="32"/>
          <w:szCs w:val="32"/>
          <w:highlight w:val="none"/>
        </w:rPr>
        <w:t>预算0万元。预算数与 202</w:t>
      </w:r>
      <w:r>
        <w:rPr>
          <w:rFonts w:hint="eastAsia" w:ascii="仿宋_GB2312" w:hAnsi="仿宋" w:eastAsia="仿宋_GB2312" w:cs="仿宋"/>
          <w:sz w:val="32"/>
          <w:szCs w:val="32"/>
          <w:highlight w:val="none"/>
          <w:lang w:val="en-US" w:eastAsia="zh-CN"/>
        </w:rPr>
        <w:t>1</w:t>
      </w:r>
      <w:r>
        <w:rPr>
          <w:rFonts w:hint="eastAsia" w:ascii="仿宋_GB2312" w:hAnsi="仿宋" w:eastAsia="仿宋_GB2312" w:cs="仿宋"/>
          <w:sz w:val="32"/>
          <w:szCs w:val="32"/>
          <w:highlight w:val="none"/>
        </w:rPr>
        <w:t xml:space="preserve"> 年持平，主要原因是我单位202</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年无因公出国境任务。</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jc w:val="both"/>
        <w:textAlignment w:val="auto"/>
        <w:rPr>
          <w:rFonts w:hint="eastAsia" w:ascii="仿宋_GB2312" w:hAnsi="仿宋" w:eastAsia="仿宋_GB2312" w:cs="仿宋"/>
          <w:sz w:val="32"/>
          <w:szCs w:val="32"/>
          <w:highlight w:val="yellow"/>
        </w:rPr>
      </w:pPr>
      <w:r>
        <w:rPr>
          <w:rFonts w:hint="eastAsia" w:ascii="仿宋_GB2312" w:hAnsi="仿宋" w:eastAsia="仿宋_GB2312" w:cs="仿宋"/>
          <w:b/>
          <w:bCs/>
          <w:sz w:val="32"/>
          <w:szCs w:val="32"/>
          <w:highlight w:val="none"/>
        </w:rPr>
        <w:t>（</w:t>
      </w:r>
      <w:r>
        <w:rPr>
          <w:rFonts w:hint="eastAsia" w:ascii="仿宋_GB2312" w:hAnsi="仿宋" w:eastAsia="仿宋_GB2312" w:cs="仿宋"/>
          <w:b/>
          <w:bCs/>
          <w:sz w:val="32"/>
          <w:szCs w:val="32"/>
          <w:highlight w:val="none"/>
          <w:lang w:eastAsia="zh-CN"/>
        </w:rPr>
        <w:t>二</w:t>
      </w:r>
      <w:r>
        <w:rPr>
          <w:rFonts w:hint="eastAsia" w:ascii="仿宋_GB2312" w:hAnsi="仿宋" w:eastAsia="仿宋_GB2312" w:cs="仿宋"/>
          <w:b/>
          <w:bCs/>
          <w:sz w:val="32"/>
          <w:szCs w:val="32"/>
          <w:highlight w:val="none"/>
        </w:rPr>
        <w:t>）公务用车购置及运行费</w:t>
      </w:r>
      <w:r>
        <w:rPr>
          <w:rFonts w:hint="eastAsia" w:ascii="仿宋_GB2312" w:hAnsi="仿宋" w:eastAsia="仿宋_GB2312" w:cs="仿宋"/>
          <w:sz w:val="32"/>
          <w:szCs w:val="32"/>
          <w:highlight w:val="none"/>
        </w:rPr>
        <w:t>预算</w:t>
      </w:r>
      <w:r>
        <w:rPr>
          <w:rFonts w:hint="eastAsia" w:ascii="仿宋_GB2312" w:hAnsi="仿宋" w:eastAsia="仿宋_GB2312" w:cs="仿宋"/>
          <w:sz w:val="32"/>
          <w:szCs w:val="32"/>
          <w:highlight w:val="none"/>
          <w:lang w:val="en-US" w:eastAsia="zh-CN"/>
        </w:rPr>
        <w:t>3.5</w:t>
      </w:r>
      <w:r>
        <w:rPr>
          <w:rFonts w:hint="eastAsia" w:ascii="仿宋_GB2312" w:hAnsi="仿宋" w:eastAsia="仿宋_GB2312" w:cs="仿宋"/>
          <w:sz w:val="32"/>
          <w:szCs w:val="32"/>
          <w:highlight w:val="none"/>
        </w:rPr>
        <w:t>万元，与上年相比增加</w:t>
      </w:r>
      <w:r>
        <w:rPr>
          <w:rFonts w:hint="eastAsia" w:ascii="仿宋_GB2312" w:hAnsi="仿宋" w:eastAsia="仿宋_GB2312" w:cs="仿宋"/>
          <w:sz w:val="32"/>
          <w:szCs w:val="32"/>
          <w:highlight w:val="none"/>
          <w:lang w:val="en-US" w:eastAsia="zh-CN"/>
        </w:rPr>
        <w:t>2.5</w:t>
      </w:r>
      <w:r>
        <w:rPr>
          <w:rFonts w:hint="eastAsia" w:ascii="仿宋_GB2312" w:hAnsi="仿宋" w:eastAsia="仿宋_GB2312" w:cs="仿宋"/>
          <w:sz w:val="32"/>
          <w:szCs w:val="32"/>
          <w:highlight w:val="none"/>
        </w:rPr>
        <w:t xml:space="preserve">万元，占“三公”经费总额的 </w:t>
      </w:r>
      <w:r>
        <w:rPr>
          <w:rFonts w:hint="eastAsia" w:ascii="仿宋_GB2312" w:hAnsi="仿宋" w:eastAsia="仿宋_GB2312" w:cs="仿宋"/>
          <w:sz w:val="32"/>
          <w:szCs w:val="32"/>
          <w:highlight w:val="none"/>
          <w:lang w:val="en-US" w:eastAsia="zh-CN"/>
        </w:rPr>
        <w:t>94.59</w:t>
      </w:r>
      <w:r>
        <w:rPr>
          <w:rFonts w:hint="eastAsia" w:ascii="仿宋_GB2312" w:hAnsi="仿宋" w:eastAsia="仿宋_GB2312" w:cs="仿宋"/>
          <w:sz w:val="32"/>
          <w:szCs w:val="32"/>
          <w:highlight w:val="none"/>
        </w:rPr>
        <w:t>%。其中，公务用车运行费</w:t>
      </w:r>
      <w:r>
        <w:rPr>
          <w:rFonts w:hint="eastAsia" w:ascii="仿宋_GB2312" w:hAnsi="仿宋" w:eastAsia="仿宋_GB2312" w:cs="仿宋"/>
          <w:sz w:val="32"/>
          <w:szCs w:val="32"/>
          <w:highlight w:val="none"/>
          <w:lang w:val="en-US" w:eastAsia="zh-CN"/>
        </w:rPr>
        <w:t>3.5</w:t>
      </w:r>
      <w:r>
        <w:rPr>
          <w:rFonts w:hint="eastAsia" w:ascii="仿宋_GB2312" w:hAnsi="仿宋" w:eastAsia="仿宋_GB2312" w:cs="仿宋"/>
          <w:sz w:val="32"/>
          <w:szCs w:val="32"/>
          <w:highlight w:val="none"/>
        </w:rPr>
        <w:t>万元，与上年相比增加</w:t>
      </w:r>
      <w:r>
        <w:rPr>
          <w:rFonts w:hint="eastAsia" w:ascii="仿宋_GB2312" w:hAnsi="仿宋" w:eastAsia="仿宋_GB2312" w:cs="仿宋"/>
          <w:sz w:val="32"/>
          <w:szCs w:val="32"/>
          <w:highlight w:val="none"/>
          <w:lang w:val="en-US" w:eastAsia="zh-CN"/>
        </w:rPr>
        <w:t>2.5</w:t>
      </w:r>
      <w:r>
        <w:rPr>
          <w:rFonts w:hint="eastAsia" w:ascii="仿宋_GB2312" w:hAnsi="仿宋" w:eastAsia="仿宋_GB2312" w:cs="仿宋"/>
          <w:sz w:val="32"/>
          <w:szCs w:val="32"/>
          <w:highlight w:val="none"/>
        </w:rPr>
        <w:t>万元，占“三公”经费总额的</w:t>
      </w:r>
      <w:r>
        <w:rPr>
          <w:rFonts w:hint="eastAsia" w:ascii="仿宋_GB2312" w:hAnsi="仿宋" w:eastAsia="仿宋_GB2312" w:cs="仿宋"/>
          <w:sz w:val="32"/>
          <w:szCs w:val="32"/>
          <w:highlight w:val="none"/>
          <w:lang w:val="en-US" w:eastAsia="zh-CN"/>
        </w:rPr>
        <w:t>94.59</w:t>
      </w:r>
      <w:r>
        <w:rPr>
          <w:rFonts w:hint="eastAsia" w:ascii="仿宋_GB2312" w:hAnsi="仿宋" w:eastAsia="仿宋_GB2312" w:cs="仿宋"/>
          <w:sz w:val="32"/>
          <w:szCs w:val="32"/>
          <w:highlight w:val="none"/>
        </w:rPr>
        <w:t>%。主要原因是</w:t>
      </w:r>
      <w:r>
        <w:rPr>
          <w:rFonts w:hint="eastAsia" w:ascii="仿宋_GB2312" w:hAnsi="仿宋" w:eastAsia="仿宋_GB2312" w:cs="仿宋"/>
          <w:sz w:val="32"/>
          <w:szCs w:val="32"/>
          <w:highlight w:val="none"/>
          <w:lang w:eastAsia="zh-CN"/>
        </w:rPr>
        <w:t>单位业务增加，进行车辆租赁，公车运行维护费用增加</w:t>
      </w:r>
      <w:r>
        <w:rPr>
          <w:rFonts w:hint="eastAsia" w:ascii="仿宋_GB2312" w:hAnsi="仿宋" w:eastAsia="仿宋_GB2312" w:cs="仿宋"/>
          <w:sz w:val="32"/>
          <w:szCs w:val="32"/>
          <w:highlight w:val="none"/>
        </w:rPr>
        <w:t>；公务用车购置预算为</w:t>
      </w:r>
      <w:r>
        <w:rPr>
          <w:rFonts w:hint="eastAsia" w:ascii="仿宋_GB2312" w:hAnsi="仿宋" w:eastAsia="仿宋_GB2312" w:cs="仿宋"/>
          <w:sz w:val="32"/>
          <w:szCs w:val="32"/>
          <w:highlight w:val="none"/>
        </w:rPr>
        <w:tab/>
      </w:r>
      <w:r>
        <w:rPr>
          <w:rFonts w:hint="eastAsia" w:ascii="仿宋_GB2312" w:hAnsi="仿宋" w:eastAsia="仿宋_GB2312" w:cs="仿宋"/>
          <w:sz w:val="32"/>
          <w:szCs w:val="32"/>
          <w:highlight w:val="none"/>
        </w:rPr>
        <w:t>0万元，比上年增加0万元，占“三公”经费总额0%，主要原因是落实公车改革政策、加强公务用车管理，严控公务用车支出。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 w:eastAsia="仿宋_GB2312" w:cs="仿宋"/>
          <w:sz w:val="32"/>
          <w:szCs w:val="32"/>
          <w:highlight w:val="yellow"/>
        </w:rPr>
      </w:pPr>
      <w:r>
        <w:rPr>
          <w:rFonts w:hint="eastAsia" w:ascii="仿宋_GB2312" w:hAnsi="仿宋" w:eastAsia="仿宋_GB2312" w:cs="仿宋"/>
          <w:b/>
          <w:bCs/>
          <w:sz w:val="32"/>
          <w:szCs w:val="32"/>
          <w:highlight w:val="none"/>
        </w:rPr>
        <w:t>（</w:t>
      </w:r>
      <w:r>
        <w:rPr>
          <w:rFonts w:hint="eastAsia" w:ascii="仿宋_GB2312" w:hAnsi="仿宋" w:eastAsia="仿宋_GB2312" w:cs="仿宋"/>
          <w:b/>
          <w:bCs/>
          <w:sz w:val="32"/>
          <w:szCs w:val="32"/>
          <w:highlight w:val="none"/>
          <w:lang w:eastAsia="zh-CN"/>
        </w:rPr>
        <w:t>三</w:t>
      </w:r>
      <w:r>
        <w:rPr>
          <w:rFonts w:hint="eastAsia" w:ascii="仿宋_GB2312" w:hAnsi="仿宋" w:eastAsia="仿宋_GB2312" w:cs="仿宋"/>
          <w:b/>
          <w:bCs/>
          <w:sz w:val="32"/>
          <w:szCs w:val="32"/>
          <w:highlight w:val="none"/>
        </w:rPr>
        <w:t>）公务接待费</w:t>
      </w:r>
      <w:r>
        <w:rPr>
          <w:rFonts w:hint="eastAsia" w:ascii="仿宋_GB2312" w:hAnsi="仿宋" w:eastAsia="仿宋_GB2312" w:cs="仿宋"/>
          <w:b w:val="0"/>
          <w:bCs w:val="0"/>
          <w:sz w:val="32"/>
          <w:szCs w:val="32"/>
          <w:highlight w:val="none"/>
        </w:rPr>
        <w:t>预算</w:t>
      </w:r>
      <w:r>
        <w:rPr>
          <w:rFonts w:hint="eastAsia" w:ascii="仿宋_GB2312" w:hAnsi="仿宋" w:eastAsia="仿宋_GB2312" w:cs="仿宋"/>
          <w:sz w:val="32"/>
          <w:szCs w:val="32"/>
          <w:highlight w:val="none"/>
          <w:lang w:val="en-US" w:eastAsia="zh-CN"/>
        </w:rPr>
        <w:t>0.2</w:t>
      </w:r>
      <w:r>
        <w:rPr>
          <w:rFonts w:hint="eastAsia" w:ascii="仿宋_GB2312" w:hAnsi="仿宋" w:eastAsia="仿宋_GB2312" w:cs="仿宋"/>
          <w:sz w:val="32"/>
          <w:szCs w:val="32"/>
          <w:highlight w:val="none"/>
        </w:rPr>
        <w:t>万元，预算数比上年下降</w:t>
      </w:r>
      <w:r>
        <w:rPr>
          <w:rFonts w:hint="eastAsia" w:ascii="仿宋_GB2312" w:hAnsi="仿宋" w:eastAsia="仿宋_GB2312" w:cs="仿宋"/>
          <w:sz w:val="32"/>
          <w:szCs w:val="32"/>
          <w:highlight w:val="none"/>
          <w:lang w:val="en-US" w:eastAsia="zh-CN"/>
        </w:rPr>
        <w:t>0.1</w:t>
      </w:r>
      <w:r>
        <w:rPr>
          <w:rFonts w:hint="eastAsia" w:ascii="仿宋_GB2312" w:hAnsi="仿宋" w:eastAsia="仿宋_GB2312" w:cs="仿宋"/>
          <w:sz w:val="32"/>
          <w:szCs w:val="32"/>
          <w:highlight w:val="none"/>
        </w:rPr>
        <w:t>万元</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占“三公”经费总额的</w:t>
      </w:r>
      <w:r>
        <w:rPr>
          <w:rFonts w:hint="eastAsia" w:ascii="仿宋_GB2312" w:hAnsi="仿宋" w:eastAsia="仿宋_GB2312" w:cs="仿宋"/>
          <w:sz w:val="32"/>
          <w:szCs w:val="32"/>
          <w:highlight w:val="none"/>
          <w:lang w:val="en-US" w:eastAsia="zh-CN"/>
        </w:rPr>
        <w:t>5.41</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w:t>
      </w:r>
      <w:r>
        <w:rPr>
          <w:rFonts w:hint="eastAsia" w:ascii="仿宋_GB2312" w:hAnsi="仿宋" w:eastAsia="仿宋_GB2312" w:cs="仿宋"/>
          <w:bCs/>
          <w:kern w:val="0"/>
          <w:sz w:val="32"/>
          <w:szCs w:val="32"/>
          <w:highlight w:val="none"/>
        </w:rPr>
        <w:t>主要原因是严格执行《党政机关国内公务接待管理规定》等办法，不断规范公务接待管理，严格接待审批控制，厉行勤俭节约，不断压缩公务接待费支出等。</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630" w:leftChars="0"/>
        <w:jc w:val="both"/>
        <w:textAlignment w:val="auto"/>
        <w:rPr>
          <w:rFonts w:hint="eastAsia" w:ascii="宋体" w:hAnsi="宋体" w:eastAsia="宋体" w:cs="宋体"/>
          <w:b/>
          <w:bCs w:val="0"/>
          <w:kern w:val="0"/>
          <w:sz w:val="32"/>
          <w:szCs w:val="32"/>
          <w:highlight w:val="none"/>
        </w:rPr>
      </w:pPr>
      <w:r>
        <w:rPr>
          <w:rFonts w:hint="eastAsia" w:ascii="宋体" w:hAnsi="宋体" w:cs="宋体"/>
          <w:b/>
          <w:bCs w:val="0"/>
          <w:kern w:val="0"/>
          <w:sz w:val="32"/>
          <w:szCs w:val="32"/>
          <w:highlight w:val="none"/>
          <w:lang w:eastAsia="zh-CN"/>
        </w:rPr>
        <w:t>八、</w:t>
      </w:r>
      <w:r>
        <w:rPr>
          <w:rFonts w:hint="eastAsia" w:ascii="宋体" w:hAnsi="宋体" w:eastAsia="宋体" w:cs="宋体"/>
          <w:b/>
          <w:bCs w:val="0"/>
          <w:kern w:val="0"/>
          <w:sz w:val="32"/>
          <w:szCs w:val="32"/>
          <w:highlight w:val="none"/>
        </w:rPr>
        <w:t>政府性基金预算支出预算情况说明</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部门202</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年政府性基金预算支出</w:t>
      </w: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万元，预算数与上年</w:t>
      </w:r>
      <w:r>
        <w:rPr>
          <w:rFonts w:hint="eastAsia" w:ascii="仿宋_GB2312" w:hAnsi="仿宋" w:eastAsia="仿宋_GB2312" w:cs="仿宋"/>
          <w:sz w:val="32"/>
          <w:szCs w:val="32"/>
          <w:highlight w:val="none"/>
          <w:lang w:eastAsia="zh-CN"/>
        </w:rPr>
        <w:t>增加</w:t>
      </w:r>
      <w:r>
        <w:rPr>
          <w:rFonts w:hint="eastAsia" w:ascii="仿宋_GB2312" w:hAnsi="仿宋" w:eastAsia="仿宋_GB2312" w:cs="仿宋"/>
          <w:sz w:val="32"/>
          <w:szCs w:val="32"/>
          <w:highlight w:val="none"/>
          <w:lang w:val="en-US" w:eastAsia="zh-CN"/>
        </w:rPr>
        <w:t>3万元</w:t>
      </w:r>
      <w:r>
        <w:rPr>
          <w:rFonts w:hint="eastAsia" w:ascii="仿宋_GB2312" w:hAnsi="仿宋" w:eastAsia="仿宋_GB2312" w:cs="仿宋"/>
          <w:sz w:val="32"/>
          <w:szCs w:val="32"/>
          <w:highlight w:val="none"/>
          <w:lang w:eastAsia="zh-CN"/>
        </w:rPr>
        <w:t>。</w:t>
      </w:r>
    </w:p>
    <w:p>
      <w:pPr>
        <w:pStyle w:val="10"/>
        <w:keepNext w:val="0"/>
        <w:keepLines w:val="0"/>
        <w:pageBreakBefore w:val="0"/>
        <w:widowControl/>
        <w:kinsoku/>
        <w:wordWrap/>
        <w:overflowPunct/>
        <w:topLinePunct w:val="0"/>
        <w:autoSpaceDE/>
        <w:autoSpaceDN/>
        <w:adjustRightInd/>
        <w:spacing w:before="0" w:beforeAutospacing="0" w:after="0" w:afterAutospacing="0" w:line="540" w:lineRule="exact"/>
        <w:ind w:firstLine="643" w:firstLineChars="200"/>
        <w:jc w:val="both"/>
        <w:textAlignment w:val="auto"/>
        <w:rPr>
          <w:rFonts w:hint="eastAsia" w:ascii="仿宋_GB2312" w:hAnsi="仿宋" w:eastAsia="仿宋_GB2312" w:cs="仿宋"/>
          <w:kern w:val="2"/>
          <w:sz w:val="32"/>
          <w:szCs w:val="32"/>
          <w:highlight w:val="yellow"/>
          <w:lang w:val="en-US" w:eastAsia="zh-CN" w:bidi="ar-SA"/>
        </w:rPr>
      </w:pPr>
      <w:r>
        <w:rPr>
          <w:rFonts w:hint="eastAsia" w:ascii="宋体" w:hAnsi="宋体" w:eastAsia="宋体" w:cs="宋体"/>
          <w:b/>
          <w:bCs/>
          <w:sz w:val="32"/>
          <w:szCs w:val="32"/>
          <w:highlight w:val="none"/>
          <w:lang w:eastAsia="zh-CN"/>
        </w:rPr>
        <w:t>九</w:t>
      </w:r>
      <w:r>
        <w:rPr>
          <w:rFonts w:hint="eastAsia" w:ascii="宋体" w:hAnsi="宋体" w:eastAsia="宋体" w:cs="宋体"/>
          <w:b/>
          <w:bCs/>
          <w:sz w:val="32"/>
          <w:szCs w:val="32"/>
          <w:highlight w:val="none"/>
        </w:rPr>
        <w:t xml:space="preserve">、其他重要事项情况说明 </w:t>
      </w:r>
      <w:r>
        <w:rPr>
          <w:rFonts w:hint="eastAsia" w:ascii="仿宋_GB2312" w:hAnsi="仿宋" w:eastAsia="仿宋_GB2312" w:cs="仿宋"/>
          <w:kern w:val="2"/>
          <w:sz w:val="32"/>
          <w:szCs w:val="32"/>
          <w:highlight w:val="none"/>
          <w:lang w:val="en-US" w:eastAsia="zh-CN" w:bidi="ar-SA"/>
        </w:rPr>
        <w:tab/>
      </w:r>
      <w:r>
        <w:rPr>
          <w:rFonts w:hint="eastAsia" w:ascii="仿宋_GB2312" w:hAnsi="仿宋" w:eastAsia="仿宋_GB2312" w:cs="仿宋"/>
          <w:kern w:val="2"/>
          <w:sz w:val="32"/>
          <w:szCs w:val="32"/>
          <w:highlight w:val="none"/>
          <w:lang w:val="en-US" w:eastAsia="zh-CN" w:bidi="ar-SA"/>
        </w:rPr>
        <w:tab/>
      </w:r>
      <w:r>
        <w:rPr>
          <w:rFonts w:hint="eastAsia" w:ascii="仿宋_GB2312" w:hAnsi="仿宋" w:eastAsia="仿宋_GB2312" w:cs="仿宋"/>
          <w:kern w:val="2"/>
          <w:sz w:val="32"/>
          <w:szCs w:val="32"/>
          <w:highlight w:val="none"/>
          <w:lang w:val="en-US" w:eastAsia="zh-CN" w:bidi="ar-SA"/>
        </w:rPr>
        <w:tab/>
      </w:r>
      <w:r>
        <w:rPr>
          <w:rFonts w:hint="eastAsia" w:ascii="仿宋_GB2312" w:hAnsi="仿宋" w:eastAsia="仿宋_GB2312" w:cs="仿宋"/>
          <w:kern w:val="2"/>
          <w:sz w:val="32"/>
          <w:szCs w:val="32"/>
          <w:highlight w:val="none"/>
          <w:lang w:val="en-US" w:eastAsia="zh-CN" w:bidi="ar-SA"/>
        </w:rPr>
        <w:tab/>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仿宋"/>
          <w:b/>
          <w:bCs/>
          <w:kern w:val="2"/>
          <w:sz w:val="32"/>
          <w:szCs w:val="32"/>
          <w:highlight w:val="none"/>
          <w:lang w:val="en-US" w:eastAsia="zh-CN" w:bidi="ar-SA"/>
        </w:rPr>
      </w:pPr>
      <w:r>
        <w:rPr>
          <w:rFonts w:hint="eastAsia" w:ascii="仿宋_GB2312" w:hAnsi="仿宋" w:eastAsia="仿宋_GB2312" w:cs="仿宋"/>
          <w:b/>
          <w:bCs/>
          <w:kern w:val="2"/>
          <w:sz w:val="32"/>
          <w:szCs w:val="32"/>
          <w:highlight w:val="none"/>
          <w:lang w:val="en-US" w:eastAsia="zh-CN" w:bidi="ar-SA"/>
        </w:rPr>
        <w:t>（一）机关运行经费预算</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2022年，机关运行经费支出预算8.81万元，主要用于办公及印刷费、邮电费、差旅费、会议费、水、电、暖、物业管理等</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运行维护费、公务用车运行维护费以及其他费用。</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b/>
          <w:bCs/>
          <w:kern w:val="2"/>
          <w:sz w:val="32"/>
          <w:szCs w:val="32"/>
          <w:highlight w:val="none"/>
          <w:lang w:val="en-US" w:eastAsia="zh-CN" w:bidi="ar-SA"/>
        </w:rPr>
        <w:t>（二）政府采购支出情况</w:t>
      </w:r>
      <w:r>
        <w:rPr>
          <w:rFonts w:hint="eastAsia" w:ascii="仿宋_GB2312" w:hAnsi="仿宋" w:eastAsia="仿宋_GB2312" w:cs="仿宋"/>
          <w:b/>
          <w:bCs/>
          <w:kern w:val="2"/>
          <w:sz w:val="32"/>
          <w:szCs w:val="32"/>
          <w:highlight w:val="none"/>
          <w:lang w:val="en-US" w:eastAsia="zh-CN" w:bidi="ar-SA"/>
        </w:rPr>
        <w:tab/>
      </w:r>
      <w:r>
        <w:rPr>
          <w:rFonts w:hint="eastAsia" w:ascii="仿宋_GB2312" w:hAnsi="仿宋" w:eastAsia="仿宋_GB2312" w:cs="仿宋"/>
          <w:b/>
          <w:bCs/>
          <w:kern w:val="2"/>
          <w:sz w:val="32"/>
          <w:szCs w:val="32"/>
          <w:highlight w:val="none"/>
          <w:lang w:val="en-US" w:eastAsia="zh-CN" w:bidi="ar-SA"/>
        </w:rPr>
        <w:tab/>
      </w:r>
      <w:r>
        <w:rPr>
          <w:rFonts w:hint="eastAsia" w:ascii="仿宋_GB2312" w:hAnsi="仿宋" w:eastAsia="仿宋_GB2312" w:cs="仿宋"/>
          <w:kern w:val="2"/>
          <w:sz w:val="32"/>
          <w:szCs w:val="32"/>
          <w:highlight w:val="none"/>
          <w:lang w:val="en-US" w:eastAsia="zh-CN" w:bidi="ar-SA"/>
        </w:rPr>
        <w:tab/>
      </w:r>
      <w:r>
        <w:rPr>
          <w:rFonts w:hint="eastAsia" w:ascii="仿宋_GB2312" w:hAnsi="仿宋" w:eastAsia="仿宋_GB2312" w:cs="仿宋"/>
          <w:kern w:val="2"/>
          <w:sz w:val="32"/>
          <w:szCs w:val="32"/>
          <w:highlight w:val="none"/>
          <w:lang w:val="en-US" w:eastAsia="zh-CN" w:bidi="ar-SA"/>
        </w:rPr>
        <w:tab/>
      </w:r>
      <w:r>
        <w:rPr>
          <w:rFonts w:hint="eastAsia" w:ascii="仿宋_GB2312" w:hAnsi="仿宋" w:eastAsia="仿宋_GB2312" w:cs="仿宋"/>
          <w:kern w:val="2"/>
          <w:sz w:val="32"/>
          <w:szCs w:val="32"/>
          <w:highlight w:val="none"/>
          <w:lang w:val="en-US" w:eastAsia="zh-CN" w:bidi="ar-SA"/>
        </w:rPr>
        <w:tab/>
      </w:r>
      <w:r>
        <w:rPr>
          <w:rFonts w:hint="eastAsia" w:ascii="仿宋_GB2312" w:hAnsi="仿宋" w:eastAsia="仿宋_GB2312" w:cs="仿宋"/>
          <w:kern w:val="2"/>
          <w:sz w:val="32"/>
          <w:szCs w:val="32"/>
          <w:highlight w:val="none"/>
          <w:lang w:val="en-US" w:eastAsia="zh-CN" w:bidi="ar-SA"/>
        </w:rPr>
        <w:tab/>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 w:eastAsia="仿宋_GB2312" w:cs="仿宋"/>
          <w:kern w:val="2"/>
          <w:sz w:val="32"/>
          <w:szCs w:val="32"/>
          <w:highlight w:val="none"/>
          <w:lang w:val="en-US" w:eastAsia="zh-CN" w:bidi="ar-SA"/>
        </w:rPr>
      </w:pPr>
      <w:r>
        <w:rPr>
          <w:rFonts w:hint="eastAsia" w:ascii="仿宋_GB2312" w:hAnsi="仿宋" w:eastAsia="仿宋_GB2312" w:cs="仿宋"/>
          <w:kern w:val="2"/>
          <w:sz w:val="32"/>
          <w:szCs w:val="32"/>
          <w:highlight w:val="none"/>
          <w:lang w:val="en-US" w:eastAsia="zh-CN" w:bidi="ar-SA"/>
        </w:rPr>
        <w:t xml:space="preserve">2022年，政府采购预算安排0万元，其中：政府采购货物预算0万元、政府采购工程预算0万元、政府采购服务预算0万元。主要用于办公设备、办公用品购置及印刷品。预算数与 2021年相比减少0万元。 </w:t>
      </w:r>
      <w:r>
        <w:rPr>
          <w:rFonts w:hint="eastAsia" w:ascii="仿宋_GB2312" w:hAnsi="仿宋" w:eastAsia="仿宋_GB2312" w:cs="仿宋"/>
          <w:kern w:val="2"/>
          <w:sz w:val="32"/>
          <w:szCs w:val="32"/>
          <w:highlight w:val="none"/>
          <w:lang w:val="en-US" w:eastAsia="zh-CN" w:bidi="ar-SA"/>
        </w:rPr>
        <w:tab/>
      </w:r>
      <w:r>
        <w:rPr>
          <w:rFonts w:hint="eastAsia" w:ascii="仿宋_GB2312" w:hAnsi="仿宋" w:eastAsia="仿宋_GB2312" w:cs="仿宋"/>
          <w:kern w:val="2"/>
          <w:sz w:val="32"/>
          <w:szCs w:val="32"/>
          <w:highlight w:val="none"/>
          <w:lang w:val="en-US" w:eastAsia="zh-CN" w:bidi="ar-SA"/>
        </w:rPr>
        <w:tab/>
      </w:r>
    </w:p>
    <w:p>
      <w:pPr>
        <w:pStyle w:val="7"/>
        <w:keepNext w:val="0"/>
        <w:keepLines w:val="0"/>
        <w:pageBreakBefore w:val="0"/>
        <w:widowControl/>
        <w:kinsoku/>
        <w:wordWrap/>
        <w:overflowPunct/>
        <w:topLinePunct w:val="0"/>
        <w:autoSpaceDE/>
        <w:autoSpaceDN/>
        <w:bidi w:val="0"/>
        <w:adjustRightInd/>
        <w:spacing w:beforeAutospacing="0" w:afterAutospacing="0" w:line="540" w:lineRule="exact"/>
        <w:ind w:firstLine="643" w:firstLineChars="200"/>
        <w:jc w:val="both"/>
        <w:textAlignment w:val="auto"/>
        <w:rPr>
          <w:rFonts w:hint="eastAsia" w:ascii="仿宋_GB2312" w:hAnsi="仿宋" w:eastAsia="仿宋_GB2312" w:cs="仿宋"/>
          <w:b/>
          <w:bCs/>
          <w:kern w:val="2"/>
          <w:sz w:val="32"/>
          <w:szCs w:val="32"/>
          <w:highlight w:val="none"/>
          <w:lang w:val="en-US" w:eastAsia="zh-CN" w:bidi="ar-SA"/>
        </w:rPr>
      </w:pPr>
      <w:r>
        <w:rPr>
          <w:rFonts w:hint="eastAsia" w:ascii="仿宋_GB2312" w:hAnsi="仿宋" w:eastAsia="仿宋_GB2312" w:cs="仿宋"/>
          <w:b/>
          <w:bCs/>
          <w:kern w:val="2"/>
          <w:sz w:val="32"/>
          <w:szCs w:val="32"/>
          <w:highlight w:val="none"/>
          <w:lang w:val="en-US" w:eastAsia="zh-CN" w:bidi="ar-SA"/>
        </w:rPr>
        <w:t>（三）绩效目标设置情况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202</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napToGrid w:val="0"/>
        <w:spacing w:line="540" w:lineRule="exact"/>
        <w:ind w:firstLine="643" w:firstLineChars="200"/>
        <w:jc w:val="both"/>
        <w:textAlignment w:val="auto"/>
        <w:rPr>
          <w:rFonts w:hint="eastAsia" w:ascii="仿宋_GB2312" w:hAnsi="仿宋" w:eastAsia="仿宋_GB2312" w:cs="仿宋"/>
          <w:b/>
          <w:bCs/>
          <w:sz w:val="32"/>
          <w:szCs w:val="32"/>
          <w:highlight w:val="none"/>
        </w:rPr>
      </w:pPr>
      <w:r>
        <w:rPr>
          <w:rFonts w:hint="eastAsia" w:ascii="仿宋_GB2312" w:hAnsi="仿宋" w:eastAsia="仿宋_GB2312" w:cs="仿宋"/>
          <w:b/>
          <w:bCs/>
          <w:sz w:val="32"/>
          <w:szCs w:val="32"/>
          <w:highlight w:val="none"/>
        </w:rPr>
        <w:t>（</w:t>
      </w:r>
      <w:r>
        <w:rPr>
          <w:rFonts w:hint="eastAsia" w:ascii="仿宋_GB2312" w:hAnsi="仿宋" w:eastAsia="仿宋_GB2312" w:cs="仿宋"/>
          <w:b/>
          <w:bCs/>
          <w:sz w:val="32"/>
          <w:szCs w:val="32"/>
          <w:highlight w:val="none"/>
          <w:lang w:eastAsia="zh-CN"/>
        </w:rPr>
        <w:t>四</w:t>
      </w:r>
      <w:r>
        <w:rPr>
          <w:rFonts w:hint="eastAsia" w:ascii="仿宋_GB2312" w:hAnsi="仿宋" w:eastAsia="仿宋_GB2312" w:cs="仿宋"/>
          <w:b/>
          <w:bCs/>
          <w:sz w:val="32"/>
          <w:szCs w:val="32"/>
          <w:highlight w:val="none"/>
        </w:rPr>
        <w:t>）国有资产占用情况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202</w:t>
      </w:r>
      <w:r>
        <w:rPr>
          <w:rFonts w:hint="eastAsia" w:ascii="仿宋_GB2312" w:hAnsi="仿宋" w:eastAsia="仿宋_GB2312" w:cs="仿宋"/>
          <w:sz w:val="32"/>
          <w:szCs w:val="32"/>
          <w:highlight w:val="none"/>
          <w:lang w:val="en-US" w:eastAsia="zh-CN"/>
        </w:rPr>
        <w:t>1年期末</w:t>
      </w:r>
      <w:r>
        <w:rPr>
          <w:rFonts w:hint="eastAsia" w:ascii="仿宋_GB2312" w:hAnsi="仿宋" w:eastAsia="仿宋_GB2312" w:cs="仿宋"/>
          <w:sz w:val="32"/>
          <w:szCs w:val="32"/>
          <w:highlight w:val="none"/>
        </w:rPr>
        <w:t>，我单位共有车辆1辆，其中：一般公务用车1辆,一般执法执勤用车0辆、特种专业技术用车0辆，其他用车0辆；单价50万元以上通用设备0套，单位价值100万元以上专用设备0套。</w:t>
      </w:r>
    </w:p>
    <w:p>
      <w:pPr>
        <w:keepNext w:val="0"/>
        <w:keepLines w:val="0"/>
        <w:pageBreakBefore w:val="0"/>
        <w:kinsoku/>
        <w:wordWrap/>
        <w:overflowPunct/>
        <w:topLinePunct w:val="0"/>
        <w:autoSpaceDE/>
        <w:autoSpaceDN/>
        <w:bidi w:val="0"/>
        <w:adjustRightInd/>
        <w:snapToGrid w:val="0"/>
        <w:spacing w:line="540" w:lineRule="exact"/>
        <w:ind w:firstLine="643" w:firstLineChars="200"/>
        <w:jc w:val="both"/>
        <w:textAlignment w:val="auto"/>
        <w:rPr>
          <w:rFonts w:hint="eastAsia" w:ascii="仿宋_GB2312" w:hAnsi="仿宋" w:eastAsia="仿宋_GB2312" w:cs="仿宋"/>
          <w:b/>
          <w:bCs/>
          <w:sz w:val="32"/>
          <w:szCs w:val="32"/>
          <w:highlight w:val="none"/>
        </w:rPr>
      </w:pPr>
      <w:r>
        <w:rPr>
          <w:rFonts w:hint="eastAsia" w:ascii="仿宋_GB2312" w:hAnsi="仿宋" w:eastAsia="仿宋_GB2312" w:cs="仿宋"/>
          <w:b/>
          <w:bCs/>
          <w:sz w:val="32"/>
          <w:szCs w:val="32"/>
          <w:highlight w:val="none"/>
        </w:rPr>
        <w:t>（</w:t>
      </w:r>
      <w:r>
        <w:rPr>
          <w:rFonts w:hint="eastAsia" w:ascii="仿宋_GB2312" w:hAnsi="仿宋" w:eastAsia="仿宋_GB2312" w:cs="仿宋"/>
          <w:b/>
          <w:bCs/>
          <w:sz w:val="32"/>
          <w:szCs w:val="32"/>
          <w:highlight w:val="none"/>
          <w:lang w:eastAsia="zh-CN"/>
        </w:rPr>
        <w:t>五</w:t>
      </w:r>
      <w:r>
        <w:rPr>
          <w:rFonts w:hint="eastAsia" w:ascii="仿宋_GB2312" w:hAnsi="仿宋" w:eastAsia="仿宋_GB2312" w:cs="仿宋"/>
          <w:b/>
          <w:bCs/>
          <w:sz w:val="32"/>
          <w:szCs w:val="32"/>
          <w:highlight w:val="none"/>
        </w:rPr>
        <w:t>）专项转移支付项目情况</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 w:eastAsia="仿宋_GB2312" w:cs="仿宋"/>
          <w:sz w:val="32"/>
          <w:szCs w:val="32"/>
          <w:highlight w:val="yellow"/>
        </w:rPr>
      </w:pPr>
      <w:r>
        <w:rPr>
          <w:rFonts w:hint="eastAsia" w:ascii="仿宋_GB2312" w:hAnsi="仿宋_GB2312" w:eastAsia="仿宋_GB2312" w:cs="仿宋_GB2312"/>
          <w:sz w:val="32"/>
          <w:szCs w:val="32"/>
        </w:rPr>
        <w:t>我单位2022年没有专项转移支付项目。</w:t>
      </w:r>
      <w:bookmarkStart w:id="2" w:name="_GoBack"/>
      <w:bookmarkEnd w:id="2"/>
    </w:p>
    <w:p>
      <w:pPr>
        <w:keepNext w:val="0"/>
        <w:keepLines w:val="0"/>
        <w:pageBreakBefore w:val="0"/>
        <w:kinsoku/>
        <w:wordWrap/>
        <w:overflowPunct/>
        <w:topLinePunct w:val="0"/>
        <w:autoSpaceDE/>
        <w:autoSpaceDN/>
        <w:adjustRightInd/>
        <w:snapToGrid w:val="0"/>
        <w:spacing w:line="540" w:lineRule="exact"/>
        <w:ind w:firstLine="3534" w:firstLineChars="1100"/>
        <w:jc w:val="both"/>
        <w:textAlignment w:val="auto"/>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第三部分</w:t>
      </w:r>
    </w:p>
    <w:p>
      <w:pPr>
        <w:keepNext w:val="0"/>
        <w:keepLines w:val="0"/>
        <w:pageBreakBefore w:val="0"/>
        <w:kinsoku/>
        <w:wordWrap/>
        <w:overflowPunct/>
        <w:topLinePunct w:val="0"/>
        <w:autoSpaceDE/>
        <w:autoSpaceDN/>
        <w:adjustRightInd/>
        <w:snapToGrid w:val="0"/>
        <w:spacing w:line="540" w:lineRule="exact"/>
        <w:ind w:firstLine="3534" w:firstLineChars="1100"/>
        <w:jc w:val="both"/>
        <w:textAlignment w:val="auto"/>
        <w:rPr>
          <w:rFonts w:hint="eastAsia" w:ascii="宋体" w:hAnsi="宋体" w:eastAsia="宋体" w:cs="宋体"/>
          <w:b/>
          <w:bCs w:val="0"/>
          <w:sz w:val="32"/>
          <w:szCs w:val="32"/>
          <w:highlight w:val="none"/>
        </w:rPr>
      </w:pPr>
      <w:r>
        <w:rPr>
          <w:rFonts w:hint="eastAsia" w:ascii="宋体" w:hAnsi="宋体" w:eastAsia="宋体" w:cs="宋体"/>
          <w:b/>
          <w:bCs w:val="0"/>
          <w:sz w:val="32"/>
          <w:szCs w:val="32"/>
          <w:highlight w:val="none"/>
        </w:rPr>
        <w:t>名词解释</w:t>
      </w:r>
    </w:p>
    <w:p>
      <w:pPr>
        <w:keepNext w:val="0"/>
        <w:keepLines w:val="0"/>
        <w:pageBreakBefore w:val="0"/>
        <w:kinsoku/>
        <w:wordWrap/>
        <w:overflowPunct/>
        <w:topLinePunct w:val="0"/>
        <w:autoSpaceDE/>
        <w:autoSpaceDN/>
        <w:adjustRightInd/>
        <w:snapToGrid w:val="0"/>
        <w:spacing w:line="540" w:lineRule="exact"/>
        <w:ind w:firstLine="3213" w:firstLineChars="1000"/>
        <w:jc w:val="both"/>
        <w:textAlignment w:val="auto"/>
        <w:rPr>
          <w:rFonts w:hint="eastAsia" w:ascii="宋体" w:hAnsi="宋体" w:eastAsia="宋体" w:cs="宋体"/>
          <w:b/>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一、财政拨款收入：是指省级财政当年拨付的资金。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二、事业收入：是指事业单位开展专业活动及辅助活动所取得的收入。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三、其他收入：是指部门取得的除“财政拨款”、“事业收入”、“事业单位经营收入”等以外的收入。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五、基本支出：是指为保障机构正常运转、完成日常工作任务所必需的开支，其内容包括人员经费和日常公用经费两部分。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六、项目支出：是指在基本支出之外，为完成特定的行政工作任务或事业发展目标所发生的支出。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highlight w:val="none"/>
        </w:rPr>
      </w:pPr>
      <w:r>
        <w:rPr>
          <w:rFonts w:hint="eastAsia" w:ascii="仿宋_GB2312" w:hAnsi="仿宋" w:eastAsia="仿宋_GB2312" w:cs="仿宋"/>
          <w:sz w:val="32"/>
          <w:szCs w:val="32"/>
          <w:highlight w:val="none"/>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adjustRightInd/>
        <w:spacing w:line="540" w:lineRule="exact"/>
        <w:textAlignment w:val="auto"/>
        <w:rPr>
          <w:rFonts w:hint="eastAsia" w:ascii="宋体" w:hAnsi="宋体" w:eastAsia="宋体" w:cs="宋体"/>
          <w:b/>
          <w:bCs w:val="0"/>
          <w:kern w:val="0"/>
          <w:sz w:val="32"/>
          <w:szCs w:val="32"/>
          <w:highlight w:val="none"/>
          <w:lang w:eastAsia="zh-CN"/>
        </w:rPr>
      </w:pPr>
      <w:r>
        <w:rPr>
          <w:rFonts w:hint="eastAsia" w:ascii="宋体" w:hAnsi="宋体" w:eastAsia="宋体" w:cs="宋体"/>
          <w:b/>
          <w:bCs w:val="0"/>
          <w:kern w:val="0"/>
          <w:sz w:val="32"/>
          <w:szCs w:val="32"/>
          <w:highlight w:val="none"/>
          <w:lang w:eastAsia="zh-CN"/>
        </w:rPr>
        <w:t>附件：</w:t>
      </w:r>
    </w:p>
    <w:p>
      <w:pPr>
        <w:keepNext w:val="0"/>
        <w:keepLines w:val="0"/>
        <w:pageBreakBefore w:val="0"/>
        <w:kinsoku/>
        <w:wordWrap/>
        <w:overflowPunct/>
        <w:topLinePunct w:val="0"/>
        <w:autoSpaceDE/>
        <w:autoSpaceDN/>
        <w:adjustRightInd/>
        <w:spacing w:line="540" w:lineRule="exact"/>
        <w:ind w:firstLine="1285" w:firstLineChars="400"/>
        <w:textAlignment w:val="auto"/>
        <w:rPr>
          <w:rFonts w:ascii="仿宋" w:hAnsi="仿宋" w:eastAsia="仿宋" w:cs="仿宋"/>
          <w:sz w:val="32"/>
          <w:szCs w:val="32"/>
        </w:rPr>
      </w:pPr>
      <w:r>
        <w:rPr>
          <w:rFonts w:hint="eastAsia" w:ascii="宋体" w:hAnsi="宋体" w:eastAsia="宋体" w:cs="宋体"/>
          <w:b/>
          <w:bCs w:val="0"/>
          <w:kern w:val="0"/>
          <w:sz w:val="32"/>
          <w:szCs w:val="32"/>
          <w:highlight w:val="none"/>
          <w:lang w:eastAsia="zh-CN"/>
        </w:rPr>
        <w:t>平顶山市卫东区</w:t>
      </w:r>
      <w:r>
        <w:rPr>
          <w:rFonts w:hint="eastAsia" w:ascii="宋体" w:hAnsi="宋体" w:cs="宋体"/>
          <w:b/>
          <w:bCs w:val="0"/>
          <w:kern w:val="0"/>
          <w:sz w:val="32"/>
          <w:szCs w:val="32"/>
          <w:highlight w:val="none"/>
          <w:lang w:eastAsia="zh-CN"/>
        </w:rPr>
        <w:t>医疗保障局</w:t>
      </w:r>
      <w:r>
        <w:rPr>
          <w:rFonts w:hint="eastAsia" w:ascii="宋体" w:hAnsi="宋体" w:eastAsia="宋体" w:cs="宋体"/>
          <w:b/>
          <w:bCs w:val="0"/>
          <w:kern w:val="0"/>
          <w:sz w:val="32"/>
          <w:szCs w:val="32"/>
          <w:highlight w:val="none"/>
          <w:lang w:val="en-US" w:eastAsia="zh-CN"/>
        </w:rPr>
        <w:t>202</w:t>
      </w:r>
      <w:r>
        <w:rPr>
          <w:rFonts w:hint="eastAsia" w:ascii="宋体" w:hAnsi="宋体" w:cs="宋体"/>
          <w:b/>
          <w:bCs w:val="0"/>
          <w:kern w:val="0"/>
          <w:sz w:val="32"/>
          <w:szCs w:val="32"/>
          <w:highlight w:val="none"/>
          <w:lang w:val="en-US" w:eastAsia="zh-CN"/>
        </w:rPr>
        <w:t>2</w:t>
      </w:r>
      <w:r>
        <w:rPr>
          <w:rFonts w:hint="eastAsia" w:ascii="宋体" w:hAnsi="宋体" w:eastAsia="宋体" w:cs="宋体"/>
          <w:b/>
          <w:bCs w:val="0"/>
          <w:kern w:val="0"/>
          <w:sz w:val="32"/>
          <w:szCs w:val="32"/>
          <w:highlight w:val="none"/>
          <w:lang w:val="en-US" w:eastAsia="zh-CN"/>
        </w:rPr>
        <w:t>年部门预算表</w:t>
      </w:r>
      <w:r>
        <w:rPr>
          <w:rFonts w:hint="eastAsia" w:ascii="仿宋" w:hAnsi="仿宋" w:eastAsia="仿宋" w:cs="仿宋"/>
          <w:b/>
          <w:bCs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adjustRightInd/>
        <w:snapToGrid w:val="0"/>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adjustRightInd/>
        <w:snapToGrid w:val="0"/>
        <w:spacing w:line="540" w:lineRule="exact"/>
        <w:ind w:firstLine="640" w:firstLineChars="200"/>
        <w:jc w:val="left"/>
        <w:textAlignment w:val="auto"/>
        <w:rPr>
          <w:sz w:val="32"/>
          <w:szCs w:val="32"/>
        </w:rPr>
      </w:pPr>
      <w:r>
        <w:rPr>
          <w:rFonts w:hint="eastAsia" w:ascii="仿宋" w:hAnsi="仿宋" w:eastAsia="仿宋" w:cs="仿宋"/>
          <w:sz w:val="32"/>
          <w:szCs w:val="32"/>
        </w:rPr>
        <w:tab/>
      </w:r>
      <w:r>
        <w:rPr>
          <w:rFonts w:hint="eastAsia" w:ascii="仿宋" w:hAnsi="仿宋" w:eastAsia="仿宋" w:cs="仿宋"/>
          <w:sz w:val="32"/>
          <w:szCs w:val="32"/>
        </w:rPr>
        <w:tab/>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E5BF2"/>
    <w:multiLevelType w:val="singleLevel"/>
    <w:tmpl w:val="52DE5BF2"/>
    <w:lvl w:ilvl="0" w:tentative="0">
      <w:start w:val="5"/>
      <w:numFmt w:val="chineseCounting"/>
      <w:suff w:val="nothing"/>
      <w:lvlText w:val="%1、"/>
      <w:lvlJc w:val="left"/>
      <w:rPr>
        <w:rFonts w:hint="eastAsia" w:ascii="宋体" w:hAnsi="宋体" w:eastAsia="宋体" w:cs="宋体"/>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lhMDFmOGRkNDhkZWU2ZWIzNTYwYWQyNDZkOWU3YzkifQ=="/>
  </w:docVars>
  <w:rsids>
    <w:rsidRoot w:val="00810D96"/>
    <w:rsid w:val="00022E64"/>
    <w:rsid w:val="00026A68"/>
    <w:rsid w:val="0003214F"/>
    <w:rsid w:val="00045CA4"/>
    <w:rsid w:val="000E1DDC"/>
    <w:rsid w:val="000F34E1"/>
    <w:rsid w:val="00131B09"/>
    <w:rsid w:val="00135BFB"/>
    <w:rsid w:val="00171783"/>
    <w:rsid w:val="00191D59"/>
    <w:rsid w:val="001B7F0C"/>
    <w:rsid w:val="001E3399"/>
    <w:rsid w:val="001E61E7"/>
    <w:rsid w:val="001F4038"/>
    <w:rsid w:val="002646EA"/>
    <w:rsid w:val="002D5FE9"/>
    <w:rsid w:val="00307F85"/>
    <w:rsid w:val="00314B0D"/>
    <w:rsid w:val="00343719"/>
    <w:rsid w:val="00361D53"/>
    <w:rsid w:val="003B69D7"/>
    <w:rsid w:val="003E041F"/>
    <w:rsid w:val="0040690A"/>
    <w:rsid w:val="0041620A"/>
    <w:rsid w:val="00422E73"/>
    <w:rsid w:val="004B46A4"/>
    <w:rsid w:val="004C2C85"/>
    <w:rsid w:val="00524F83"/>
    <w:rsid w:val="00526355"/>
    <w:rsid w:val="00565DFF"/>
    <w:rsid w:val="005F26CA"/>
    <w:rsid w:val="00611646"/>
    <w:rsid w:val="0061395B"/>
    <w:rsid w:val="00692684"/>
    <w:rsid w:val="006E5274"/>
    <w:rsid w:val="00713275"/>
    <w:rsid w:val="0079326D"/>
    <w:rsid w:val="007D59F5"/>
    <w:rsid w:val="007D6FB2"/>
    <w:rsid w:val="007E484F"/>
    <w:rsid w:val="007E548D"/>
    <w:rsid w:val="00810D96"/>
    <w:rsid w:val="008160D8"/>
    <w:rsid w:val="00817297"/>
    <w:rsid w:val="00856B94"/>
    <w:rsid w:val="00867ED4"/>
    <w:rsid w:val="008D4919"/>
    <w:rsid w:val="008D6B5E"/>
    <w:rsid w:val="00917E3F"/>
    <w:rsid w:val="00980A2D"/>
    <w:rsid w:val="009941B6"/>
    <w:rsid w:val="009C0502"/>
    <w:rsid w:val="00A212B4"/>
    <w:rsid w:val="00A54E76"/>
    <w:rsid w:val="00A75664"/>
    <w:rsid w:val="00A87558"/>
    <w:rsid w:val="00A92DAA"/>
    <w:rsid w:val="00AE2461"/>
    <w:rsid w:val="00AF65D5"/>
    <w:rsid w:val="00B05892"/>
    <w:rsid w:val="00B629EA"/>
    <w:rsid w:val="00BE1B9D"/>
    <w:rsid w:val="00C01C3C"/>
    <w:rsid w:val="00C1618C"/>
    <w:rsid w:val="00C76D46"/>
    <w:rsid w:val="00CA3763"/>
    <w:rsid w:val="00CE2A35"/>
    <w:rsid w:val="00CE6CCF"/>
    <w:rsid w:val="00D15119"/>
    <w:rsid w:val="00D36652"/>
    <w:rsid w:val="00D375A0"/>
    <w:rsid w:val="00D4226E"/>
    <w:rsid w:val="00D6578D"/>
    <w:rsid w:val="00DD26D2"/>
    <w:rsid w:val="00DD6210"/>
    <w:rsid w:val="00DD6C65"/>
    <w:rsid w:val="00E51508"/>
    <w:rsid w:val="00E5471D"/>
    <w:rsid w:val="00E8314D"/>
    <w:rsid w:val="00EC6224"/>
    <w:rsid w:val="00F42C4B"/>
    <w:rsid w:val="00F500A2"/>
    <w:rsid w:val="00F624D8"/>
    <w:rsid w:val="00FB00F4"/>
    <w:rsid w:val="00FB3FED"/>
    <w:rsid w:val="00FC38B3"/>
    <w:rsid w:val="01011432"/>
    <w:rsid w:val="014801A9"/>
    <w:rsid w:val="015F52AE"/>
    <w:rsid w:val="01DC2A3E"/>
    <w:rsid w:val="01EF21E1"/>
    <w:rsid w:val="02832A46"/>
    <w:rsid w:val="02B45D49"/>
    <w:rsid w:val="02B80216"/>
    <w:rsid w:val="02EC7F31"/>
    <w:rsid w:val="03D03112"/>
    <w:rsid w:val="047D7BDD"/>
    <w:rsid w:val="04CB5FDF"/>
    <w:rsid w:val="05685F23"/>
    <w:rsid w:val="063B53E6"/>
    <w:rsid w:val="06620BC5"/>
    <w:rsid w:val="069F7677"/>
    <w:rsid w:val="06B21ED2"/>
    <w:rsid w:val="0760079C"/>
    <w:rsid w:val="083B479C"/>
    <w:rsid w:val="088B4108"/>
    <w:rsid w:val="08D3087C"/>
    <w:rsid w:val="08D51B22"/>
    <w:rsid w:val="095128B7"/>
    <w:rsid w:val="09684517"/>
    <w:rsid w:val="09744E36"/>
    <w:rsid w:val="09D8654B"/>
    <w:rsid w:val="09F345A7"/>
    <w:rsid w:val="0AD97C81"/>
    <w:rsid w:val="0AF76F1D"/>
    <w:rsid w:val="0B9572AE"/>
    <w:rsid w:val="0C744DD8"/>
    <w:rsid w:val="0C9638D1"/>
    <w:rsid w:val="0CA42DD1"/>
    <w:rsid w:val="0CCE2B10"/>
    <w:rsid w:val="0CDC0EE9"/>
    <w:rsid w:val="0CF31521"/>
    <w:rsid w:val="0CF94998"/>
    <w:rsid w:val="0D474E83"/>
    <w:rsid w:val="0D6D09F6"/>
    <w:rsid w:val="0E2C6445"/>
    <w:rsid w:val="0EC928F0"/>
    <w:rsid w:val="0F046E7B"/>
    <w:rsid w:val="100C2F61"/>
    <w:rsid w:val="10264A11"/>
    <w:rsid w:val="104C73CC"/>
    <w:rsid w:val="106E2B94"/>
    <w:rsid w:val="10A77BC5"/>
    <w:rsid w:val="11ED4240"/>
    <w:rsid w:val="11F31EDE"/>
    <w:rsid w:val="12D60970"/>
    <w:rsid w:val="1301190A"/>
    <w:rsid w:val="13065008"/>
    <w:rsid w:val="13DA2B56"/>
    <w:rsid w:val="14676396"/>
    <w:rsid w:val="15061C56"/>
    <w:rsid w:val="150D6C0D"/>
    <w:rsid w:val="15227E9D"/>
    <w:rsid w:val="154909B6"/>
    <w:rsid w:val="15764AF1"/>
    <w:rsid w:val="15944DE5"/>
    <w:rsid w:val="15CE5193"/>
    <w:rsid w:val="15E20908"/>
    <w:rsid w:val="170029EF"/>
    <w:rsid w:val="17797F3A"/>
    <w:rsid w:val="181D2925"/>
    <w:rsid w:val="18273A1C"/>
    <w:rsid w:val="189074AF"/>
    <w:rsid w:val="19DD25E4"/>
    <w:rsid w:val="1A7647E7"/>
    <w:rsid w:val="1B50068A"/>
    <w:rsid w:val="1BEA45DC"/>
    <w:rsid w:val="1C3D2386"/>
    <w:rsid w:val="1CA266EA"/>
    <w:rsid w:val="1CBA162C"/>
    <w:rsid w:val="1CC50F11"/>
    <w:rsid w:val="1D8965DF"/>
    <w:rsid w:val="1D935C63"/>
    <w:rsid w:val="1DB56AF0"/>
    <w:rsid w:val="1DED4DC0"/>
    <w:rsid w:val="1E002D45"/>
    <w:rsid w:val="1E343D55"/>
    <w:rsid w:val="1E582039"/>
    <w:rsid w:val="1E7B52B8"/>
    <w:rsid w:val="1EF60198"/>
    <w:rsid w:val="1F3912EB"/>
    <w:rsid w:val="1F9A55B1"/>
    <w:rsid w:val="202A33D5"/>
    <w:rsid w:val="20E34A58"/>
    <w:rsid w:val="215C281E"/>
    <w:rsid w:val="23203542"/>
    <w:rsid w:val="238F78AA"/>
    <w:rsid w:val="246017B4"/>
    <w:rsid w:val="246F411E"/>
    <w:rsid w:val="24734083"/>
    <w:rsid w:val="247578BD"/>
    <w:rsid w:val="24B6066A"/>
    <w:rsid w:val="257A093C"/>
    <w:rsid w:val="258A2830"/>
    <w:rsid w:val="25BA69A1"/>
    <w:rsid w:val="25D649BC"/>
    <w:rsid w:val="268C3E9C"/>
    <w:rsid w:val="26DF37F0"/>
    <w:rsid w:val="270A253F"/>
    <w:rsid w:val="27361586"/>
    <w:rsid w:val="27761682"/>
    <w:rsid w:val="27B2037F"/>
    <w:rsid w:val="27D17500"/>
    <w:rsid w:val="28893937"/>
    <w:rsid w:val="28E851B4"/>
    <w:rsid w:val="28FF404D"/>
    <w:rsid w:val="296C5D86"/>
    <w:rsid w:val="2A003FD6"/>
    <w:rsid w:val="2A0911D4"/>
    <w:rsid w:val="2AE70A25"/>
    <w:rsid w:val="2B1F6EEB"/>
    <w:rsid w:val="2B974FBC"/>
    <w:rsid w:val="2BA704F2"/>
    <w:rsid w:val="2BE14990"/>
    <w:rsid w:val="2BEA5850"/>
    <w:rsid w:val="2C8219C0"/>
    <w:rsid w:val="2C86051B"/>
    <w:rsid w:val="2C965FD9"/>
    <w:rsid w:val="2CB07AD4"/>
    <w:rsid w:val="2D64309F"/>
    <w:rsid w:val="2D860E3F"/>
    <w:rsid w:val="2D975F26"/>
    <w:rsid w:val="2DA521B8"/>
    <w:rsid w:val="2DF558F0"/>
    <w:rsid w:val="2E0E3B7A"/>
    <w:rsid w:val="2E26396E"/>
    <w:rsid w:val="2E731311"/>
    <w:rsid w:val="2F6B074A"/>
    <w:rsid w:val="2FC8548B"/>
    <w:rsid w:val="306F0202"/>
    <w:rsid w:val="30744ECD"/>
    <w:rsid w:val="30D81AD0"/>
    <w:rsid w:val="3114115F"/>
    <w:rsid w:val="313528AE"/>
    <w:rsid w:val="3139427B"/>
    <w:rsid w:val="31B23B17"/>
    <w:rsid w:val="321D1B07"/>
    <w:rsid w:val="326234D4"/>
    <w:rsid w:val="32666B61"/>
    <w:rsid w:val="33C9589A"/>
    <w:rsid w:val="33CE30F3"/>
    <w:rsid w:val="341B437B"/>
    <w:rsid w:val="35B3039C"/>
    <w:rsid w:val="364C1E36"/>
    <w:rsid w:val="368F714A"/>
    <w:rsid w:val="370E024E"/>
    <w:rsid w:val="37C434E0"/>
    <w:rsid w:val="39F95ACD"/>
    <w:rsid w:val="3A2E21C5"/>
    <w:rsid w:val="3B19510B"/>
    <w:rsid w:val="3B290220"/>
    <w:rsid w:val="3CB04C94"/>
    <w:rsid w:val="3CD24B17"/>
    <w:rsid w:val="3DA45B57"/>
    <w:rsid w:val="3DE37CA8"/>
    <w:rsid w:val="3E041089"/>
    <w:rsid w:val="3E554C55"/>
    <w:rsid w:val="3EC8428B"/>
    <w:rsid w:val="3F1522B3"/>
    <w:rsid w:val="3F5E2A83"/>
    <w:rsid w:val="4062217F"/>
    <w:rsid w:val="407D6DDE"/>
    <w:rsid w:val="4088407E"/>
    <w:rsid w:val="40A95A52"/>
    <w:rsid w:val="40B32228"/>
    <w:rsid w:val="40B50EA2"/>
    <w:rsid w:val="40ED5652"/>
    <w:rsid w:val="410A3EB6"/>
    <w:rsid w:val="41B57B90"/>
    <w:rsid w:val="41C03AEF"/>
    <w:rsid w:val="42097B6B"/>
    <w:rsid w:val="42A258CA"/>
    <w:rsid w:val="42C808AC"/>
    <w:rsid w:val="44110F59"/>
    <w:rsid w:val="44476729"/>
    <w:rsid w:val="4488324F"/>
    <w:rsid w:val="455B63B6"/>
    <w:rsid w:val="457A79D8"/>
    <w:rsid w:val="45C931E7"/>
    <w:rsid w:val="464262D9"/>
    <w:rsid w:val="46511566"/>
    <w:rsid w:val="478B3C5C"/>
    <w:rsid w:val="485B6C46"/>
    <w:rsid w:val="4953791E"/>
    <w:rsid w:val="49AC01FE"/>
    <w:rsid w:val="49D97E23"/>
    <w:rsid w:val="4A3F4B0A"/>
    <w:rsid w:val="4A635BBB"/>
    <w:rsid w:val="4A8A55C1"/>
    <w:rsid w:val="4AE350D3"/>
    <w:rsid w:val="4BBD0AE1"/>
    <w:rsid w:val="4BEF7DD1"/>
    <w:rsid w:val="4C0B65A7"/>
    <w:rsid w:val="4C286E40"/>
    <w:rsid w:val="4CAD01B3"/>
    <w:rsid w:val="4D020CAB"/>
    <w:rsid w:val="4D482E35"/>
    <w:rsid w:val="4D6C0FAE"/>
    <w:rsid w:val="4E953D89"/>
    <w:rsid w:val="4F160C20"/>
    <w:rsid w:val="501445FF"/>
    <w:rsid w:val="503C3923"/>
    <w:rsid w:val="50CE7427"/>
    <w:rsid w:val="51014D2B"/>
    <w:rsid w:val="512B66F9"/>
    <w:rsid w:val="514E3623"/>
    <w:rsid w:val="51690E75"/>
    <w:rsid w:val="51AE7804"/>
    <w:rsid w:val="527736AB"/>
    <w:rsid w:val="52D7511B"/>
    <w:rsid w:val="53662F26"/>
    <w:rsid w:val="539D0113"/>
    <w:rsid w:val="53B178A8"/>
    <w:rsid w:val="53DA6B1C"/>
    <w:rsid w:val="55071FEB"/>
    <w:rsid w:val="552D6F21"/>
    <w:rsid w:val="5587107B"/>
    <w:rsid w:val="55F63C41"/>
    <w:rsid w:val="561F0E0B"/>
    <w:rsid w:val="567739DD"/>
    <w:rsid w:val="568407E0"/>
    <w:rsid w:val="56852DAE"/>
    <w:rsid w:val="56B37C4E"/>
    <w:rsid w:val="56CA56C3"/>
    <w:rsid w:val="56F94A4A"/>
    <w:rsid w:val="579D2BB2"/>
    <w:rsid w:val="57B65B74"/>
    <w:rsid w:val="57F624E8"/>
    <w:rsid w:val="58555460"/>
    <w:rsid w:val="58643E2C"/>
    <w:rsid w:val="594735FE"/>
    <w:rsid w:val="59A00AEB"/>
    <w:rsid w:val="59A03D01"/>
    <w:rsid w:val="5A044197"/>
    <w:rsid w:val="5B2F5DF8"/>
    <w:rsid w:val="5B3E50B4"/>
    <w:rsid w:val="5B4B48F9"/>
    <w:rsid w:val="5C001B87"/>
    <w:rsid w:val="5C3A1EDF"/>
    <w:rsid w:val="5C5B500F"/>
    <w:rsid w:val="5C66000E"/>
    <w:rsid w:val="5C9B540C"/>
    <w:rsid w:val="5D1D28C1"/>
    <w:rsid w:val="5D4A130C"/>
    <w:rsid w:val="5E250DCE"/>
    <w:rsid w:val="5ED34C10"/>
    <w:rsid w:val="5F0E45BB"/>
    <w:rsid w:val="5F116012"/>
    <w:rsid w:val="5F271E58"/>
    <w:rsid w:val="5F6613E4"/>
    <w:rsid w:val="5FB6276E"/>
    <w:rsid w:val="5FF56145"/>
    <w:rsid w:val="601B0D3D"/>
    <w:rsid w:val="60234096"/>
    <w:rsid w:val="60442912"/>
    <w:rsid w:val="60724765"/>
    <w:rsid w:val="608B7D9D"/>
    <w:rsid w:val="60925DC2"/>
    <w:rsid w:val="610F7FCD"/>
    <w:rsid w:val="61342625"/>
    <w:rsid w:val="61897053"/>
    <w:rsid w:val="61A60D7E"/>
    <w:rsid w:val="61FF5AAE"/>
    <w:rsid w:val="625F48B9"/>
    <w:rsid w:val="62B374B5"/>
    <w:rsid w:val="62E43B0F"/>
    <w:rsid w:val="62F05CD7"/>
    <w:rsid w:val="63836F3A"/>
    <w:rsid w:val="64231050"/>
    <w:rsid w:val="644A6810"/>
    <w:rsid w:val="645B03DA"/>
    <w:rsid w:val="649C2C4B"/>
    <w:rsid w:val="64DB13F3"/>
    <w:rsid w:val="64F90716"/>
    <w:rsid w:val="6536335C"/>
    <w:rsid w:val="6655749E"/>
    <w:rsid w:val="66B85D49"/>
    <w:rsid w:val="67AF4A86"/>
    <w:rsid w:val="68331EDC"/>
    <w:rsid w:val="688357EC"/>
    <w:rsid w:val="68CF26BF"/>
    <w:rsid w:val="690B0DF4"/>
    <w:rsid w:val="692A742F"/>
    <w:rsid w:val="69381142"/>
    <w:rsid w:val="6972414E"/>
    <w:rsid w:val="6974326C"/>
    <w:rsid w:val="69C441F4"/>
    <w:rsid w:val="69E20E8C"/>
    <w:rsid w:val="69FA286A"/>
    <w:rsid w:val="6A137ABC"/>
    <w:rsid w:val="6A222CC8"/>
    <w:rsid w:val="6A487617"/>
    <w:rsid w:val="6B5B7048"/>
    <w:rsid w:val="6B931267"/>
    <w:rsid w:val="6BC25F46"/>
    <w:rsid w:val="6C4B4B3C"/>
    <w:rsid w:val="6CB32626"/>
    <w:rsid w:val="6D4D3516"/>
    <w:rsid w:val="6D81307A"/>
    <w:rsid w:val="6DB602F7"/>
    <w:rsid w:val="6DEF7291"/>
    <w:rsid w:val="6E942946"/>
    <w:rsid w:val="6EBE56B6"/>
    <w:rsid w:val="6EF97C37"/>
    <w:rsid w:val="6F0A1063"/>
    <w:rsid w:val="6F655B31"/>
    <w:rsid w:val="6FA83826"/>
    <w:rsid w:val="6FEF553C"/>
    <w:rsid w:val="6FF90379"/>
    <w:rsid w:val="6FF92491"/>
    <w:rsid w:val="705838E8"/>
    <w:rsid w:val="7058688C"/>
    <w:rsid w:val="707B75D6"/>
    <w:rsid w:val="70E52F72"/>
    <w:rsid w:val="70F80C27"/>
    <w:rsid w:val="71092E34"/>
    <w:rsid w:val="716E7A73"/>
    <w:rsid w:val="71967AEA"/>
    <w:rsid w:val="71B608C6"/>
    <w:rsid w:val="722E0275"/>
    <w:rsid w:val="72755990"/>
    <w:rsid w:val="73002078"/>
    <w:rsid w:val="731C7062"/>
    <w:rsid w:val="73244E27"/>
    <w:rsid w:val="732D4EA3"/>
    <w:rsid w:val="73611F9D"/>
    <w:rsid w:val="7429234D"/>
    <w:rsid w:val="746E5488"/>
    <w:rsid w:val="751427B8"/>
    <w:rsid w:val="75734173"/>
    <w:rsid w:val="75882579"/>
    <w:rsid w:val="76320AE9"/>
    <w:rsid w:val="764F4FBA"/>
    <w:rsid w:val="7683492A"/>
    <w:rsid w:val="772259F1"/>
    <w:rsid w:val="77312414"/>
    <w:rsid w:val="77510854"/>
    <w:rsid w:val="77E201B7"/>
    <w:rsid w:val="782B5991"/>
    <w:rsid w:val="78610DE0"/>
    <w:rsid w:val="788F1E71"/>
    <w:rsid w:val="78A310E0"/>
    <w:rsid w:val="78E76537"/>
    <w:rsid w:val="78F13B18"/>
    <w:rsid w:val="7A0255C0"/>
    <w:rsid w:val="7A5D7457"/>
    <w:rsid w:val="7AFF7D2D"/>
    <w:rsid w:val="7B087CB8"/>
    <w:rsid w:val="7B1A1045"/>
    <w:rsid w:val="7BB64E18"/>
    <w:rsid w:val="7C761F7B"/>
    <w:rsid w:val="7CD37061"/>
    <w:rsid w:val="7D8B6DAB"/>
    <w:rsid w:val="7DD10836"/>
    <w:rsid w:val="7EEE2656"/>
    <w:rsid w:val="7F516938"/>
    <w:rsid w:val="7F8A6A9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普通(网站)1"/>
    <w:basedOn w:val="1"/>
    <w:qFormat/>
    <w:uiPriority w:val="0"/>
    <w:pPr>
      <w:spacing w:beforeAutospacing="1" w:afterAutospacing="1"/>
      <w:jc w:val="left"/>
    </w:pPr>
    <w:rPr>
      <w:kern w:val="0"/>
      <w:sz w:val="24"/>
    </w:rPr>
  </w:style>
  <w:style w:type="character" w:customStyle="1" w:styleId="8">
    <w:name w:val="页眉 Char"/>
    <w:basedOn w:val="5"/>
    <w:link w:val="3"/>
    <w:semiHidden/>
    <w:qFormat/>
    <w:uiPriority w:val="99"/>
    <w:rPr>
      <w:rFonts w:ascii="Calibri" w:hAnsi="Calibri" w:cs="黑体"/>
      <w:kern w:val="2"/>
      <w:sz w:val="18"/>
      <w:szCs w:val="18"/>
    </w:rPr>
  </w:style>
  <w:style w:type="character" w:customStyle="1" w:styleId="9">
    <w:name w:val="页脚 Char"/>
    <w:basedOn w:val="5"/>
    <w:link w:val="2"/>
    <w:semiHidden/>
    <w:qFormat/>
    <w:uiPriority w:val="99"/>
    <w:rPr>
      <w:rFonts w:ascii="Calibri" w:hAnsi="Calibri" w:cs="黑体"/>
      <w:kern w:val="2"/>
      <w:sz w:val="18"/>
      <w:szCs w:val="18"/>
    </w:rPr>
  </w:style>
  <w:style w:type="paragraph" w:customStyle="1" w:styleId="10">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3348</Words>
  <Characters>3600</Characters>
  <Lines>27</Lines>
  <Paragraphs>7</Paragraphs>
  <TotalTime>0</TotalTime>
  <ScaleCrop>false</ScaleCrop>
  <LinksUpToDate>false</LinksUpToDate>
  <CharactersWithSpaces>4125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2021-03-04T00:17:00Z</dcterms:created>
  <dc:creator>翾1367974113</dc:creator>
  <cp:lastModifiedBy>Administrator</cp:lastModifiedBy>
  <dcterms:modified xsi:type="dcterms:W3CDTF">2022-06-28T09:11:55Z</dcterms:modified>
  <dc:title>mac</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FE6E926F43B64DD68DFFC4F21340EB46</vt:lpwstr>
  </property>
</Properties>
</file>