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宋体"/>
          <w:b/>
          <w:bCs/>
          <w:kern w:val="0"/>
          <w:sz w:val="44"/>
          <w:szCs w:val="44"/>
        </w:rPr>
      </w:pPr>
      <w:r>
        <w:rPr>
          <w:rFonts w:hint="eastAsia" w:ascii="宋体" w:hAnsi="宋体" w:cs="宋体"/>
          <w:b/>
          <w:bCs/>
          <w:kern w:val="0"/>
          <w:sz w:val="44"/>
          <w:szCs w:val="44"/>
        </w:rPr>
        <w:t>2022年平顶山市卫东区农机局</w:t>
      </w:r>
    </w:p>
    <w:p>
      <w:pPr>
        <w:spacing w:line="560" w:lineRule="exact"/>
        <w:jc w:val="center"/>
        <w:rPr>
          <w:rFonts w:ascii="宋体" w:hAnsi="宋体" w:cs="宋体"/>
          <w:b/>
          <w:bCs/>
          <w:sz w:val="44"/>
          <w:szCs w:val="44"/>
        </w:rPr>
      </w:pPr>
      <w:r>
        <w:rPr>
          <w:rFonts w:hint="eastAsia" w:ascii="宋体" w:hAnsi="宋体" w:cs="宋体"/>
          <w:b/>
          <w:bCs/>
          <w:sz w:val="44"/>
          <w:szCs w:val="44"/>
        </w:rPr>
        <w:t>部门预算说明</w:t>
      </w:r>
    </w:p>
    <w:p>
      <w:pPr>
        <w:spacing w:line="560" w:lineRule="exact"/>
        <w:jc w:val="center"/>
        <w:rPr>
          <w:rFonts w:ascii="宋体" w:hAnsi="宋体" w:cs="宋体"/>
          <w:b/>
          <w:bCs/>
          <w:sz w:val="44"/>
          <w:szCs w:val="44"/>
        </w:rPr>
      </w:pPr>
    </w:p>
    <w:p>
      <w:pPr>
        <w:snapToGrid w:val="0"/>
        <w:spacing w:line="560" w:lineRule="exact"/>
        <w:jc w:val="center"/>
        <w:rPr>
          <w:rFonts w:ascii="宋体" w:hAnsi="宋体" w:cs="宋体"/>
          <w:b/>
          <w:bCs/>
          <w:sz w:val="44"/>
          <w:szCs w:val="44"/>
        </w:rPr>
      </w:pPr>
      <w:r>
        <w:rPr>
          <w:rFonts w:hint="eastAsia" w:ascii="宋体" w:hAnsi="宋体" w:cs="宋体"/>
          <w:b/>
          <w:bCs/>
          <w:sz w:val="44"/>
          <w:szCs w:val="44"/>
        </w:rPr>
        <w:t>目录</w:t>
      </w:r>
    </w:p>
    <w:p>
      <w:pPr>
        <w:snapToGrid w:val="0"/>
        <w:spacing w:line="560" w:lineRule="exact"/>
        <w:rPr>
          <w:rFonts w:ascii="宋体" w:hAnsi="宋体" w:cs="宋体"/>
          <w:b/>
          <w:bCs/>
          <w:sz w:val="32"/>
          <w:szCs w:val="32"/>
        </w:rPr>
      </w:pPr>
      <w:r>
        <w:rPr>
          <w:rFonts w:hint="eastAsia" w:ascii="宋体" w:hAnsi="宋体" w:cs="宋体"/>
          <w:b/>
          <w:bCs/>
          <w:sz w:val="32"/>
          <w:szCs w:val="32"/>
        </w:rPr>
        <w:t>第一部分平顶山市卫东区农机局概况</w:t>
      </w:r>
    </w:p>
    <w:p>
      <w:pPr>
        <w:snapToGrid w:val="0"/>
        <w:spacing w:line="560" w:lineRule="exact"/>
        <w:ind w:firstLine="320" w:firstLineChars="1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一、主要职能</w:t>
      </w:r>
    </w:p>
    <w:p>
      <w:pPr>
        <w:snapToGrid w:val="0"/>
        <w:spacing w:line="560" w:lineRule="exact"/>
        <w:ind w:firstLine="320" w:firstLineChars="100"/>
        <w:rPr>
          <w:rFonts w:ascii="仿宋" w:hAnsi="仿宋" w:eastAsia="仿宋" w:cs="仿宋"/>
          <w:sz w:val="32"/>
          <w:szCs w:val="32"/>
        </w:rPr>
      </w:pPr>
      <w:r>
        <w:rPr>
          <w:rFonts w:hint="eastAsia" w:ascii="仿宋_GB2312" w:hAnsi="仿宋_GB2312" w:eastAsia="仿宋_GB2312" w:cs="仿宋_GB2312"/>
          <w:bCs/>
          <w:kern w:val="0"/>
          <w:sz w:val="32"/>
          <w:szCs w:val="32"/>
        </w:rPr>
        <w:t xml:space="preserve">二、部门预算单位构成  </w:t>
      </w:r>
    </w:p>
    <w:p>
      <w:pPr>
        <w:snapToGrid w:val="0"/>
        <w:spacing w:line="560" w:lineRule="exact"/>
        <w:rPr>
          <w:rFonts w:ascii="宋体" w:hAnsi="宋体" w:cs="宋体"/>
          <w:b/>
          <w:bCs/>
          <w:sz w:val="32"/>
          <w:szCs w:val="32"/>
        </w:rPr>
      </w:pPr>
      <w:r>
        <w:rPr>
          <w:rFonts w:hint="eastAsia" w:ascii="宋体" w:hAnsi="宋体" w:cs="宋体"/>
          <w:b/>
          <w:bCs/>
          <w:sz w:val="32"/>
          <w:szCs w:val="32"/>
        </w:rPr>
        <w:t xml:space="preserve">第二部分平顶山市卫东区农业机局2022年部门预算情况说明    </w:t>
      </w:r>
    </w:p>
    <w:p>
      <w:pPr>
        <w:snapToGrid w:val="0"/>
        <w:spacing w:line="560" w:lineRule="exact"/>
        <w:rPr>
          <w:rFonts w:ascii="宋体" w:hAnsi="宋体" w:cs="宋体"/>
          <w:b/>
          <w:bCs/>
          <w:sz w:val="32"/>
          <w:szCs w:val="32"/>
        </w:rPr>
      </w:pPr>
      <w:r>
        <w:rPr>
          <w:rFonts w:hint="eastAsia" w:ascii="宋体" w:hAnsi="宋体" w:cs="宋体"/>
          <w:b/>
          <w:bCs/>
          <w:sz w:val="32"/>
          <w:szCs w:val="32"/>
        </w:rPr>
        <w:t xml:space="preserve">第三部分名词解释    </w:t>
      </w:r>
    </w:p>
    <w:p>
      <w:pPr>
        <w:snapToGrid w:val="0"/>
        <w:spacing w:line="560" w:lineRule="exact"/>
        <w:rPr>
          <w:rFonts w:ascii="宋体" w:hAnsi="宋体" w:cs="宋体"/>
          <w:b/>
          <w:bCs/>
          <w:sz w:val="32"/>
          <w:szCs w:val="32"/>
        </w:rPr>
      </w:pPr>
      <w:r>
        <w:rPr>
          <w:rFonts w:hint="eastAsia" w:ascii="宋体" w:hAnsi="宋体" w:cs="宋体"/>
          <w:b/>
          <w:bCs/>
          <w:sz w:val="32"/>
          <w:szCs w:val="32"/>
        </w:rPr>
        <w:t>附件： 平顶山市卫东区农机局2022年部门预算表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20" w:firstLineChars="100"/>
        <w:jc w:val="both"/>
        <w:textAlignment w:val="auto"/>
        <w:outlineLvl w:val="9"/>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一、部门收支</w:t>
      </w:r>
      <w:r>
        <w:rPr>
          <w:rFonts w:hint="eastAsia" w:ascii="仿宋_GB2312" w:hAnsi="仿宋_GB2312" w:eastAsia="仿宋_GB2312" w:cs="仿宋_GB2312"/>
          <w:bCs/>
          <w:kern w:val="0"/>
          <w:sz w:val="32"/>
          <w:szCs w:val="32"/>
          <w:lang w:val="en-US" w:eastAsia="zh-CN"/>
        </w:rPr>
        <w:t>预算表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20" w:firstLineChars="100"/>
        <w:jc w:val="both"/>
        <w:textAlignment w:val="auto"/>
        <w:outlineLvl w:val="9"/>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二、部门收入</w:t>
      </w:r>
      <w:r>
        <w:rPr>
          <w:rFonts w:hint="eastAsia" w:ascii="仿宋_GB2312" w:hAnsi="仿宋_GB2312" w:eastAsia="仿宋_GB2312" w:cs="仿宋_GB2312"/>
          <w:bCs/>
          <w:kern w:val="0"/>
          <w:sz w:val="32"/>
          <w:szCs w:val="32"/>
          <w:lang w:val="en-US" w:eastAsia="zh-CN"/>
        </w:rPr>
        <w:t>预算表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20" w:firstLineChars="100"/>
        <w:jc w:val="both"/>
        <w:textAlignment w:val="auto"/>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三、部门支出</w:t>
      </w:r>
      <w:r>
        <w:rPr>
          <w:rFonts w:hint="eastAsia" w:ascii="仿宋_GB2312" w:hAnsi="仿宋_GB2312" w:eastAsia="仿宋_GB2312" w:cs="仿宋_GB2312"/>
          <w:bCs/>
          <w:kern w:val="0"/>
          <w:sz w:val="32"/>
          <w:szCs w:val="32"/>
          <w:lang w:val="en-US" w:eastAsia="zh-CN"/>
        </w:rPr>
        <w:t>预算表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20" w:firstLineChars="100"/>
        <w:jc w:val="both"/>
        <w:textAlignment w:val="auto"/>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四、财政拨款收支</w:t>
      </w:r>
      <w:r>
        <w:rPr>
          <w:rFonts w:hint="eastAsia" w:ascii="仿宋_GB2312" w:hAnsi="仿宋_GB2312" w:eastAsia="仿宋_GB2312" w:cs="仿宋_GB2312"/>
          <w:bCs/>
          <w:kern w:val="0"/>
          <w:sz w:val="32"/>
          <w:szCs w:val="32"/>
          <w:lang w:val="en-US" w:eastAsia="zh-CN"/>
        </w:rPr>
        <w:t>预算表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20" w:firstLineChars="100"/>
        <w:jc w:val="both"/>
        <w:textAlignment w:val="auto"/>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五、一般公共预算支出</w:t>
      </w:r>
      <w:r>
        <w:rPr>
          <w:rFonts w:hint="eastAsia" w:ascii="仿宋_GB2312" w:hAnsi="仿宋_GB2312" w:eastAsia="仿宋_GB2312" w:cs="仿宋_GB2312"/>
          <w:bCs/>
          <w:kern w:val="0"/>
          <w:sz w:val="32"/>
          <w:szCs w:val="32"/>
          <w:lang w:val="en-US" w:eastAsia="zh-CN"/>
        </w:rPr>
        <w:t>预算表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20" w:firstLineChars="100"/>
        <w:jc w:val="both"/>
        <w:textAlignment w:val="auto"/>
        <w:outlineLvl w:val="9"/>
        <w:rPr>
          <w:rFonts w:hint="eastAsia" w:ascii="仿宋" w:hAnsi="仿宋" w:eastAsia="仿宋" w:cs="仿宋"/>
          <w:kern w:val="0"/>
          <w:sz w:val="32"/>
          <w:szCs w:val="32"/>
          <w:lang w:val="en-US" w:eastAsia="zh-CN"/>
        </w:rPr>
      </w:pPr>
      <w:r>
        <w:rPr>
          <w:rFonts w:hint="eastAsia" w:ascii="仿宋_GB2312" w:hAnsi="仿宋_GB2312" w:eastAsia="仿宋_GB2312" w:cs="仿宋_GB2312"/>
          <w:bCs/>
          <w:kern w:val="0"/>
          <w:sz w:val="32"/>
          <w:szCs w:val="32"/>
        </w:rPr>
        <w:t>六、</w:t>
      </w:r>
      <w:r>
        <w:rPr>
          <w:rFonts w:hint="eastAsia" w:ascii="仿宋" w:hAnsi="仿宋" w:eastAsia="仿宋" w:cs="仿宋"/>
          <w:kern w:val="0"/>
          <w:sz w:val="32"/>
          <w:szCs w:val="32"/>
          <w:lang w:val="en-US" w:eastAsia="zh-CN"/>
        </w:rPr>
        <w:t>一般公共预算基本支出表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20" w:firstLineChars="100"/>
        <w:jc w:val="both"/>
        <w:textAlignment w:val="auto"/>
        <w:outlineLvl w:val="9"/>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七、支出经济分类汇总表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20" w:firstLineChars="100"/>
        <w:jc w:val="both"/>
        <w:textAlignment w:val="auto"/>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八</w:t>
      </w:r>
      <w:r>
        <w:rPr>
          <w:rFonts w:hint="eastAsia" w:ascii="仿宋_GB2312" w:hAnsi="仿宋_GB2312" w:eastAsia="仿宋_GB2312" w:cs="仿宋_GB2312"/>
          <w:bCs/>
          <w:kern w:val="0"/>
          <w:sz w:val="32"/>
          <w:szCs w:val="32"/>
        </w:rPr>
        <w:t>、一般公共预算“三公”经费</w:t>
      </w:r>
      <w:r>
        <w:rPr>
          <w:rFonts w:hint="eastAsia" w:ascii="仿宋_GB2312" w:hAnsi="仿宋_GB2312" w:eastAsia="仿宋_GB2312" w:cs="仿宋_GB2312"/>
          <w:bCs/>
          <w:kern w:val="0"/>
          <w:sz w:val="32"/>
          <w:szCs w:val="32"/>
          <w:lang w:val="en-US" w:eastAsia="zh-CN"/>
        </w:rPr>
        <w:t>预算表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20" w:firstLineChars="100"/>
        <w:jc w:val="both"/>
        <w:textAlignment w:val="auto"/>
        <w:outlineLvl w:val="9"/>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九、</w:t>
      </w:r>
      <w:r>
        <w:rPr>
          <w:rFonts w:hint="eastAsia" w:ascii="仿宋_GB2312" w:hAnsi="仿宋_GB2312" w:eastAsia="仿宋_GB2312" w:cs="仿宋_GB2312"/>
          <w:bCs/>
          <w:kern w:val="0"/>
          <w:sz w:val="32"/>
          <w:szCs w:val="32"/>
        </w:rPr>
        <w:t>政府性基金支出</w:t>
      </w:r>
      <w:r>
        <w:rPr>
          <w:rFonts w:hint="eastAsia" w:ascii="仿宋_GB2312" w:hAnsi="仿宋_GB2312" w:eastAsia="仿宋_GB2312" w:cs="仿宋_GB2312"/>
          <w:bCs/>
          <w:kern w:val="0"/>
          <w:sz w:val="32"/>
          <w:szCs w:val="32"/>
          <w:lang w:val="en-US" w:eastAsia="zh-CN"/>
        </w:rPr>
        <w:t>预算表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20" w:firstLineChars="100"/>
        <w:jc w:val="both"/>
        <w:textAlignment w:val="auto"/>
        <w:outlineLvl w:val="9"/>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十、项目支出预算表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20" w:firstLineChars="100"/>
        <w:jc w:val="both"/>
        <w:textAlignment w:val="auto"/>
        <w:outlineLvl w:val="9"/>
        <w:rPr>
          <w:rFonts w:hint="default"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十一、部门（单位）整体绩效目标表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20" w:firstLineChars="100"/>
        <w:jc w:val="both"/>
        <w:textAlignment w:val="auto"/>
        <w:outlineLvl w:val="9"/>
        <w:rPr>
          <w:rFonts w:hint="eastAsia" w:ascii="仿宋_GB2312" w:hAnsi="仿宋_GB2312" w:eastAsia="仿宋_GB2312" w:cs="仿宋_GB2312"/>
          <w:bCs/>
          <w:color w:val="auto"/>
          <w:kern w:val="0"/>
          <w:sz w:val="32"/>
          <w:szCs w:val="32"/>
          <w:highlight w:val="yellow"/>
        </w:rPr>
      </w:pPr>
      <w:r>
        <w:rPr>
          <w:rFonts w:hint="eastAsia" w:ascii="仿宋" w:hAnsi="仿宋" w:eastAsia="仿宋" w:cs="仿宋"/>
          <w:bCs/>
          <w:kern w:val="0"/>
          <w:sz w:val="32"/>
          <w:szCs w:val="32"/>
          <w:highlight w:val="none"/>
          <w:lang w:val="en-US" w:eastAsia="zh-CN"/>
        </w:rPr>
        <w:t>十二、部门预算项目绩效目标汇总表</w:t>
      </w:r>
    </w:p>
    <w:p>
      <w:pPr>
        <w:snapToGrid w:val="0"/>
        <w:spacing w:line="560" w:lineRule="exact"/>
        <w:rPr>
          <w:rFonts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hint="eastAsia" w:ascii="宋体" w:hAnsi="宋体" w:cs="宋体"/>
          <w:b/>
          <w:bCs/>
          <w:sz w:val="32"/>
          <w:szCs w:val="32"/>
        </w:rPr>
      </w:pPr>
    </w:p>
    <w:p>
      <w:pPr>
        <w:snapToGrid w:val="0"/>
        <w:spacing w:line="560" w:lineRule="exact"/>
        <w:jc w:val="center"/>
        <w:rPr>
          <w:rFonts w:ascii="宋体" w:hAnsi="宋体" w:cs="宋体"/>
          <w:b/>
          <w:bCs/>
          <w:sz w:val="32"/>
          <w:szCs w:val="32"/>
        </w:rPr>
      </w:pPr>
      <w:bookmarkStart w:id="0" w:name="_GoBack"/>
      <w:bookmarkEnd w:id="0"/>
      <w:r>
        <w:rPr>
          <w:rFonts w:hint="eastAsia" w:ascii="宋体" w:hAnsi="宋体" w:cs="宋体"/>
          <w:b/>
          <w:bCs/>
          <w:sz w:val="32"/>
          <w:szCs w:val="32"/>
        </w:rPr>
        <w:t>第一部分</w:t>
      </w:r>
    </w:p>
    <w:p>
      <w:pPr>
        <w:snapToGrid w:val="0"/>
        <w:spacing w:line="560" w:lineRule="exact"/>
        <w:jc w:val="center"/>
        <w:rPr>
          <w:rFonts w:ascii="宋体" w:hAnsi="宋体" w:cs="宋体"/>
          <w:b/>
          <w:bCs/>
          <w:sz w:val="32"/>
          <w:szCs w:val="32"/>
        </w:rPr>
      </w:pPr>
      <w:r>
        <w:rPr>
          <w:rFonts w:hint="eastAsia" w:ascii="宋体" w:hAnsi="宋体" w:cs="宋体"/>
          <w:b/>
          <w:bCs/>
          <w:sz w:val="32"/>
          <w:szCs w:val="32"/>
        </w:rPr>
        <w:t>平顶山市卫东区农业农机局概况</w:t>
      </w:r>
    </w:p>
    <w:p>
      <w:pPr>
        <w:snapToGrid w:val="0"/>
        <w:spacing w:line="560" w:lineRule="exact"/>
        <w:jc w:val="center"/>
        <w:rPr>
          <w:rFonts w:ascii="宋体" w:hAnsi="宋体" w:cs="宋体"/>
          <w:b/>
          <w:bCs/>
          <w:sz w:val="32"/>
          <w:szCs w:val="32"/>
        </w:rPr>
      </w:pPr>
    </w:p>
    <w:p>
      <w:pPr>
        <w:snapToGrid w:val="0"/>
        <w:spacing w:line="560" w:lineRule="exact"/>
        <w:ind w:firstLine="643" w:firstLineChars="200"/>
        <w:rPr>
          <w:rFonts w:ascii="宋体" w:hAnsi="宋体" w:cs="宋体"/>
          <w:b/>
          <w:bCs/>
          <w:sz w:val="32"/>
          <w:szCs w:val="32"/>
        </w:rPr>
      </w:pPr>
      <w:r>
        <w:rPr>
          <w:rFonts w:hint="eastAsia" w:ascii="宋体" w:hAnsi="宋体" w:cs="宋体"/>
          <w:b/>
          <w:bCs/>
          <w:sz w:val="32"/>
          <w:szCs w:val="32"/>
        </w:rPr>
        <w:t>一、平顶山市卫东区农机局主要职能</w:t>
      </w:r>
    </w:p>
    <w:p>
      <w:pPr>
        <w:spacing w:line="580" w:lineRule="exact"/>
        <w:ind w:firstLine="640" w:firstLineChars="200"/>
        <w:rPr>
          <w:rFonts w:ascii="仿宋" w:hAnsi="仿宋" w:eastAsia="仿宋"/>
          <w:color w:val="000000"/>
          <w:sz w:val="32"/>
          <w:szCs w:val="32"/>
        </w:rPr>
      </w:pPr>
      <w:r>
        <w:rPr>
          <w:rFonts w:hint="eastAsia" w:ascii="仿宋_GB2312" w:hAnsi="仿宋" w:eastAsia="仿宋_GB2312" w:cs="仿宋"/>
          <w:bCs/>
          <w:kern w:val="0"/>
          <w:sz w:val="32"/>
          <w:szCs w:val="32"/>
        </w:rPr>
        <w:t xml:space="preserve">   </w:t>
      </w:r>
      <w:r>
        <w:rPr>
          <w:rFonts w:hint="eastAsia" w:ascii="仿宋" w:hAnsi="仿宋" w:eastAsia="仿宋"/>
          <w:color w:val="000000"/>
          <w:sz w:val="32"/>
          <w:szCs w:val="32"/>
        </w:rPr>
        <w:t>研究提出全区农业机械化发展的规划、计划；指导全区农机服务体系建设；负责指导全区机械化农业生产工作；指导农机维修工作和维修网点建设；负责农业机械有关经费使用工作；指导农机节油工作；负责农机化统计汇总和分析；负责拖拉机、联合收割机等农业机械及驾驶（操作）人员的安全管理等工作；负责入户发牌发证、车辆技术检验、年度审验工作。</w:t>
      </w:r>
    </w:p>
    <w:p>
      <w:pPr>
        <w:snapToGrid w:val="0"/>
        <w:spacing w:line="560" w:lineRule="exact"/>
        <w:ind w:firstLine="472" w:firstLineChars="147"/>
        <w:rPr>
          <w:rFonts w:ascii="宋体" w:hAnsi="宋体" w:cs="宋体"/>
          <w:b/>
          <w:bCs/>
          <w:sz w:val="32"/>
          <w:szCs w:val="32"/>
        </w:rPr>
      </w:pPr>
      <w:r>
        <w:rPr>
          <w:rFonts w:hint="eastAsia" w:ascii="宋体" w:hAnsi="宋体" w:cs="宋体"/>
          <w:b/>
          <w:bCs/>
          <w:sz w:val="32"/>
          <w:szCs w:val="32"/>
        </w:rPr>
        <w:t>二、平顶山市卫东区农机局预算单位构成</w:t>
      </w:r>
    </w:p>
    <w:p>
      <w:pPr>
        <w:adjustRightInd w:val="0"/>
        <w:snapToGrid w:val="0"/>
        <w:spacing w:line="560" w:lineRule="exact"/>
        <w:ind w:firstLine="640" w:firstLineChars="200"/>
        <w:rPr>
          <w:rFonts w:ascii="仿宋_GB2312" w:hAnsi="仿宋" w:eastAsia="仿宋_GB2312" w:cs="仿宋"/>
          <w:bCs/>
          <w:kern w:val="0"/>
          <w:sz w:val="32"/>
          <w:szCs w:val="32"/>
        </w:rPr>
      </w:pPr>
      <w:r>
        <w:rPr>
          <w:rFonts w:hint="eastAsia" w:ascii="仿宋_GB2312" w:hAnsi="宋体" w:eastAsia="仿宋_GB2312" w:cs="宋体"/>
          <w:bCs/>
          <w:kern w:val="0"/>
          <w:sz w:val="32"/>
          <w:szCs w:val="32"/>
        </w:rPr>
        <w:t>平顶山市卫东区农机局</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年部门预算</w:t>
      </w:r>
      <w:r>
        <w:rPr>
          <w:rFonts w:hint="eastAsia" w:ascii="仿宋_GB2312" w:hAnsi="仿宋_GB2312" w:eastAsia="仿宋_GB2312" w:cs="仿宋_GB2312"/>
          <w:color w:val="000000"/>
          <w:sz w:val="32"/>
          <w:szCs w:val="32"/>
        </w:rPr>
        <w:t>是一级预算单位 。无内设机构</w:t>
      </w:r>
      <w:r>
        <w:rPr>
          <w:rFonts w:hint="eastAsia" w:ascii="仿宋_GB2312" w:hAnsi="宋体" w:eastAsia="仿宋_GB2312" w:cs="宋体"/>
          <w:bCs/>
          <w:kern w:val="0"/>
          <w:sz w:val="32"/>
          <w:szCs w:val="32"/>
        </w:rPr>
        <w:t>。</w:t>
      </w:r>
    </w:p>
    <w:p>
      <w:pPr>
        <w:adjustRightInd w:val="0"/>
        <w:snapToGrid w:val="0"/>
        <w:spacing w:line="560" w:lineRule="exact"/>
        <w:ind w:firstLine="3213" w:firstLineChars="1000"/>
        <w:rPr>
          <w:rFonts w:ascii="宋体" w:hAnsi="宋体" w:cs="宋体"/>
          <w:b/>
          <w:kern w:val="0"/>
          <w:sz w:val="32"/>
          <w:szCs w:val="32"/>
        </w:rPr>
      </w:pPr>
      <w:r>
        <w:rPr>
          <w:rFonts w:hint="eastAsia" w:ascii="宋体" w:hAnsi="宋体" w:cs="宋体"/>
          <w:b/>
          <w:kern w:val="0"/>
          <w:sz w:val="32"/>
          <w:szCs w:val="32"/>
        </w:rPr>
        <w:t>第二部分</w:t>
      </w:r>
    </w:p>
    <w:p>
      <w:pPr>
        <w:adjustRightInd w:val="0"/>
        <w:snapToGrid w:val="0"/>
        <w:spacing w:line="560" w:lineRule="exact"/>
        <w:jc w:val="center"/>
        <w:rPr>
          <w:rFonts w:ascii="宋体" w:hAnsi="宋体" w:cs="宋体"/>
          <w:b/>
          <w:kern w:val="0"/>
          <w:sz w:val="32"/>
          <w:szCs w:val="32"/>
        </w:rPr>
      </w:pPr>
      <w:r>
        <w:rPr>
          <w:rFonts w:hint="eastAsia" w:ascii="宋体" w:hAnsi="宋体" w:cs="宋体"/>
          <w:b/>
          <w:kern w:val="0"/>
          <w:sz w:val="32"/>
          <w:szCs w:val="32"/>
        </w:rPr>
        <w:t>平顶山市卫东区农机局2022年部门预算情况说明</w:t>
      </w:r>
    </w:p>
    <w:p>
      <w:pPr>
        <w:pageBreakBefore w:val="0"/>
        <w:kinsoku/>
        <w:wordWrap/>
        <w:overflowPunct/>
        <w:topLinePunct w:val="0"/>
        <w:autoSpaceDE/>
        <w:bidi w:val="0"/>
        <w:adjustRightInd/>
        <w:snapToGrid/>
        <w:spacing w:line="580" w:lineRule="exact"/>
        <w:ind w:firstLine="803" w:firstLineChars="250"/>
        <w:textAlignment w:val="auto"/>
        <w:rPr>
          <w:rFonts w:hint="eastAsia" w:ascii="宋体" w:hAnsi="宋体" w:eastAsia="宋体" w:cs="宋体"/>
          <w:b/>
          <w:bCs w:val="0"/>
          <w:kern w:val="0"/>
          <w:sz w:val="32"/>
          <w:szCs w:val="32"/>
          <w:highlight w:val="none"/>
        </w:rPr>
      </w:pPr>
      <w:r>
        <w:rPr>
          <w:rFonts w:hint="eastAsia" w:ascii="宋体" w:hAnsi="宋体" w:eastAsia="宋体" w:cs="宋体"/>
          <w:b/>
          <w:bCs w:val="0"/>
          <w:kern w:val="0"/>
          <w:sz w:val="32"/>
          <w:szCs w:val="32"/>
          <w:highlight w:val="none"/>
        </w:rPr>
        <w:t>一、收入支出预算总体情况说明</w:t>
      </w:r>
    </w:p>
    <w:p>
      <w:pPr>
        <w:adjustRightInd w:val="0"/>
        <w:snapToGrid w:val="0"/>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2022年收、支总计均为229.4万元,与上年相比，收、支总计均减少3.85万元, 下降14.5%。主要原因：厉行节约，压缩支出。</w:t>
      </w:r>
      <w:r>
        <w:rPr>
          <w:rFonts w:hint="eastAsia" w:ascii="仿宋_GB2312" w:hAnsi="宋体" w:eastAsia="仿宋_GB2312" w:cs="宋体"/>
          <w:bCs/>
          <w:kern w:val="0"/>
          <w:sz w:val="32"/>
          <w:szCs w:val="32"/>
        </w:rPr>
        <w:tab/>
      </w:r>
    </w:p>
    <w:p>
      <w:pPr>
        <w:pageBreakBefore w:val="0"/>
        <w:kinsoku/>
        <w:wordWrap/>
        <w:overflowPunct/>
        <w:topLinePunct w:val="0"/>
        <w:autoSpaceDE/>
        <w:bidi w:val="0"/>
        <w:adjustRightInd/>
        <w:snapToGrid/>
        <w:spacing w:line="580" w:lineRule="exact"/>
        <w:ind w:firstLine="803" w:firstLineChars="250"/>
        <w:textAlignment w:val="auto"/>
        <w:rPr>
          <w:rFonts w:hint="eastAsia" w:ascii="宋体" w:hAnsi="宋体" w:eastAsia="宋体" w:cs="宋体"/>
          <w:b/>
          <w:bCs w:val="0"/>
          <w:kern w:val="0"/>
          <w:sz w:val="32"/>
          <w:szCs w:val="32"/>
          <w:highlight w:val="none"/>
        </w:rPr>
      </w:pPr>
      <w:r>
        <w:rPr>
          <w:rFonts w:hint="eastAsia" w:ascii="宋体" w:hAnsi="宋体" w:eastAsia="宋体" w:cs="宋体"/>
          <w:b/>
          <w:bCs w:val="0"/>
          <w:kern w:val="0"/>
          <w:sz w:val="32"/>
          <w:szCs w:val="32"/>
          <w:highlight w:val="none"/>
        </w:rPr>
        <w:t>二、收入预算总体情况说明</w:t>
      </w:r>
    </w:p>
    <w:p>
      <w:pPr>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2022年收入预算229.4万元，其中：一般公共预算229.4万元。</w:t>
      </w:r>
    </w:p>
    <w:p>
      <w:pPr>
        <w:pageBreakBefore w:val="0"/>
        <w:kinsoku/>
        <w:wordWrap/>
        <w:overflowPunct/>
        <w:topLinePunct w:val="0"/>
        <w:autoSpaceDE/>
        <w:bidi w:val="0"/>
        <w:adjustRightInd/>
        <w:snapToGrid/>
        <w:spacing w:line="580" w:lineRule="exact"/>
        <w:ind w:firstLine="803" w:firstLineChars="250"/>
        <w:textAlignment w:val="auto"/>
        <w:rPr>
          <w:rFonts w:hint="eastAsia" w:ascii="宋体" w:hAnsi="宋体" w:eastAsia="宋体" w:cs="宋体"/>
          <w:b/>
          <w:bCs w:val="0"/>
          <w:kern w:val="0"/>
          <w:sz w:val="32"/>
          <w:szCs w:val="32"/>
          <w:highlight w:val="yellow"/>
        </w:rPr>
      </w:pPr>
      <w:r>
        <w:rPr>
          <w:rFonts w:hint="eastAsia" w:ascii="宋体" w:hAnsi="宋体" w:eastAsia="宋体" w:cs="宋体"/>
          <w:b/>
          <w:bCs w:val="0"/>
          <w:kern w:val="0"/>
          <w:sz w:val="32"/>
          <w:szCs w:val="32"/>
          <w:highlight w:val="none"/>
        </w:rPr>
        <w:t>三、支出预算总体情况说明</w:t>
      </w:r>
    </w:p>
    <w:p>
      <w:pPr>
        <w:snapToGrid w:val="0"/>
        <w:spacing w:line="560" w:lineRule="exact"/>
        <w:ind w:firstLine="640" w:firstLineChars="200"/>
        <w:rPr>
          <w:rFonts w:ascii="仿宋" w:hAnsi="仿宋" w:eastAsia="仿宋" w:cs="仿宋"/>
          <w:sz w:val="32"/>
          <w:szCs w:val="32"/>
        </w:rPr>
      </w:pPr>
      <w:r>
        <w:rPr>
          <w:rFonts w:hint="eastAsia" w:ascii="仿宋_GB2312" w:hAnsi="宋体" w:eastAsia="仿宋_GB2312" w:cs="宋体"/>
          <w:bCs/>
          <w:kern w:val="0"/>
          <w:sz w:val="32"/>
          <w:szCs w:val="32"/>
        </w:rPr>
        <w:t>2022年支出预算229.4万元，按用途划分为：基本支出190.31万元,占83%；项目支出39.09万元，占17 % 。</w:t>
      </w:r>
    </w:p>
    <w:p>
      <w:pPr>
        <w:pageBreakBefore w:val="0"/>
        <w:kinsoku/>
        <w:wordWrap/>
        <w:overflowPunct/>
        <w:topLinePunct w:val="0"/>
        <w:autoSpaceDE/>
        <w:bidi w:val="0"/>
        <w:adjustRightInd/>
        <w:snapToGrid/>
        <w:spacing w:line="580" w:lineRule="exact"/>
        <w:ind w:firstLine="803" w:firstLineChars="250"/>
        <w:textAlignment w:val="auto"/>
        <w:rPr>
          <w:rFonts w:ascii="仿宋" w:hAnsi="仿宋" w:eastAsia="仿宋" w:cs="仿宋"/>
          <w:sz w:val="32"/>
          <w:szCs w:val="32"/>
        </w:rPr>
      </w:pPr>
      <w:r>
        <w:rPr>
          <w:rFonts w:hint="eastAsia" w:ascii="宋体" w:hAnsi="宋体" w:eastAsia="宋体" w:cs="宋体"/>
          <w:b/>
          <w:bCs w:val="0"/>
          <w:kern w:val="0"/>
          <w:sz w:val="32"/>
          <w:szCs w:val="32"/>
          <w:highlight w:val="none"/>
        </w:rPr>
        <w:t>四、财政拨款收入支出预算总体情况说明</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p>
    <w:p>
      <w:pPr>
        <w:snapToGrid w:val="0"/>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2022年一般公共预算收支预算229.4万元，与上年相比，一般公共预算收支预算减少3.85万元，下降14.5%,主要原因：厉行节约，压缩支出。</w:t>
      </w:r>
      <w:r>
        <w:rPr>
          <w:rFonts w:hint="eastAsia" w:ascii="仿宋_GB2312" w:hAnsi="宋体" w:eastAsia="仿宋_GB2312" w:cs="宋体"/>
          <w:bCs/>
          <w:kern w:val="0"/>
          <w:sz w:val="32"/>
          <w:szCs w:val="32"/>
        </w:rPr>
        <w:tab/>
      </w:r>
    </w:p>
    <w:p>
      <w:pPr>
        <w:pageBreakBefore w:val="0"/>
        <w:kinsoku/>
        <w:wordWrap/>
        <w:overflowPunct/>
        <w:topLinePunct w:val="0"/>
        <w:autoSpaceDE/>
        <w:bidi w:val="0"/>
        <w:adjustRightInd/>
        <w:snapToGrid/>
        <w:spacing w:line="580" w:lineRule="exact"/>
        <w:ind w:firstLine="803" w:firstLineChars="250"/>
        <w:textAlignment w:val="auto"/>
        <w:rPr>
          <w:rFonts w:ascii="仿宋" w:hAnsi="仿宋" w:eastAsia="仿宋" w:cs="仿宋"/>
          <w:sz w:val="32"/>
          <w:szCs w:val="32"/>
        </w:rPr>
      </w:pPr>
      <w:r>
        <w:rPr>
          <w:rFonts w:hint="eastAsia" w:ascii="宋体" w:hAnsi="宋体" w:eastAsia="宋体" w:cs="宋体"/>
          <w:b/>
          <w:bCs w:val="0"/>
          <w:kern w:val="0"/>
          <w:sz w:val="32"/>
          <w:szCs w:val="32"/>
          <w:highlight w:val="none"/>
        </w:rPr>
        <w:t>五、一般公共预算支出预算情况说明</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p>
    <w:p>
      <w:pPr>
        <w:snapToGrid w:val="0"/>
        <w:spacing w:line="560" w:lineRule="exact"/>
        <w:ind w:firstLine="320" w:firstLineChars="100"/>
        <w:rPr>
          <w:rFonts w:ascii="仿宋_GB2312" w:hAnsi="宋体" w:eastAsia="仿宋_GB2312" w:cs="宋体"/>
          <w:bCs/>
          <w:kern w:val="0"/>
          <w:sz w:val="32"/>
          <w:szCs w:val="32"/>
        </w:rPr>
      </w:pPr>
      <w:r>
        <w:rPr>
          <w:rFonts w:hint="eastAsia" w:ascii="仿宋_GB2312" w:hAnsi="宋体" w:eastAsia="仿宋_GB2312" w:cs="宋体"/>
          <w:bCs/>
          <w:kern w:val="0"/>
          <w:sz w:val="32"/>
          <w:szCs w:val="32"/>
        </w:rPr>
        <w:t>2022年一般公共预算支出年初预算为229.4万元。主要用于以下方面：一般公共服务（类）支出188.91万元，占82.3%；社会保障和就业（类）支出18.96万元，占8.4%；医疗卫生（类）支出8.35万元，占3.6%；住房保障（类）支出13.18万元，占5.7%.</w:t>
      </w:r>
      <w:r>
        <w:rPr>
          <w:rFonts w:ascii="仿宋_GB2312" w:hAnsi="宋体" w:eastAsia="仿宋_GB2312" w:cs="宋体"/>
          <w:bCs/>
          <w:kern w:val="0"/>
          <w:sz w:val="32"/>
          <w:szCs w:val="32"/>
        </w:rPr>
        <w:t xml:space="preserve"> </w:t>
      </w:r>
    </w:p>
    <w:p>
      <w:pPr>
        <w:snapToGrid w:val="0"/>
        <w:spacing w:line="560" w:lineRule="exact"/>
        <w:ind w:firstLine="643" w:firstLineChars="200"/>
        <w:rPr>
          <w:rFonts w:ascii="仿宋" w:hAnsi="仿宋" w:eastAsia="仿宋" w:cs="仿宋"/>
          <w:sz w:val="32"/>
          <w:szCs w:val="32"/>
        </w:rPr>
      </w:pPr>
      <w:r>
        <w:rPr>
          <w:rFonts w:hint="eastAsia" w:ascii="宋体" w:hAnsi="宋体" w:cs="宋体"/>
          <w:b/>
          <w:bCs/>
          <w:sz w:val="32"/>
          <w:szCs w:val="32"/>
          <w:lang w:eastAsia="zh-CN"/>
        </w:rPr>
        <w:t>六</w:t>
      </w:r>
      <w:r>
        <w:rPr>
          <w:rFonts w:hint="eastAsia" w:ascii="宋体" w:hAnsi="宋体" w:cs="宋体"/>
          <w:b/>
          <w:bCs/>
          <w:sz w:val="32"/>
          <w:szCs w:val="32"/>
        </w:rPr>
        <w:t xml:space="preserve">、支出预算经济分类情况 </w:t>
      </w:r>
    </w:p>
    <w:p>
      <w:pPr>
        <w:snapToGrid w:val="0"/>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从2018年起从仅反映一般公共预算基本支出经济分类项目预算调整为按两套经济分类科目分别反应不同资金来源的全部预算支出。</w:t>
      </w:r>
    </w:p>
    <w:p>
      <w:pPr>
        <w:snapToGrid w:val="0"/>
        <w:spacing w:line="560" w:lineRule="exact"/>
        <w:ind w:firstLine="640" w:firstLineChars="200"/>
        <w:rPr>
          <w:rFonts w:hint="eastAsia" w:ascii="仿宋" w:hAnsi="仿宋" w:eastAsia="仿宋" w:cs="仿宋"/>
          <w:sz w:val="32"/>
          <w:szCs w:val="32"/>
        </w:rPr>
      </w:pPr>
      <w:r>
        <w:rPr>
          <w:rFonts w:hint="eastAsia" w:ascii="仿宋_GB2312" w:hAnsi="宋体" w:eastAsia="仿宋_GB2312" w:cs="宋体"/>
          <w:bCs/>
          <w:kern w:val="0"/>
          <w:sz w:val="32"/>
          <w:szCs w:val="32"/>
        </w:rPr>
        <w:t>2022年预算支出229.4万元。其中：基本支出190.31万元，主要包括：基本工资、津贴补贴、奖金、机关事业单位基本养老保险缴费、职业年金缴费、医疗保险缴费、其他社会保障缴费、住房公积金、其他工资福利支出、退休费、其他对个人和家庭的补助支出；办公费、印刷费、邮电费、差旅</w:t>
      </w:r>
      <w:r>
        <w:rPr>
          <w:rFonts w:hint="eastAsia" w:ascii="仿宋_GB2312" w:hAnsi="宋体" w:eastAsia="仿宋_GB2312" w:cs="宋体"/>
          <w:bCs/>
          <w:kern w:val="0"/>
          <w:sz w:val="32"/>
          <w:szCs w:val="32"/>
        </w:rPr>
        <w:tab/>
      </w:r>
      <w:r>
        <w:rPr>
          <w:rFonts w:hint="eastAsia" w:ascii="仿宋_GB2312" w:hAnsi="宋体" w:eastAsia="仿宋_GB2312" w:cs="宋体"/>
          <w:bCs/>
          <w:kern w:val="0"/>
          <w:sz w:val="32"/>
          <w:szCs w:val="32"/>
        </w:rPr>
        <w:t>费、维修（护）费、、会议费、培训费、公务接待费、劳务费、福利费、公务用车运行维护费、其他商品和服务支出、办公设备购置、信息网络及软件购置更新和其他支出。</w:t>
      </w:r>
      <w:r>
        <w:rPr>
          <w:rFonts w:hint="eastAsia" w:ascii="仿宋_GB2312" w:hAnsi="宋体" w:eastAsia="仿宋_GB2312" w:cs="宋体"/>
          <w:bCs/>
          <w:kern w:val="0"/>
          <w:sz w:val="32"/>
          <w:szCs w:val="32"/>
        </w:rPr>
        <w:tab/>
      </w:r>
      <w:r>
        <w:rPr>
          <w:rFonts w:hint="eastAsia" w:ascii="仿宋_GB2312" w:hAnsi="宋体" w:eastAsia="仿宋_GB2312" w:cs="宋体"/>
          <w:bCs/>
          <w:kern w:val="0"/>
          <w:sz w:val="32"/>
          <w:szCs w:val="32"/>
        </w:rPr>
        <w:t>项目支出39.09万元，</w:t>
      </w:r>
      <w:r>
        <w:rPr>
          <w:rFonts w:hint="eastAsia" w:ascii="仿宋_GB2312" w:hAnsi="宋体" w:eastAsia="仿宋_GB2312" w:cs="宋体"/>
          <w:bCs/>
          <w:kern w:val="0"/>
          <w:sz w:val="32"/>
          <w:szCs w:val="32"/>
        </w:rPr>
        <w:tab/>
      </w:r>
      <w:r>
        <w:rPr>
          <w:rFonts w:hint="eastAsia" w:ascii="仿宋_GB2312" w:hAnsi="宋体" w:eastAsia="仿宋_GB2312" w:cs="宋体"/>
          <w:bCs/>
          <w:kern w:val="0"/>
          <w:sz w:val="32"/>
          <w:szCs w:val="32"/>
        </w:rPr>
        <w:t>是对个人农业生产补贴。</w:t>
      </w:r>
      <w:r>
        <w:rPr>
          <w:rFonts w:hint="eastAsia" w:ascii="仿宋" w:hAnsi="仿宋" w:eastAsia="仿宋" w:cs="仿宋"/>
          <w:sz w:val="32"/>
          <w:szCs w:val="32"/>
        </w:rPr>
        <w:tab/>
      </w:r>
      <w:r>
        <w:rPr>
          <w:rFonts w:hint="eastAsia" w:ascii="仿宋" w:hAnsi="仿宋" w:eastAsia="仿宋" w:cs="仿宋"/>
          <w:sz w:val="32"/>
          <w:szCs w:val="32"/>
        </w:rPr>
        <w:tab/>
      </w:r>
    </w:p>
    <w:p>
      <w:pPr>
        <w:pageBreakBefore w:val="0"/>
        <w:kinsoku/>
        <w:wordWrap/>
        <w:overflowPunct/>
        <w:topLinePunct w:val="0"/>
        <w:autoSpaceDE/>
        <w:bidi w:val="0"/>
        <w:adjustRightInd/>
        <w:snapToGrid/>
        <w:spacing w:line="580" w:lineRule="exact"/>
        <w:ind w:firstLine="643" w:firstLineChars="200"/>
        <w:textAlignment w:val="auto"/>
        <w:rPr>
          <w:rFonts w:ascii="仿宋" w:hAnsi="仿宋" w:eastAsia="仿宋" w:cs="仿宋"/>
          <w:sz w:val="32"/>
          <w:szCs w:val="32"/>
        </w:rPr>
      </w:pPr>
      <w:r>
        <w:rPr>
          <w:rFonts w:hint="eastAsia" w:ascii="宋体" w:hAnsi="宋体" w:eastAsia="宋体" w:cs="宋体"/>
          <w:b/>
          <w:bCs w:val="0"/>
          <w:kern w:val="0"/>
          <w:sz w:val="32"/>
          <w:szCs w:val="32"/>
          <w:highlight w:val="none"/>
          <w:lang w:eastAsia="zh-CN"/>
        </w:rPr>
        <w:t>七</w:t>
      </w:r>
      <w:r>
        <w:rPr>
          <w:rFonts w:hint="eastAsia" w:ascii="宋体" w:hAnsi="宋体" w:eastAsia="宋体" w:cs="宋体"/>
          <w:b/>
          <w:bCs w:val="0"/>
          <w:kern w:val="0"/>
          <w:sz w:val="32"/>
          <w:szCs w:val="32"/>
          <w:highlight w:val="none"/>
        </w:rPr>
        <w:t>、“三公”经费</w:t>
      </w:r>
      <w:r>
        <w:rPr>
          <w:rFonts w:hint="eastAsia" w:ascii="宋体" w:hAnsi="宋体" w:eastAsia="宋体" w:cs="宋体"/>
          <w:b/>
          <w:bCs w:val="0"/>
          <w:kern w:val="0"/>
          <w:sz w:val="32"/>
          <w:szCs w:val="32"/>
          <w:highlight w:val="none"/>
          <w:lang w:val="en-US" w:eastAsia="zh-CN"/>
        </w:rPr>
        <w:t>支出预算情况说明</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p>
    <w:p>
      <w:pPr>
        <w:snapToGrid w:val="0"/>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2022年“三公”经费公共预算1万元。2022年“三公”经费支出预算数与上年相同。</w:t>
      </w:r>
    </w:p>
    <w:p>
      <w:pPr>
        <w:snapToGrid w:val="0"/>
        <w:spacing w:line="560" w:lineRule="exact"/>
        <w:ind w:firstLine="643" w:firstLineChars="200"/>
        <w:rPr>
          <w:rFonts w:ascii="仿宋_GB2312" w:hAnsi="宋体" w:eastAsia="仿宋_GB2312" w:cs="宋体"/>
          <w:bCs/>
          <w:kern w:val="0"/>
          <w:sz w:val="32"/>
          <w:szCs w:val="32"/>
        </w:rPr>
      </w:pPr>
      <w:r>
        <w:rPr>
          <w:rFonts w:hint="eastAsia" w:ascii="仿宋_GB2312" w:hAnsi="宋体" w:eastAsia="仿宋_GB2312" w:cs="宋体"/>
          <w:b/>
          <w:kern w:val="0"/>
          <w:sz w:val="32"/>
          <w:szCs w:val="32"/>
        </w:rPr>
        <w:t>（一）因公出国（境）费</w:t>
      </w:r>
      <w:r>
        <w:rPr>
          <w:rFonts w:hint="eastAsia" w:ascii="仿宋_GB2312" w:hAnsi="宋体" w:eastAsia="仿宋_GB2312" w:cs="宋体"/>
          <w:bCs/>
          <w:kern w:val="0"/>
          <w:sz w:val="32"/>
          <w:szCs w:val="32"/>
        </w:rPr>
        <w:t>预算0万元，预算数与 2022 年持平，主要原因是我单位</w:t>
      </w:r>
      <w:r>
        <w:rPr>
          <w:rFonts w:ascii="仿宋_GB2312" w:hAnsi="宋体" w:eastAsia="仿宋_GB2312" w:cs="宋体"/>
          <w:bCs/>
          <w:kern w:val="0"/>
          <w:sz w:val="32"/>
          <w:szCs w:val="32"/>
        </w:rPr>
        <w:t>202</w:t>
      </w:r>
      <w:r>
        <w:rPr>
          <w:rFonts w:hint="eastAsia" w:ascii="仿宋_GB2312" w:hAnsi="宋体" w:eastAsia="仿宋_GB2312" w:cs="宋体"/>
          <w:bCs/>
          <w:kern w:val="0"/>
          <w:sz w:val="32"/>
          <w:szCs w:val="32"/>
        </w:rPr>
        <w:t>2年无因公出国境任务。</w:t>
      </w:r>
    </w:p>
    <w:p>
      <w:pPr>
        <w:snapToGrid w:val="0"/>
        <w:spacing w:line="560" w:lineRule="exact"/>
        <w:ind w:firstLine="640"/>
        <w:rPr>
          <w:rFonts w:ascii="仿宋_GB2312" w:hAnsi="宋体" w:eastAsia="仿宋_GB2312" w:cs="宋体"/>
          <w:bCs/>
          <w:kern w:val="0"/>
          <w:sz w:val="32"/>
          <w:szCs w:val="32"/>
        </w:rPr>
      </w:pPr>
      <w:r>
        <w:rPr>
          <w:rFonts w:hint="eastAsia" w:ascii="仿宋_GB2312" w:hAnsi="宋体" w:eastAsia="仿宋_GB2312" w:cs="宋体"/>
          <w:b/>
          <w:kern w:val="0"/>
          <w:sz w:val="32"/>
          <w:szCs w:val="32"/>
        </w:rPr>
        <w:t>（二）公务用车购置及运行费</w:t>
      </w:r>
      <w:r>
        <w:rPr>
          <w:rFonts w:hint="eastAsia" w:ascii="仿宋_GB2312" w:hAnsi="宋体" w:eastAsia="仿宋_GB2312" w:cs="宋体"/>
          <w:bCs/>
          <w:kern w:val="0"/>
          <w:sz w:val="32"/>
          <w:szCs w:val="32"/>
        </w:rPr>
        <w:t>预算0.8万元，与上年相同，占“三公”经费总额的80%主要原因是继续贯彻落实中央八项规定精神，坚持厉行勤俭节约，进一步规范公务用车制度，严格控制公务用车范围，主要用于日常公务发生的燃料费、维修费、过路过桥费、保险费等支出；公务用车购置预算为0万元，比上年增加（减少）0万元，主要原因是落实公车改革政策、加强公务用车管理，严控公务用车支出。</w:t>
      </w:r>
    </w:p>
    <w:p>
      <w:pPr>
        <w:spacing w:line="560" w:lineRule="exact"/>
        <w:ind w:firstLine="964" w:firstLineChars="300"/>
        <w:rPr>
          <w:rFonts w:ascii="仿宋_GB2312" w:hAnsi="宋体" w:eastAsia="仿宋_GB2312" w:cs="宋体"/>
          <w:bCs/>
          <w:kern w:val="0"/>
          <w:sz w:val="32"/>
          <w:szCs w:val="32"/>
        </w:rPr>
      </w:pPr>
      <w:r>
        <w:rPr>
          <w:rFonts w:hint="eastAsia" w:ascii="仿宋_GB2312" w:hAnsi="宋体" w:eastAsia="仿宋_GB2312" w:cs="宋体"/>
          <w:b/>
          <w:kern w:val="0"/>
          <w:sz w:val="32"/>
          <w:szCs w:val="32"/>
        </w:rPr>
        <w:t>（三）公务接待费</w:t>
      </w:r>
      <w:r>
        <w:rPr>
          <w:rFonts w:hint="eastAsia" w:ascii="仿宋_GB2312" w:hAnsi="宋体" w:eastAsia="仿宋_GB2312" w:cs="宋体"/>
          <w:bCs/>
          <w:kern w:val="0"/>
          <w:sz w:val="32"/>
          <w:szCs w:val="32"/>
        </w:rPr>
        <w:t>预算0.2万元，预算数与上年相同，占“三公”经费总额的20%。</w:t>
      </w:r>
      <w:r>
        <w:rPr>
          <w:rFonts w:hint="eastAsia" w:ascii="仿宋_GB2312" w:hAnsi="仿宋" w:eastAsia="仿宋_GB2312" w:cs="仿宋"/>
          <w:bCs/>
          <w:kern w:val="0"/>
          <w:sz w:val="32"/>
          <w:szCs w:val="32"/>
        </w:rPr>
        <w:t>主要原因是严格执行《党政机关国内公务接待管理规定》等办法，不断规范公务接待管理，严格接待审批控制，厉行勤俭节约，不断压缩公务接待费支出等。</w:t>
      </w:r>
    </w:p>
    <w:p>
      <w:pPr>
        <w:pageBreakBefore w:val="0"/>
        <w:kinsoku/>
        <w:wordWrap/>
        <w:overflowPunct/>
        <w:topLinePunct w:val="0"/>
        <w:autoSpaceDE/>
        <w:bidi w:val="0"/>
        <w:adjustRightInd/>
        <w:snapToGrid/>
        <w:spacing w:line="580" w:lineRule="exact"/>
        <w:ind w:firstLine="643" w:firstLineChars="200"/>
        <w:textAlignment w:val="auto"/>
        <w:rPr>
          <w:rFonts w:ascii="仿宋" w:hAnsi="仿宋" w:eastAsia="仿宋" w:cs="仿宋"/>
          <w:sz w:val="32"/>
          <w:szCs w:val="32"/>
        </w:rPr>
      </w:pPr>
      <w:r>
        <w:rPr>
          <w:rFonts w:hint="eastAsia" w:ascii="宋体" w:hAnsi="宋体" w:eastAsia="宋体" w:cs="宋体"/>
          <w:b/>
          <w:bCs w:val="0"/>
          <w:kern w:val="0"/>
          <w:sz w:val="32"/>
          <w:szCs w:val="32"/>
          <w:highlight w:val="none"/>
          <w:lang w:eastAsia="zh-CN"/>
        </w:rPr>
        <w:t>八</w:t>
      </w:r>
      <w:r>
        <w:rPr>
          <w:rFonts w:hint="eastAsia" w:ascii="宋体" w:hAnsi="宋体" w:eastAsia="宋体" w:cs="宋体"/>
          <w:b/>
          <w:bCs w:val="0"/>
          <w:kern w:val="0"/>
          <w:sz w:val="32"/>
          <w:szCs w:val="32"/>
          <w:highlight w:val="none"/>
        </w:rPr>
        <w:t>、政府性基金预算支出预算情况说明</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p>
    <w:p>
      <w:pPr>
        <w:snapToGrid w:val="0"/>
        <w:spacing w:line="560" w:lineRule="exact"/>
        <w:ind w:firstLine="640"/>
        <w:rPr>
          <w:rFonts w:ascii="仿宋_GB2312" w:hAnsi="宋体" w:eastAsia="仿宋_GB2312" w:cs="宋体"/>
          <w:bCs/>
          <w:kern w:val="0"/>
          <w:sz w:val="32"/>
          <w:szCs w:val="32"/>
        </w:rPr>
      </w:pPr>
      <w:r>
        <w:rPr>
          <w:rFonts w:hint="eastAsia" w:ascii="仿宋_GB2312" w:hAnsi="宋体" w:eastAsia="仿宋_GB2312" w:cs="宋体"/>
          <w:bCs/>
          <w:kern w:val="0"/>
          <w:sz w:val="32"/>
          <w:szCs w:val="32"/>
        </w:rPr>
        <w:t>部门2022年政府性基金预算支出</w:t>
      </w:r>
      <w:r>
        <w:rPr>
          <w:rFonts w:hint="eastAsia" w:ascii="仿宋_GB2312" w:hAnsi="宋体" w:eastAsia="仿宋_GB2312" w:cs="宋体"/>
          <w:bCs/>
          <w:kern w:val="0"/>
          <w:sz w:val="32"/>
          <w:szCs w:val="32"/>
        </w:rPr>
        <w:tab/>
      </w:r>
      <w:r>
        <w:rPr>
          <w:rFonts w:hint="eastAsia" w:ascii="仿宋_GB2312" w:hAnsi="宋体" w:eastAsia="仿宋_GB2312" w:cs="宋体"/>
          <w:bCs/>
          <w:kern w:val="0"/>
          <w:sz w:val="32"/>
          <w:szCs w:val="32"/>
        </w:rPr>
        <w:t>0万元。</w:t>
      </w:r>
      <w:r>
        <w:rPr>
          <w:rFonts w:ascii="仿宋_GB2312" w:hAnsi="宋体" w:eastAsia="仿宋_GB2312" w:cs="宋体"/>
          <w:bCs/>
          <w:kern w:val="0"/>
          <w:sz w:val="32"/>
          <w:szCs w:val="32"/>
        </w:rPr>
        <w:t xml:space="preserve"> </w:t>
      </w:r>
    </w:p>
    <w:p>
      <w:pPr>
        <w:pageBreakBefore w:val="0"/>
        <w:kinsoku/>
        <w:wordWrap/>
        <w:overflowPunct/>
        <w:topLinePunct w:val="0"/>
        <w:autoSpaceDE/>
        <w:bidi w:val="0"/>
        <w:adjustRightInd/>
        <w:snapToGrid/>
        <w:spacing w:line="580" w:lineRule="exact"/>
        <w:ind w:firstLine="643" w:firstLineChars="200"/>
        <w:textAlignment w:val="auto"/>
        <w:rPr>
          <w:rFonts w:ascii="仿宋" w:hAnsi="仿宋" w:eastAsia="仿宋" w:cs="仿宋"/>
          <w:sz w:val="32"/>
          <w:szCs w:val="32"/>
        </w:rPr>
      </w:pPr>
      <w:r>
        <w:rPr>
          <w:rFonts w:hint="eastAsia" w:ascii="宋体" w:hAnsi="宋体" w:eastAsia="宋体" w:cs="宋体"/>
          <w:b/>
          <w:bCs w:val="0"/>
          <w:kern w:val="0"/>
          <w:sz w:val="32"/>
          <w:szCs w:val="32"/>
          <w:highlight w:val="none"/>
          <w:lang w:val="en-US" w:eastAsia="zh-CN"/>
        </w:rPr>
        <w:t>九、</w:t>
      </w:r>
      <w:r>
        <w:rPr>
          <w:rFonts w:hint="eastAsia" w:ascii="宋体" w:hAnsi="宋体" w:eastAsia="宋体" w:cs="宋体"/>
          <w:b/>
          <w:bCs w:val="0"/>
          <w:kern w:val="0"/>
          <w:sz w:val="32"/>
          <w:szCs w:val="32"/>
          <w:highlight w:val="none"/>
        </w:rPr>
        <w:t>其他重要事项情况说明</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p>
    <w:p>
      <w:pPr>
        <w:snapToGrid w:val="0"/>
        <w:spacing w:line="560" w:lineRule="exact"/>
        <w:ind w:firstLine="643" w:firstLineChars="200"/>
        <w:rPr>
          <w:rFonts w:ascii="仿宋" w:hAnsi="仿宋" w:eastAsia="仿宋" w:cs="仿宋"/>
          <w:sz w:val="32"/>
          <w:szCs w:val="32"/>
        </w:rPr>
      </w:pPr>
      <w:r>
        <w:rPr>
          <w:rFonts w:hint="eastAsia" w:ascii="仿宋_GB2312" w:hAnsi="宋体" w:eastAsia="仿宋_GB2312" w:cs="宋体"/>
          <w:b/>
          <w:kern w:val="0"/>
          <w:sz w:val="32"/>
          <w:szCs w:val="32"/>
        </w:rPr>
        <w:t>（一）机关运行经费预算</w:t>
      </w:r>
      <w:r>
        <w:rPr>
          <w:rFonts w:hint="eastAsia" w:ascii="仿宋_GB2312" w:hAnsi="宋体" w:eastAsia="仿宋_GB2312" w:cs="宋体"/>
          <w:b/>
          <w:kern w:val="0"/>
          <w:sz w:val="32"/>
          <w:szCs w:val="32"/>
        </w:rPr>
        <w:tab/>
      </w:r>
      <w:r>
        <w:rPr>
          <w:rFonts w:hint="eastAsia" w:ascii="宋体" w:hAnsi="宋体" w:cs="宋体"/>
          <w:b/>
          <w:bCs/>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p>
    <w:p>
      <w:pPr>
        <w:snapToGrid w:val="0"/>
        <w:spacing w:line="560" w:lineRule="exact"/>
        <w:ind w:firstLine="640"/>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2022年，机关运行经费支出预算2.88万元，主要用于办公及印刷费、邮电费、差旅费、会议费等运行维护费、公务用车运行维护费以及其他费用。</w:t>
      </w:r>
    </w:p>
    <w:p>
      <w:pPr>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（二）政府采购支出情况</w:t>
      </w:r>
      <w:r>
        <w:rPr>
          <w:rFonts w:hint="eastAsia" w:ascii="仿宋_GB2312" w:hAnsi="宋体" w:eastAsia="仿宋_GB2312" w:cs="宋体"/>
          <w:b/>
          <w:kern w:val="0"/>
          <w:sz w:val="32"/>
          <w:szCs w:val="32"/>
        </w:rPr>
        <w:tab/>
      </w:r>
    </w:p>
    <w:p>
      <w:pPr>
        <w:snapToGrid w:val="0"/>
        <w:spacing w:line="560" w:lineRule="exact"/>
        <w:ind w:firstLine="640"/>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2022年，政府采购预算安排0万元，其中：政府采购货物预算0万元、政府采购工程预算0万元、政府采购服务预算0万元 。</w:t>
      </w:r>
    </w:p>
    <w:p>
      <w:pPr>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（三）绩效目标设置情况</w:t>
      </w:r>
    </w:p>
    <w:p>
      <w:pPr>
        <w:snapToGrid w:val="0"/>
        <w:spacing w:line="560" w:lineRule="exact"/>
        <w:rPr>
          <w:rFonts w:ascii="仿宋" w:hAnsi="仿宋" w:eastAsia="仿宋" w:cs="仿宋"/>
          <w:sz w:val="32"/>
          <w:szCs w:val="32"/>
        </w:rPr>
      </w:pPr>
      <w:r>
        <w:rPr>
          <w:rFonts w:hint="eastAsia" w:ascii="仿宋_GB2312" w:hAnsi="宋体" w:eastAsia="仿宋_GB2312" w:cs="宋体"/>
          <w:bCs/>
          <w:kern w:val="0"/>
          <w:sz w:val="32"/>
          <w:szCs w:val="32"/>
        </w:rPr>
        <w:t xml:space="preserve">  2022年，我单位对1个项目进行了预算绩效评价，涉及资金30.09万元，并按要求编制了绩效目标，从项目产出、项目效益、满意度等方面设置了绩效指标，综合反映项目预期完成的数量、实效、质量，预期达到的社会经济效益、可持续影响以及服务对象满意度等情况。</w:t>
      </w:r>
    </w:p>
    <w:p>
      <w:pPr>
        <w:snapToGrid w:val="0"/>
        <w:spacing w:line="560" w:lineRule="exact"/>
        <w:ind w:firstLine="643" w:firstLineChars="200"/>
        <w:rPr>
          <w:rFonts w:ascii="宋体" w:hAnsi="宋体" w:cs="宋体"/>
          <w:b/>
          <w:bCs/>
          <w:sz w:val="32"/>
          <w:szCs w:val="32"/>
        </w:rPr>
      </w:pPr>
      <w:r>
        <w:rPr>
          <w:rFonts w:hint="eastAsia" w:ascii="仿宋_GB2312" w:hAnsi="宋体" w:eastAsia="仿宋_GB2312" w:cs="宋体"/>
          <w:b/>
          <w:kern w:val="0"/>
          <w:sz w:val="32"/>
          <w:szCs w:val="32"/>
        </w:rPr>
        <w:t>（四）国有资产占用情况</w:t>
      </w:r>
    </w:p>
    <w:p>
      <w:pPr>
        <w:snapToGrid w:val="0"/>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2022年期末，我单位共有车辆1辆，其中：一般公务用车1辆（属政府调拨车辆）一般执法执勤用车0辆、特种专业技术用车0辆，其他用车0辆；单价50万元以上通用设备0套，单位价值100万元以上专用设备0套。</w:t>
      </w:r>
    </w:p>
    <w:p>
      <w:pPr>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（五）专项转移支付项目情况</w:t>
      </w:r>
    </w:p>
    <w:p>
      <w:pPr>
        <w:snapToGrid w:val="0"/>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我单位2022年没有专项转移支付项目。</w:t>
      </w:r>
    </w:p>
    <w:p>
      <w:pPr>
        <w:snapToGrid w:val="0"/>
        <w:spacing w:line="560" w:lineRule="exact"/>
        <w:ind w:firstLine="640" w:firstLineChars="200"/>
        <w:rPr>
          <w:rFonts w:ascii="仿宋_GB2312" w:hAnsi="宋体" w:eastAsia="仿宋_GB2312" w:cs="宋体"/>
          <w:bCs/>
          <w:kern w:val="0"/>
          <w:sz w:val="32"/>
          <w:szCs w:val="32"/>
        </w:rPr>
      </w:pPr>
    </w:p>
    <w:p>
      <w:pPr>
        <w:snapToGrid w:val="0"/>
        <w:spacing w:line="560" w:lineRule="exact"/>
        <w:jc w:val="center"/>
        <w:rPr>
          <w:rFonts w:ascii="宋体" w:hAnsi="宋体" w:cs="宋体"/>
          <w:b/>
          <w:bCs/>
          <w:sz w:val="32"/>
          <w:szCs w:val="32"/>
        </w:rPr>
      </w:pPr>
      <w:r>
        <w:rPr>
          <w:rFonts w:hint="eastAsia" w:ascii="宋体" w:hAnsi="宋体" w:cs="宋体"/>
          <w:b/>
          <w:bCs/>
          <w:sz w:val="32"/>
          <w:szCs w:val="32"/>
        </w:rPr>
        <w:t>第三部分</w:t>
      </w:r>
    </w:p>
    <w:p>
      <w:pPr>
        <w:snapToGrid w:val="0"/>
        <w:spacing w:line="560" w:lineRule="exact"/>
        <w:jc w:val="center"/>
        <w:rPr>
          <w:rFonts w:ascii="宋体" w:hAnsi="宋体" w:cs="宋体"/>
          <w:b/>
          <w:bCs/>
          <w:sz w:val="32"/>
          <w:szCs w:val="32"/>
        </w:rPr>
      </w:pPr>
      <w:r>
        <w:rPr>
          <w:rFonts w:hint="eastAsia" w:ascii="宋体" w:hAnsi="宋体" w:cs="宋体"/>
          <w:b/>
          <w:bCs/>
          <w:sz w:val="32"/>
          <w:szCs w:val="32"/>
        </w:rPr>
        <w:t>名词解释</w:t>
      </w:r>
    </w:p>
    <w:p>
      <w:pPr>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一、财政拨款收入：是指省级财政当年拨付的资金。</w:t>
      </w:r>
    </w:p>
    <w:p>
      <w:pPr>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二、事业收入：是指事业单位开展专业活动及辅助活动所取得的收入。</w:t>
      </w:r>
    </w:p>
    <w:p>
      <w:pPr>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三、其他收入：是指部门取得的除“财政拨款”、“事业收入”、“事业单位经营收入”等以外的收入。</w:t>
      </w:r>
    </w:p>
    <w:p>
      <w:pPr>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五、基本支出：是指为保障机构正常运转、完成日常工作任务所必需的开支，其内容包括人员经费和日常公用经费两部分。</w:t>
      </w:r>
    </w:p>
    <w:p>
      <w:pPr>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六、项目支出：是指在基本支出之外，为完成特定的行政工作任务或事业发展目标所发生的支出。</w:t>
      </w:r>
    </w:p>
    <w:p>
      <w:pPr>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七、“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r>
        <w:rPr>
          <w:rFonts w:hint="eastAsia" w:ascii="仿宋_GB2312" w:hAnsi="宋体" w:eastAsia="仿宋_GB2312" w:cs="宋体"/>
          <w:bCs/>
          <w:kern w:val="0"/>
          <w:sz w:val="32"/>
          <w:szCs w:val="32"/>
        </w:rPr>
        <w:tab/>
      </w:r>
    </w:p>
    <w:p>
      <w:pPr>
        <w:spacing w:line="560" w:lineRule="exact"/>
        <w:ind w:firstLine="640" w:firstLineChars="200"/>
        <w:rPr>
          <w:rFonts w:ascii="仿宋_GB2312" w:hAnsi="宋体" w:eastAsia="仿宋_GB2312" w:cs="宋体"/>
          <w:bCs/>
          <w:kern w:val="0"/>
          <w:sz w:val="32"/>
          <w:szCs w:val="32"/>
        </w:rPr>
      </w:pPr>
    </w:p>
    <w:p>
      <w:pPr>
        <w:snapToGrid w:val="0"/>
        <w:spacing w:line="560" w:lineRule="exact"/>
        <w:ind w:firstLine="640" w:firstLineChars="200"/>
        <w:rPr>
          <w:rFonts w:ascii="仿宋" w:hAnsi="仿宋" w:eastAsia="仿宋" w:cs="仿宋"/>
          <w:sz w:val="32"/>
          <w:szCs w:val="32"/>
        </w:rPr>
      </w:pPr>
    </w:p>
    <w:p>
      <w:pPr>
        <w:spacing w:line="560" w:lineRule="exact"/>
        <w:rPr>
          <w:rFonts w:ascii="宋体" w:hAnsi="宋体" w:cs="宋体"/>
          <w:b/>
          <w:kern w:val="0"/>
          <w:sz w:val="32"/>
          <w:szCs w:val="32"/>
        </w:rPr>
      </w:pPr>
      <w:r>
        <w:rPr>
          <w:rFonts w:hint="eastAsia" w:ascii="宋体" w:hAnsi="宋体" w:cs="宋体"/>
          <w:b/>
          <w:kern w:val="0"/>
          <w:sz w:val="32"/>
          <w:szCs w:val="32"/>
        </w:rPr>
        <w:t>附件：</w:t>
      </w:r>
      <w:r>
        <w:rPr>
          <w:rFonts w:hint="eastAsia" w:ascii="宋体" w:hAnsi="宋体" w:cs="宋体"/>
          <w:b/>
          <w:kern w:val="0"/>
          <w:sz w:val="32"/>
          <w:szCs w:val="32"/>
        </w:rPr>
        <w:tab/>
      </w:r>
    </w:p>
    <w:p>
      <w:pPr>
        <w:spacing w:line="560" w:lineRule="exact"/>
        <w:ind w:firstLine="1285" w:firstLineChars="400"/>
        <w:rPr>
          <w:rFonts w:ascii="宋体" w:hAnsi="宋体" w:cs="宋体"/>
          <w:b/>
          <w:bCs/>
          <w:sz w:val="32"/>
          <w:szCs w:val="32"/>
        </w:rPr>
      </w:pPr>
      <w:r>
        <w:rPr>
          <w:rFonts w:hint="eastAsia" w:ascii="宋体" w:hAnsi="宋体" w:cs="宋体"/>
          <w:b/>
          <w:kern w:val="0"/>
          <w:sz w:val="32"/>
          <w:szCs w:val="32"/>
        </w:rPr>
        <w:t>平顶山市卫东区</w:t>
      </w:r>
      <w:r>
        <w:rPr>
          <w:rFonts w:hint="eastAsia" w:ascii="宋体" w:hAnsi="宋体" w:cs="宋体"/>
          <w:b/>
          <w:kern w:val="0"/>
          <w:sz w:val="32"/>
          <w:szCs w:val="32"/>
          <w:lang w:eastAsia="zh-CN"/>
        </w:rPr>
        <w:t>农机</w:t>
      </w:r>
      <w:r>
        <w:rPr>
          <w:rFonts w:hint="eastAsia" w:ascii="宋体" w:hAnsi="宋体" w:cs="宋体"/>
          <w:b/>
          <w:kern w:val="0"/>
          <w:sz w:val="32"/>
          <w:szCs w:val="32"/>
        </w:rPr>
        <w:t>局2022年部门预算表</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1"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ZlNmJhMDk1MWRiNTNlZWNmNGQwMDhiMDlkY2ZiOTkifQ=="/>
  </w:docVars>
  <w:rsids>
    <w:rsidRoot w:val="00133A70"/>
    <w:rsid w:val="0007099A"/>
    <w:rsid w:val="000741D3"/>
    <w:rsid w:val="000F6FD9"/>
    <w:rsid w:val="00123676"/>
    <w:rsid w:val="00133A70"/>
    <w:rsid w:val="00140DC2"/>
    <w:rsid w:val="00182A6C"/>
    <w:rsid w:val="001A3D11"/>
    <w:rsid w:val="001D7480"/>
    <w:rsid w:val="001E162D"/>
    <w:rsid w:val="00211FDD"/>
    <w:rsid w:val="00254363"/>
    <w:rsid w:val="00272A02"/>
    <w:rsid w:val="002C7DFA"/>
    <w:rsid w:val="0030690F"/>
    <w:rsid w:val="003266E8"/>
    <w:rsid w:val="00413621"/>
    <w:rsid w:val="004470F5"/>
    <w:rsid w:val="004474EC"/>
    <w:rsid w:val="00460793"/>
    <w:rsid w:val="004B1C12"/>
    <w:rsid w:val="004B6E57"/>
    <w:rsid w:val="004C1DDE"/>
    <w:rsid w:val="00543461"/>
    <w:rsid w:val="00561F64"/>
    <w:rsid w:val="005F2DF9"/>
    <w:rsid w:val="00655B7B"/>
    <w:rsid w:val="006A2122"/>
    <w:rsid w:val="006F3077"/>
    <w:rsid w:val="00723574"/>
    <w:rsid w:val="0072440A"/>
    <w:rsid w:val="00734623"/>
    <w:rsid w:val="008120D7"/>
    <w:rsid w:val="00821FE3"/>
    <w:rsid w:val="008B7F34"/>
    <w:rsid w:val="009354E2"/>
    <w:rsid w:val="00A014D5"/>
    <w:rsid w:val="00A85FDE"/>
    <w:rsid w:val="00B2476A"/>
    <w:rsid w:val="00B32FAB"/>
    <w:rsid w:val="00B575DE"/>
    <w:rsid w:val="00B60E50"/>
    <w:rsid w:val="00B87BD1"/>
    <w:rsid w:val="00BF5397"/>
    <w:rsid w:val="00C005B9"/>
    <w:rsid w:val="00C25C46"/>
    <w:rsid w:val="00C578AB"/>
    <w:rsid w:val="00C8626D"/>
    <w:rsid w:val="00CD58D2"/>
    <w:rsid w:val="00D01825"/>
    <w:rsid w:val="00D202D7"/>
    <w:rsid w:val="00D3440D"/>
    <w:rsid w:val="00D54733"/>
    <w:rsid w:val="00E3723C"/>
    <w:rsid w:val="00E41BB9"/>
    <w:rsid w:val="00E92AB6"/>
    <w:rsid w:val="00EA5FC0"/>
    <w:rsid w:val="00ED3B97"/>
    <w:rsid w:val="00EE737A"/>
    <w:rsid w:val="00EF6704"/>
    <w:rsid w:val="00F61472"/>
    <w:rsid w:val="00FC3CB0"/>
    <w:rsid w:val="03655CA8"/>
    <w:rsid w:val="0DC42165"/>
    <w:rsid w:val="10484987"/>
    <w:rsid w:val="2CE42D59"/>
    <w:rsid w:val="35946259"/>
    <w:rsid w:val="3B304812"/>
    <w:rsid w:val="465E5986"/>
    <w:rsid w:val="46613BAE"/>
    <w:rsid w:val="53B679AA"/>
    <w:rsid w:val="562543F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customStyle="1" w:styleId="6">
    <w:name w:val="普通(网站)1"/>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2806</Words>
  <Characters>2997</Characters>
  <Lines>22</Lines>
  <Paragraphs>6</Paragraphs>
  <TotalTime>1</TotalTime>
  <ScaleCrop>false</ScaleCrop>
  <LinksUpToDate>false</LinksUpToDate>
  <CharactersWithSpaces>3772</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2021-03-04T16:17:00Z</dcterms:created>
  <dc:creator>翾1367974113</dc:creator>
  <cp:lastModifiedBy>HELLO</cp:lastModifiedBy>
  <dcterms:modified xsi:type="dcterms:W3CDTF">2022-06-23T01:19:36Z</dcterms:modified>
  <dc:title>爱喝酸奶的奥利奥</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A9437ABEA5CC40BA821DEFD0AF2CB1DE</vt:lpwstr>
  </property>
</Properties>
</file>