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ascii="宋体" w:hAnsi="宋体" w:cs="宋体"/>
          <w:b/>
          <w:kern w:val="0"/>
          <w:sz w:val="44"/>
          <w:szCs w:val="44"/>
        </w:rPr>
      </w:pPr>
      <w:r>
        <w:rPr>
          <w:rFonts w:hint="eastAsia" w:ascii="宋体" w:hAnsi="宋体" w:cs="宋体"/>
          <w:b/>
          <w:kern w:val="0"/>
          <w:sz w:val="44"/>
          <w:szCs w:val="44"/>
          <w:lang w:val="en-US" w:eastAsia="zh-CN"/>
        </w:rPr>
        <w:t xml:space="preserve">     </w:t>
      </w:r>
      <w:r>
        <w:rPr>
          <w:rFonts w:ascii="宋体" w:hAnsi="宋体" w:cs="宋体"/>
          <w:b/>
          <w:kern w:val="0"/>
          <w:sz w:val="44"/>
          <w:szCs w:val="44"/>
        </w:rPr>
        <w:t>20</w:t>
      </w:r>
      <w:r>
        <w:rPr>
          <w:rFonts w:hint="eastAsia" w:ascii="宋体" w:hAnsi="宋体" w:cs="宋体"/>
          <w:b/>
          <w:kern w:val="0"/>
          <w:sz w:val="44"/>
          <w:szCs w:val="44"/>
        </w:rPr>
        <w:t>2</w:t>
      </w:r>
      <w:r>
        <w:rPr>
          <w:rFonts w:hint="eastAsia" w:ascii="宋体" w:hAnsi="宋体" w:cs="宋体"/>
          <w:b/>
          <w:kern w:val="0"/>
          <w:sz w:val="44"/>
          <w:szCs w:val="44"/>
          <w:lang w:val="en-US" w:eastAsia="zh-CN"/>
        </w:rPr>
        <w:t>2</w:t>
      </w:r>
      <w:r>
        <w:rPr>
          <w:rFonts w:hint="eastAsia" w:ascii="宋体" w:hAnsi="宋体" w:cs="宋体"/>
          <w:b/>
          <w:kern w:val="0"/>
          <w:sz w:val="44"/>
          <w:szCs w:val="44"/>
        </w:rPr>
        <w:t>年平顶山市卫东区环境保护局</w:t>
      </w:r>
    </w:p>
    <w:p>
      <w:pPr>
        <w:ind w:firstLine="2871" w:firstLineChars="650"/>
        <w:jc w:val="both"/>
        <w:rPr>
          <w:rFonts w:hint="eastAsia" w:ascii="宋体" w:hAnsi="宋体" w:cs="宋体"/>
          <w:b/>
          <w:kern w:val="0"/>
          <w:sz w:val="44"/>
          <w:szCs w:val="44"/>
        </w:rPr>
      </w:pPr>
      <w:r>
        <w:rPr>
          <w:rFonts w:hint="eastAsia" w:ascii="宋体" w:hAnsi="宋体" w:cs="宋体"/>
          <w:b/>
          <w:kern w:val="0"/>
          <w:sz w:val="44"/>
          <w:szCs w:val="44"/>
        </w:rPr>
        <w:t>部门预算说明</w:t>
      </w:r>
    </w:p>
    <w:p>
      <w:pPr>
        <w:ind w:firstLine="1546" w:firstLineChars="350"/>
        <w:jc w:val="both"/>
        <w:rPr>
          <w:rFonts w:hint="eastAsia" w:ascii="宋体" w:hAnsi="宋体" w:cs="宋体"/>
          <w:b/>
          <w:kern w:val="0"/>
          <w:sz w:val="44"/>
          <w:szCs w:val="44"/>
        </w:rPr>
      </w:pPr>
    </w:p>
    <w:p>
      <w:pPr>
        <w:ind w:firstLine="3092" w:firstLineChars="700"/>
        <w:jc w:val="both"/>
        <w:rPr>
          <w:rFonts w:hint="eastAsia" w:ascii="宋体" w:hAnsi="宋体" w:eastAsia="宋体" w:cs="宋体"/>
          <w:b/>
          <w:bCs w:val="0"/>
          <w:kern w:val="0"/>
          <w:sz w:val="44"/>
          <w:szCs w:val="44"/>
          <w:lang w:eastAsia="zh-CN"/>
        </w:rPr>
      </w:pPr>
      <w:r>
        <w:rPr>
          <w:rFonts w:hint="eastAsia" w:ascii="宋体" w:hAnsi="宋体" w:cs="宋体"/>
          <w:b/>
          <w:bCs w:val="0"/>
          <w:kern w:val="0"/>
          <w:sz w:val="44"/>
          <w:szCs w:val="44"/>
          <w:lang w:val="en-US" w:eastAsia="zh-CN"/>
        </w:rPr>
        <w:t xml:space="preserve">   </w:t>
      </w:r>
      <w:r>
        <w:rPr>
          <w:rFonts w:hint="eastAsia" w:ascii="宋体" w:hAnsi="宋体" w:cs="宋体"/>
          <w:b/>
          <w:bCs w:val="0"/>
          <w:kern w:val="0"/>
          <w:sz w:val="44"/>
          <w:szCs w:val="44"/>
          <w:lang w:eastAsia="zh-CN"/>
        </w:rPr>
        <w:t>目</w:t>
      </w:r>
      <w:r>
        <w:rPr>
          <w:rFonts w:hint="eastAsia" w:ascii="宋体" w:hAnsi="宋体" w:cs="宋体"/>
          <w:b/>
          <w:bCs w:val="0"/>
          <w:kern w:val="0"/>
          <w:sz w:val="44"/>
          <w:szCs w:val="44"/>
          <w:lang w:val="en-US" w:eastAsia="zh-CN"/>
        </w:rPr>
        <w:t xml:space="preserve"> </w:t>
      </w:r>
      <w:r>
        <w:rPr>
          <w:rFonts w:hint="eastAsia" w:ascii="宋体" w:hAnsi="宋体" w:cs="宋体"/>
          <w:b/>
          <w:bCs w:val="0"/>
          <w:kern w:val="0"/>
          <w:sz w:val="44"/>
          <w:szCs w:val="44"/>
          <w:lang w:eastAsia="zh-CN"/>
        </w:rPr>
        <w:t>录</w:t>
      </w:r>
    </w:p>
    <w:p>
      <w:pPr>
        <w:snapToGrid w:val="0"/>
        <w:spacing w:line="56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第一部分　</w:t>
      </w:r>
      <w:r>
        <w:rPr>
          <w:rFonts w:hint="eastAsia" w:ascii="宋体" w:hAnsi="宋体" w:cs="宋体"/>
          <w:b/>
          <w:bCs/>
          <w:sz w:val="32"/>
          <w:szCs w:val="32"/>
          <w:lang w:eastAsia="zh-CN"/>
        </w:rPr>
        <w:t>平顶山市卫东区环境保护局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 xml:space="preserve">概况  </w:t>
      </w:r>
      <w:r>
        <w:rPr>
          <w:rFonts w:hint="eastAsia" w:ascii="仿宋" w:hAnsi="仿宋" w:eastAsia="仿宋" w:cs="仿宋"/>
          <w:sz w:val="32"/>
          <w:szCs w:val="32"/>
        </w:rPr>
        <w:t xml:space="preserve">  </w:t>
      </w:r>
    </w:p>
    <w:p>
      <w:pPr>
        <w:snapToGrid w:val="0"/>
        <w:spacing w:line="560" w:lineRule="exact"/>
        <w:ind w:firstLine="320" w:firstLineChars="1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一、主要职能    </w:t>
      </w:r>
    </w:p>
    <w:p>
      <w:pPr>
        <w:snapToGrid w:val="0"/>
        <w:spacing w:line="560" w:lineRule="exact"/>
        <w:ind w:firstLine="320" w:firstLineChars="1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二、部门预算单位构成    </w:t>
      </w:r>
    </w:p>
    <w:p>
      <w:pPr>
        <w:rPr>
          <w:rFonts w:hint="eastAsia" w:ascii="宋体" w:hAnsi="宋体" w:eastAsia="宋体" w:cs="宋体"/>
          <w:b/>
          <w:bCs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第二部分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 xml:space="preserve"> 平</w:t>
      </w:r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</w:rPr>
        <w:t>顶山市卫东区</w:t>
      </w:r>
      <w:r>
        <w:rPr>
          <w:rFonts w:hint="eastAsia" w:ascii="宋体" w:hAnsi="宋体" w:cs="宋体"/>
          <w:b/>
          <w:bCs w:val="0"/>
          <w:kern w:val="0"/>
          <w:sz w:val="32"/>
          <w:szCs w:val="32"/>
          <w:lang w:eastAsia="zh-CN"/>
        </w:rPr>
        <w:t>环境保护局</w:t>
      </w:r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</w:rPr>
        <w:t>202</w:t>
      </w:r>
      <w:r>
        <w:rPr>
          <w:rFonts w:hint="eastAsia" w:ascii="宋体" w:hAnsi="宋体" w:cs="宋体"/>
          <w:b/>
          <w:bCs w:val="0"/>
          <w:kern w:val="0"/>
          <w:sz w:val="32"/>
          <w:szCs w:val="32"/>
          <w:lang w:val="en-US" w:eastAsia="zh-CN"/>
        </w:rPr>
        <w:t>2</w:t>
      </w:r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</w:rPr>
        <w:t>年部门预算情况说明</w:t>
      </w:r>
    </w:p>
    <w:p>
      <w:pPr>
        <w:snapToGrid w:val="0"/>
        <w:spacing w:line="56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</w:rPr>
        <w:t>第三部分　名词解释</w:t>
      </w:r>
      <w:r>
        <w:rPr>
          <w:rFonts w:hint="eastAsia" w:ascii="仿宋" w:hAnsi="仿宋" w:eastAsia="仿宋" w:cs="仿宋"/>
          <w:sz w:val="32"/>
          <w:szCs w:val="32"/>
        </w:rPr>
        <w:t xml:space="preserve">    </w:t>
      </w:r>
    </w:p>
    <w:p>
      <w:pPr>
        <w:snapToGrid w:val="0"/>
        <w:spacing w:line="56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</w:rPr>
        <w:t xml:space="preserve"> 附件： </w:t>
      </w:r>
      <w:r>
        <w:rPr>
          <w:rFonts w:hint="eastAsia" w:ascii="宋体" w:hAnsi="宋体" w:cs="宋体"/>
          <w:b/>
          <w:bCs w:val="0"/>
          <w:kern w:val="0"/>
          <w:sz w:val="32"/>
          <w:szCs w:val="32"/>
          <w:lang w:eastAsia="zh-CN"/>
        </w:rPr>
        <w:t>平</w:t>
      </w:r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</w:rPr>
        <w:t>顶山市卫东区</w:t>
      </w:r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  <w:lang w:eastAsia="zh-CN"/>
        </w:rPr>
        <w:t>环境保护局</w:t>
      </w:r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</w:rPr>
        <w:t>202</w:t>
      </w:r>
      <w:r>
        <w:rPr>
          <w:rFonts w:hint="eastAsia" w:ascii="宋体" w:hAnsi="宋体" w:cs="宋体"/>
          <w:b/>
          <w:bCs w:val="0"/>
          <w:kern w:val="0"/>
          <w:sz w:val="32"/>
          <w:szCs w:val="32"/>
          <w:lang w:val="en-US" w:eastAsia="zh-CN"/>
        </w:rPr>
        <w:t>2</w:t>
      </w:r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</w:rPr>
        <w:t xml:space="preserve">年部门预算表 </w:t>
      </w:r>
      <w:r>
        <w:rPr>
          <w:rFonts w:hint="eastAsia" w:ascii="仿宋" w:hAnsi="仿宋" w:eastAsia="仿宋" w:cs="仿宋"/>
          <w:sz w:val="32"/>
          <w:szCs w:val="32"/>
        </w:rPr>
        <w:t xml:space="preserve">   </w:t>
      </w:r>
    </w:p>
    <w:p>
      <w:pPr>
        <w:snapToGrid w:val="0"/>
        <w:spacing w:line="560" w:lineRule="exact"/>
        <w:ind w:firstLine="1280" w:firstLineChars="4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一、部门收支预算表    </w:t>
      </w:r>
    </w:p>
    <w:p>
      <w:pPr>
        <w:snapToGrid w:val="0"/>
        <w:spacing w:line="560" w:lineRule="exact"/>
        <w:ind w:firstLine="1280" w:firstLineChars="4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二、部门收入预算表    </w:t>
      </w:r>
    </w:p>
    <w:p>
      <w:pPr>
        <w:snapToGrid w:val="0"/>
        <w:spacing w:line="560" w:lineRule="exact"/>
        <w:ind w:firstLine="1280" w:firstLineChars="4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三、部门支出预算表    </w:t>
      </w:r>
    </w:p>
    <w:p>
      <w:pPr>
        <w:snapToGrid w:val="0"/>
        <w:spacing w:line="560" w:lineRule="exact"/>
        <w:ind w:firstLine="1280" w:firstLineChars="4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四、财政拨款收支预算表    </w:t>
      </w:r>
    </w:p>
    <w:p>
      <w:pPr>
        <w:snapToGrid w:val="0"/>
        <w:spacing w:line="560" w:lineRule="exact"/>
        <w:ind w:firstLine="1280" w:firstLineChars="4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五、一般公共预算支出预算表    </w:t>
      </w:r>
    </w:p>
    <w:p>
      <w:pPr>
        <w:ind w:firstLine="1280" w:firstLineChars="4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六、一般公共预算基本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支出表</w:t>
      </w:r>
    </w:p>
    <w:p>
      <w:pPr>
        <w:snapToGrid w:val="0"/>
        <w:spacing w:line="560" w:lineRule="exact"/>
        <w:ind w:firstLine="1280" w:firstLineChars="4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七、支出经济分类汇总表</w:t>
      </w:r>
    </w:p>
    <w:p>
      <w:pPr>
        <w:snapToGrid w:val="0"/>
        <w:spacing w:line="560" w:lineRule="exact"/>
        <w:ind w:firstLine="1280" w:firstLineChars="4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八、一般公共预算“三公”经费预算表</w:t>
      </w:r>
    </w:p>
    <w:p>
      <w:pPr>
        <w:snapToGrid w:val="0"/>
        <w:spacing w:line="560" w:lineRule="exact"/>
        <w:ind w:firstLine="1280" w:firstLineChars="4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九、政府性基金支出预算表</w:t>
      </w:r>
    </w:p>
    <w:p>
      <w:pPr>
        <w:snapToGrid w:val="0"/>
        <w:spacing w:line="560" w:lineRule="exact"/>
        <w:ind w:firstLine="1280" w:firstLineChars="400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十、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项目支出预算表</w:t>
      </w:r>
    </w:p>
    <w:p>
      <w:pPr>
        <w:snapToGrid w:val="0"/>
        <w:spacing w:line="560" w:lineRule="exact"/>
        <w:ind w:firstLine="1280" w:firstLineChars="400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十一、部门（单位）整体绩效目标表</w:t>
      </w:r>
    </w:p>
    <w:p>
      <w:pPr>
        <w:ind w:firstLine="1280" w:firstLineChars="400"/>
        <w:rPr>
          <w:rFonts w:hint="eastAsia" w:ascii="仿宋" w:hAnsi="仿宋" w:eastAsia="仿宋" w:cs="仿宋"/>
          <w:bCs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十二、部门预算项目绩效目标汇总表</w:t>
      </w:r>
    </w:p>
    <w:p>
      <w:pPr>
        <w:ind w:firstLine="270" w:firstLineChars="100"/>
        <w:rPr>
          <w:rFonts w:ascii="宋体" w:hAnsi="宋体"/>
          <w:kern w:val="0"/>
          <w:sz w:val="27"/>
        </w:rPr>
      </w:pPr>
    </w:p>
    <w:p>
      <w:pPr>
        <w:ind w:firstLine="482" w:firstLineChars="150"/>
        <w:jc w:val="center"/>
        <w:rPr>
          <w:rFonts w:hint="eastAsia" w:ascii="宋体" w:hAnsi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</w:rPr>
        <w:t>第一部分</w:t>
      </w:r>
    </w:p>
    <w:p>
      <w:pPr>
        <w:ind w:firstLine="482" w:firstLineChars="150"/>
        <w:jc w:val="center"/>
        <w:rPr>
          <w:rFonts w:hint="eastAsia" w:ascii="宋体" w:hAnsi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cs="宋体"/>
          <w:b/>
          <w:bCs w:val="0"/>
          <w:kern w:val="0"/>
          <w:sz w:val="32"/>
          <w:szCs w:val="32"/>
          <w:lang w:eastAsia="zh-CN"/>
        </w:rPr>
        <w:t>平</w:t>
      </w:r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</w:rPr>
        <w:t>顶山市卫东区</w:t>
      </w:r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  <w:lang w:eastAsia="zh-CN"/>
        </w:rPr>
        <w:t>环境保护局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概况</w:t>
      </w:r>
    </w:p>
    <w:p>
      <w:pPr>
        <w:ind w:firstLine="482" w:firstLineChars="150"/>
        <w:jc w:val="center"/>
        <w:rPr>
          <w:rFonts w:hint="eastAsia" w:ascii="宋体" w:hAnsi="宋体" w:cs="宋体"/>
          <w:b/>
          <w:bCs/>
          <w:kern w:val="0"/>
          <w:sz w:val="32"/>
          <w:szCs w:val="32"/>
        </w:rPr>
      </w:pPr>
    </w:p>
    <w:p>
      <w:pPr>
        <w:numPr>
          <w:ilvl w:val="0"/>
          <w:numId w:val="0"/>
        </w:numPr>
        <w:ind w:left="640" w:leftChars="0"/>
        <w:rPr>
          <w:rFonts w:hint="eastAsia" w:ascii="宋体" w:hAnsi="宋体" w:eastAsia="宋体" w:cs="宋体"/>
          <w:b/>
          <w:bCs w:val="0"/>
          <w:kern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  <w:lang w:eastAsia="zh-CN"/>
        </w:rPr>
        <w:t>一、平</w:t>
      </w:r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</w:rPr>
        <w:t>顶山市卫东区</w:t>
      </w:r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  <w:lang w:eastAsia="zh-CN"/>
        </w:rPr>
        <w:t>环境保护局</w:t>
      </w:r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</w:rPr>
        <w:t>主要职</w:t>
      </w:r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  <w:lang w:eastAsia="zh-CN"/>
        </w:rPr>
        <w:t>能</w:t>
      </w:r>
    </w:p>
    <w:p>
      <w:pPr>
        <w:ind w:firstLine="640" w:firstLineChars="200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(一)贯彻执行国家、省、市环境保护的方针、政策和法律、法规；组织编制全区环境功能区划。</w:t>
      </w:r>
    </w:p>
    <w:p>
      <w:pPr>
        <w:ind w:firstLine="640" w:firstLineChars="200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(二)负责全区重大环境问题的统筹协调和监督管理。牵头协调重特大环境污染事故和生态破坏事件的调查处理。承担重特大突发环境事件的应急、预警工作，协调解决有关跨区域环境污染纠纷，统筹协调区域污染防治工作。</w:t>
      </w:r>
    </w:p>
    <w:p>
      <w:pPr>
        <w:ind w:firstLine="640" w:firstLineChars="200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(三)承担落实卫东区减排目标的责任。组织制定主要污染物排放总量控制和排污许可证制度并监督实施，提出实施总量控制的污染物名称和控制指标，督查、督办、核查各企业污染物减排任务完成情况，负责环境保护目标、总量减排目标的考核并公布考核结果,负责环境统计和污染源普查工作。</w:t>
      </w:r>
    </w:p>
    <w:p>
      <w:pPr>
        <w:ind w:firstLine="640" w:firstLineChars="200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(四)负责提出环境保护领域固定资产投资规模和方向，会同区财政局就环保专项资金提出安排意见，按区政府规定权限，审批、核准区规划内及年度计划规模内固定资产投资项目，并配合有关部门做好组织实施和监督工作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参与指导和推动循环经济和环保产业发展,参与应对气候变化工作。</w:t>
      </w:r>
    </w:p>
    <w:p>
      <w:pPr>
        <w:ind w:firstLine="640" w:firstLineChars="200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(五)承担从源头上预防、控制环境污染和环境破坏的责任。受区政府委托，对卫东区重大经济和技术政策、发展规划以及重大经济开发计划进行环境影响评价，对涉及环境保护的地方性法规、规章草案提出有关环境影响方面的意见，按国家和省、市的规定，审核、审批开发建设区域、项目环境影响评价文件。</w:t>
      </w:r>
    </w:p>
    <w:p>
      <w:pPr>
        <w:ind w:firstLine="640" w:firstLineChars="200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(六)负责全区环境污染防治的监督管理。制定卫东区水体、大气、土壤、噪声、光、恶臭、固体废物、化学品等污染防治管理制度并组织实施，组织指导城镇和农村的环境污染防治和生态保护综合整治工作。</w:t>
      </w:r>
    </w:p>
    <w:p>
      <w:pPr>
        <w:ind w:firstLine="640" w:firstLineChars="200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(七)指导、协调、监督全区生态保护工作。拟订卫东区生态保护规划，监督对生态环境有影响的自然资源开发利用活动、重要生态环境建设和生态破坏恢复工作。协调、指导农村生态环境保护，监督生物技术环境安全，组织协调生物多样性保护。</w:t>
      </w:r>
    </w:p>
    <w:p>
      <w:pPr>
        <w:ind w:firstLine="640" w:firstLineChars="200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(八)负责全区核安全和辐射安全的监督管理。实施国家有关政策、规划、标准，配合参与核事故应急处理，负责辐射环境事故应急处理工作。监督管理放射源安全，配合监督管理核设施、核技术应用、电磁辐射、伴有放射性矿产资源开发利用中的污染防治。配合做好核设施安全、核材料管制和民用核安全设备的监督管理工作。</w:t>
      </w:r>
    </w:p>
    <w:p>
      <w:pPr>
        <w:ind w:firstLine="640" w:firstLineChars="200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(九)负责环境监测和信息发布。执行国家、省、市环境监测制度和规范，组织实施环境质量监测和污染源监督性监测。组织对卫东区环境质量状况进行调查评估、预测预警，组织建设和管理区环境监测网和全区环境信息网，配合市环保局做好环境质量公告工作。</w:t>
      </w:r>
    </w:p>
    <w:p>
      <w:pPr>
        <w:ind w:firstLine="640" w:firstLineChars="200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(十)组织、指导和协调环境保护宣传教育工作，制定并组织实施卫东区环境保护宣传教育纲要，开展生态文明建设和环境友好型社会建设的有关宣传教育工作，推动社会公众和社会组织参与环境保护。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(十一)承办区政府交办的其他事项。</w:t>
      </w:r>
    </w:p>
    <w:p>
      <w:pPr>
        <w:ind w:firstLine="643" w:firstLineChars="200"/>
        <w:rPr>
          <w:rFonts w:hint="eastAsia" w:ascii="宋体" w:hAnsi="宋体" w:eastAsia="宋体" w:cs="宋体"/>
          <w:b/>
          <w:bCs w:val="0"/>
          <w:kern w:val="0"/>
          <w:sz w:val="32"/>
          <w:szCs w:val="32"/>
          <w:lang w:eastAsia="zh-CN"/>
        </w:rPr>
      </w:pPr>
      <w:r>
        <w:rPr>
          <w:rFonts w:hint="eastAsia" w:ascii="宋体" w:hAnsi="宋体" w:cs="宋体"/>
          <w:b/>
          <w:bCs w:val="0"/>
          <w:kern w:val="0"/>
          <w:sz w:val="32"/>
          <w:szCs w:val="32"/>
          <w:lang w:eastAsia="zh-CN"/>
        </w:rPr>
        <w:t>二、</w:t>
      </w:r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  <w:lang w:eastAsia="zh-CN"/>
        </w:rPr>
        <w:t>平</w:t>
      </w:r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</w:rPr>
        <w:t>顶山市卫东区</w:t>
      </w:r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  <w:lang w:eastAsia="zh-CN"/>
        </w:rPr>
        <w:t>环境保护局</w:t>
      </w:r>
      <w:r>
        <w:rPr>
          <w:rFonts w:hint="eastAsia" w:ascii="宋体" w:hAnsi="宋体" w:cs="宋体"/>
          <w:b/>
          <w:bCs w:val="0"/>
          <w:kern w:val="0"/>
          <w:sz w:val="32"/>
          <w:szCs w:val="32"/>
          <w:lang w:eastAsia="zh-CN"/>
        </w:rPr>
        <w:t>预算单位构成</w:t>
      </w:r>
    </w:p>
    <w:p>
      <w:pPr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卫东区环境保护局</w:t>
      </w:r>
      <w:r>
        <w:rPr>
          <w:rFonts w:ascii="仿宋_GB2312" w:hAnsi="仿宋_GB2312" w:eastAsia="仿宋_GB2312" w:cs="仿宋_GB2312"/>
          <w:color w:val="000000"/>
          <w:sz w:val="32"/>
          <w:szCs w:val="32"/>
          <w:highlight w:val="none"/>
        </w:rPr>
        <w:t>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2</w:t>
      </w:r>
      <w:r>
        <w:rPr>
          <w:rFonts w:ascii="仿宋_GB2312" w:hAnsi="仿宋_GB2312" w:eastAsia="仿宋_GB2312" w:cs="仿宋_GB2312"/>
          <w:color w:val="000000"/>
          <w:sz w:val="32"/>
          <w:szCs w:val="32"/>
          <w:highlight w:val="none"/>
        </w:rPr>
        <w:t>年部门预算包含本级预算和所属单位预算在内的汇总预算。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二级机构包含：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highlight w:val="none"/>
        </w:rPr>
        <w:t>卫东区环境监察大队、卫东区环保护境监测站、卫东区污染物总量控制办公室。</w:t>
      </w:r>
    </w:p>
    <w:p>
      <w:pPr>
        <w:widowControl w:val="0"/>
        <w:wordWrap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卫东区环境保护局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eastAsia="zh-CN"/>
        </w:rPr>
        <w:t>设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3个内设机构：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highlight w:val="none"/>
        </w:rPr>
        <w:t>办公室,宣教法制股、环境管理股(行政审批服务股)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。</w:t>
      </w:r>
    </w:p>
    <w:p>
      <w:pPr>
        <w:widowControl w:val="0"/>
        <w:wordWrap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</w:pPr>
    </w:p>
    <w:p>
      <w:pPr>
        <w:numPr>
          <w:ilvl w:val="0"/>
          <w:numId w:val="0"/>
        </w:numPr>
        <w:ind w:firstLine="3534" w:firstLineChars="1100"/>
        <w:jc w:val="both"/>
        <w:rPr>
          <w:rFonts w:hint="eastAsia" w:ascii="宋体" w:hAnsi="宋体" w:cs="宋体"/>
          <w:b/>
          <w:bCs/>
          <w:kern w:val="0"/>
          <w:sz w:val="32"/>
          <w:szCs w:val="32"/>
          <w:lang w:eastAsia="zh-CN"/>
        </w:rPr>
      </w:pPr>
    </w:p>
    <w:p>
      <w:pPr>
        <w:numPr>
          <w:ilvl w:val="0"/>
          <w:numId w:val="0"/>
        </w:numPr>
        <w:ind w:firstLine="3534" w:firstLineChars="1100"/>
        <w:jc w:val="both"/>
        <w:rPr>
          <w:rFonts w:hint="eastAsia" w:ascii="宋体" w:hAnsi="宋体" w:cs="宋体"/>
          <w:b/>
          <w:bCs/>
          <w:kern w:val="0"/>
          <w:sz w:val="32"/>
          <w:szCs w:val="32"/>
          <w:lang w:eastAsia="zh-CN"/>
        </w:rPr>
      </w:pPr>
    </w:p>
    <w:p>
      <w:pPr>
        <w:numPr>
          <w:ilvl w:val="0"/>
          <w:numId w:val="0"/>
        </w:numPr>
        <w:ind w:firstLine="3534" w:firstLineChars="1100"/>
        <w:jc w:val="both"/>
        <w:rPr>
          <w:rFonts w:hint="eastAsia" w:ascii="宋体" w:hAnsi="宋体" w:cs="宋体"/>
          <w:b/>
          <w:bCs/>
          <w:kern w:val="0"/>
          <w:sz w:val="32"/>
          <w:szCs w:val="32"/>
          <w:lang w:eastAsia="zh-CN"/>
        </w:rPr>
      </w:pPr>
    </w:p>
    <w:p>
      <w:pPr>
        <w:numPr>
          <w:ilvl w:val="0"/>
          <w:numId w:val="0"/>
        </w:numPr>
        <w:ind w:firstLine="3534" w:firstLineChars="1100"/>
        <w:jc w:val="both"/>
        <w:rPr>
          <w:rFonts w:hint="eastAsia" w:ascii="宋体" w:hAnsi="宋体" w:cs="宋体"/>
          <w:b/>
          <w:bCs/>
          <w:kern w:val="0"/>
          <w:sz w:val="32"/>
          <w:szCs w:val="32"/>
          <w:lang w:eastAsia="zh-CN"/>
        </w:rPr>
      </w:pPr>
    </w:p>
    <w:p>
      <w:pPr>
        <w:numPr>
          <w:ilvl w:val="0"/>
          <w:numId w:val="0"/>
        </w:numPr>
        <w:ind w:firstLine="3534" w:firstLineChars="1100"/>
        <w:jc w:val="both"/>
        <w:rPr>
          <w:rFonts w:hint="eastAsia" w:ascii="宋体" w:hAnsi="宋体" w:cs="宋体"/>
          <w:b/>
          <w:bCs/>
          <w:kern w:val="0"/>
          <w:sz w:val="32"/>
          <w:szCs w:val="32"/>
          <w:lang w:eastAsia="zh-CN"/>
        </w:rPr>
      </w:pPr>
    </w:p>
    <w:p>
      <w:pPr>
        <w:numPr>
          <w:ilvl w:val="0"/>
          <w:numId w:val="0"/>
        </w:numPr>
        <w:ind w:firstLine="3534" w:firstLineChars="1100"/>
        <w:jc w:val="both"/>
        <w:rPr>
          <w:rFonts w:hint="eastAsia" w:ascii="宋体" w:hAnsi="宋体" w:cs="宋体"/>
          <w:b/>
          <w:bCs/>
          <w:kern w:val="0"/>
          <w:sz w:val="32"/>
          <w:szCs w:val="32"/>
          <w:lang w:eastAsia="zh-CN"/>
        </w:rPr>
      </w:pPr>
    </w:p>
    <w:p>
      <w:pPr>
        <w:numPr>
          <w:ilvl w:val="0"/>
          <w:numId w:val="0"/>
        </w:numPr>
        <w:ind w:firstLine="3534" w:firstLineChars="1100"/>
        <w:jc w:val="both"/>
        <w:rPr>
          <w:rFonts w:hint="eastAsia" w:ascii="宋体" w:hAnsi="宋体" w:eastAsia="宋体" w:cs="宋体"/>
          <w:b/>
          <w:bCs/>
          <w:kern w:val="0"/>
          <w:sz w:val="32"/>
          <w:szCs w:val="32"/>
          <w:lang w:eastAsia="zh-CN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  <w:lang w:eastAsia="zh-CN"/>
        </w:rPr>
        <w:t>第二部分</w:t>
      </w:r>
    </w:p>
    <w:p>
      <w:pPr>
        <w:numPr>
          <w:ilvl w:val="0"/>
          <w:numId w:val="0"/>
        </w:numPr>
        <w:ind w:left="803" w:leftChars="0"/>
        <w:jc w:val="center"/>
        <w:rPr>
          <w:rFonts w:hint="eastAsia" w:ascii="宋体" w:hAnsi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  <w:lang w:eastAsia="zh-CN"/>
        </w:rPr>
        <w:t>平</w:t>
      </w:r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</w:rPr>
        <w:t>顶山市卫东区</w:t>
      </w:r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  <w:lang w:eastAsia="zh-CN"/>
        </w:rPr>
        <w:t>环境保护局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部门预算情况说明</w:t>
      </w:r>
    </w:p>
    <w:p>
      <w:pPr>
        <w:numPr>
          <w:ilvl w:val="0"/>
          <w:numId w:val="0"/>
        </w:numPr>
        <w:ind w:left="803" w:leftChars="0"/>
        <w:jc w:val="center"/>
        <w:rPr>
          <w:rFonts w:hint="eastAsia" w:ascii="宋体" w:hAnsi="宋体" w:cs="宋体"/>
          <w:b/>
          <w:bCs/>
          <w:kern w:val="0"/>
          <w:sz w:val="32"/>
          <w:szCs w:val="32"/>
        </w:rPr>
      </w:pPr>
    </w:p>
    <w:p>
      <w:pPr>
        <w:ind w:firstLine="643" w:firstLineChars="200"/>
        <w:rPr>
          <w:rFonts w:hint="eastAsia" w:ascii="宋体" w:hAnsi="宋体" w:eastAsia="宋体" w:cs="宋体"/>
          <w:b/>
          <w:bCs w:val="0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</w:rPr>
        <w:t>一、收入支出预算总体情况说明</w:t>
      </w:r>
    </w:p>
    <w:p>
      <w:pPr>
        <w:ind w:firstLine="640" w:firstLineChars="200"/>
        <w:rPr>
          <w:rFonts w:ascii="仿宋_GB2312" w:hAnsi="仿宋_GB2312" w:eastAsia="仿宋_GB2312" w:cs="仿宋_GB2312"/>
          <w:bCs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年收、支总计均为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1230.97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万元，与20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年相比，收、支总计均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增加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687.06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万元。主要原因：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环保工作项目的增加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highlight w:val="none"/>
        </w:rPr>
        <w:t>。</w:t>
      </w:r>
    </w:p>
    <w:p>
      <w:pPr>
        <w:ind w:firstLine="643" w:firstLineChars="200"/>
        <w:rPr>
          <w:rFonts w:hint="eastAsia" w:ascii="宋体" w:hAnsi="宋体" w:eastAsia="宋体" w:cs="宋体"/>
          <w:b/>
          <w:bCs w:val="0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</w:rPr>
        <w:t>二、收入预算总体情况说明</w:t>
      </w:r>
    </w:p>
    <w:p>
      <w:pPr>
        <w:ind w:firstLine="640" w:firstLineChars="200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年收入预算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1230.97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万元，其中财政拨款收入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1230.97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万元。比上年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增加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687.06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万元。</w:t>
      </w:r>
    </w:p>
    <w:p>
      <w:pPr>
        <w:ind w:firstLine="643" w:firstLineChars="200"/>
        <w:rPr>
          <w:rFonts w:hint="eastAsia" w:ascii="宋体" w:hAnsi="宋体" w:eastAsia="宋体" w:cs="宋体"/>
          <w:b/>
          <w:bCs w:val="0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</w:rPr>
        <w:t>三、支出预算总体情况说明</w:t>
      </w:r>
    </w:p>
    <w:p>
      <w:pPr>
        <w:ind w:firstLine="640" w:firstLineChars="200"/>
        <w:rPr>
          <w:rFonts w:hint="default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年支出预算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1230.97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万元，其中财政拨款支出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1230.97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万元。202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年支出预算按用途划分：工资福利支出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508.26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41.29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%；商品服务支出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20.88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1.69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%；对个人和家庭的补助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9.97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0.81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%；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项目支出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691.86万元，占56.21%；</w:t>
      </w:r>
    </w:p>
    <w:p>
      <w:pPr>
        <w:ind w:firstLine="643" w:firstLineChars="200"/>
        <w:rPr>
          <w:rFonts w:hint="eastAsia" w:ascii="宋体" w:hAnsi="宋体" w:eastAsia="宋体" w:cs="宋体"/>
          <w:b/>
          <w:bCs w:val="0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</w:rPr>
        <w:t>四、财政拨款收入支出预算总体情况说明</w:t>
      </w:r>
    </w:p>
    <w:p>
      <w:pPr>
        <w:ind w:firstLine="640" w:firstLineChars="200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年一般公共预算收支预算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1230.97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万元，与20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年相比，一般公共预算收支预算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增加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687.06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万元，主要原因：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项目支出增加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。</w:t>
      </w:r>
    </w:p>
    <w:p>
      <w:pPr>
        <w:ind w:firstLine="643" w:firstLineChars="200"/>
        <w:rPr>
          <w:rFonts w:hint="eastAsia" w:ascii="宋体" w:hAnsi="宋体" w:eastAsia="宋体" w:cs="宋体"/>
          <w:b/>
          <w:bCs w:val="0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</w:rPr>
        <w:t>五、一般公共预算支出预算情况说明</w:t>
      </w:r>
    </w:p>
    <w:p>
      <w:pPr>
        <w:ind w:firstLine="640" w:firstLineChars="200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年一般公共预算支出年初预算为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1230.97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万元。主要用于以下方面：节能环保（类）支出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1116.77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90.72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%；社会保障和就业（类）支出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53.77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4.37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%；医疗卫生（类）支出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23.44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1.90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%；住房保障（类）支出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36.98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3.01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%.</w:t>
      </w:r>
    </w:p>
    <w:p>
      <w:pPr>
        <w:ind w:firstLine="643" w:firstLineChars="200"/>
        <w:rPr>
          <w:rFonts w:hint="eastAsia" w:ascii="宋体" w:hAnsi="宋体" w:eastAsia="宋体" w:cs="宋体"/>
          <w:b/>
          <w:bCs w:val="0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</w:rPr>
        <w:t>六、支出预算经济分类情况说明</w:t>
      </w:r>
    </w:p>
    <w:p>
      <w:pPr>
        <w:widowControl w:val="0"/>
        <w:wordWrap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按照《财政部关于印发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&lt;</w:t>
      </w:r>
      <w:r>
        <w:rPr>
          <w:rFonts w:hint="eastAsia" w:ascii="仿宋_GB2312" w:hAnsi="仿宋_GB2312" w:eastAsia="仿宋_GB2312" w:cs="仿宋_GB2312"/>
          <w:sz w:val="32"/>
          <w:szCs w:val="32"/>
        </w:rPr>
        <w:t>支出经济分类科目改革方案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&gt;</w:t>
      </w:r>
      <w:r>
        <w:rPr>
          <w:rFonts w:hint="eastAsia" w:ascii="仿宋_GB2312" w:hAnsi="仿宋_GB2312" w:eastAsia="仿宋_GB2312" w:cs="仿宋_GB2312"/>
          <w:sz w:val="32"/>
          <w:szCs w:val="32"/>
        </w:rPr>
        <w:t>的通知》（财预[2017]98号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要求，从2018年起全面实施支出经济分类科目改革，根据政府预算管理和部门预算管理的不同特点，分设部门预算支出经济分类科目和政府预算支出经济分类科目，两套科目之间保持对应关系。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为适应改革要求，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我单位《支出经济分类汇总表》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2018年起从仅反映一般公共预算基本支出经济分类项目预算调整为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按两套经济分类科目分别反应不同资金来源的全部预算支出。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年预算支出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highlight w:val="none"/>
          <w:lang w:val="en-US" w:eastAsia="zh-CN"/>
        </w:rPr>
        <w:t>1230.97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万元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其中：基本支出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highlight w:val="none"/>
          <w:lang w:val="en-US" w:eastAsia="zh-CN"/>
        </w:rPr>
        <w:t>1230.97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万元，主要包括：基本工资、津贴补贴、奖金、绩效工资、机关事业单位基本养老保险缴费、职业年金缴费、医疗保险缴费、其他社会保障缴费、住房公积金、其他工资福利支出、退休费、其他对个人和家庭的补助支出；项目支出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highlight w:val="none"/>
          <w:lang w:val="en-US" w:eastAsia="zh-CN"/>
        </w:rPr>
        <w:t>691.86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万元，主要包括：办公费、印刷费、邮电费、差旅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ab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费、维修（护）费、租赁费、会议费、培训费、公务接待费、劳务费、福利费、公务用车运行维护费、其他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ab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交通费用、其他商品和服务支出、办公设备购置、信息网络及软件购置更新和其他支出。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ab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ab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ab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ab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ab/>
      </w:r>
    </w:p>
    <w:p>
      <w:pPr>
        <w:ind w:firstLine="643" w:firstLineChars="200"/>
        <w:rPr>
          <w:rFonts w:hint="eastAsia" w:ascii="宋体" w:hAnsi="宋体" w:eastAsia="宋体" w:cs="宋体"/>
          <w:b/>
          <w:bCs w:val="0"/>
          <w:kern w:val="0"/>
          <w:sz w:val="32"/>
          <w:szCs w:val="32"/>
          <w:lang w:eastAsia="zh-CN"/>
        </w:rPr>
      </w:pPr>
      <w:r>
        <w:rPr>
          <w:rFonts w:hint="eastAsia" w:ascii="宋体" w:hAnsi="宋体" w:cs="宋体"/>
          <w:b/>
          <w:bCs w:val="0"/>
          <w:kern w:val="0"/>
          <w:sz w:val="32"/>
          <w:szCs w:val="32"/>
          <w:lang w:eastAsia="zh-CN"/>
        </w:rPr>
        <w:t>七</w:t>
      </w:r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</w:rPr>
        <w:t>、</w:t>
      </w:r>
      <w:r>
        <w:rPr>
          <w:rFonts w:hint="eastAsia" w:ascii="宋体" w:hAnsi="宋体" w:cs="宋体"/>
          <w:b/>
          <w:bCs w:val="0"/>
          <w:kern w:val="0"/>
          <w:sz w:val="32"/>
          <w:szCs w:val="32"/>
          <w:lang w:eastAsia="zh-CN"/>
        </w:rPr>
        <w:t>“</w:t>
      </w:r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</w:rPr>
        <w:t>三公</w:t>
      </w:r>
      <w:r>
        <w:rPr>
          <w:rFonts w:hint="eastAsia" w:ascii="宋体" w:hAnsi="宋体" w:cs="宋体"/>
          <w:b/>
          <w:bCs w:val="0"/>
          <w:kern w:val="0"/>
          <w:sz w:val="32"/>
          <w:szCs w:val="32"/>
          <w:lang w:eastAsia="zh-CN"/>
        </w:rPr>
        <w:t>”</w:t>
      </w:r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</w:rPr>
        <w:t>经费</w:t>
      </w:r>
      <w:r>
        <w:rPr>
          <w:rFonts w:hint="eastAsia" w:ascii="宋体" w:hAnsi="宋体" w:cs="宋体"/>
          <w:b/>
          <w:bCs w:val="0"/>
          <w:kern w:val="0"/>
          <w:sz w:val="32"/>
          <w:szCs w:val="32"/>
          <w:lang w:eastAsia="zh-CN"/>
        </w:rPr>
        <w:t>支出预算情况说明</w:t>
      </w:r>
    </w:p>
    <w:p>
      <w:pPr>
        <w:ind w:firstLine="640" w:firstLineChars="200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年 “三公”经费公共预算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10.0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万元。其中：</w:t>
      </w:r>
    </w:p>
    <w:p>
      <w:pPr>
        <w:ind w:firstLine="643" w:firstLineChars="200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 w:val="0"/>
          <w:kern w:val="0"/>
          <w:sz w:val="32"/>
          <w:szCs w:val="32"/>
        </w:rPr>
        <w:t>（一）因公出国（境）费</w:t>
      </w:r>
      <w:r>
        <w:rPr>
          <w:rFonts w:hint="eastAsia" w:ascii="仿宋_GB2312" w:hAnsi="仿宋_GB2312" w:eastAsia="仿宋_GB2312" w:cs="仿宋_GB2312"/>
          <w:b/>
          <w:bCs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预算0万元，预算数和20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年相同。</w:t>
      </w:r>
    </w:p>
    <w:p>
      <w:pPr>
        <w:ind w:firstLine="643" w:firstLineChars="200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 w:val="0"/>
          <w:kern w:val="0"/>
          <w:sz w:val="32"/>
          <w:szCs w:val="32"/>
        </w:rPr>
        <w:t>（二）公务用车</w:t>
      </w:r>
      <w:r>
        <w:rPr>
          <w:rFonts w:hint="eastAsia" w:ascii="仿宋" w:hAnsi="仿宋" w:eastAsia="仿宋" w:cs="仿宋"/>
          <w:b/>
          <w:bCs w:val="0"/>
          <w:kern w:val="0"/>
          <w:sz w:val="32"/>
          <w:szCs w:val="32"/>
          <w:lang w:eastAsia="zh-CN"/>
        </w:rPr>
        <w:t>购置及运行费</w:t>
      </w:r>
      <w:r>
        <w:rPr>
          <w:rFonts w:hint="eastAsia" w:ascii="仿宋" w:hAnsi="仿宋" w:eastAsia="仿宋" w:cs="仿宋"/>
          <w:b/>
          <w:bCs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预算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10.0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万元，预算数比20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下降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2.5万元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。预算主要用于日常公务发生的燃料费、维修费、过路过桥费、保险费等支出；公务用车购置0万元。</w:t>
      </w:r>
    </w:p>
    <w:p>
      <w:pPr>
        <w:widowControl w:val="0"/>
        <w:wordWrap/>
        <w:adjustRightInd/>
        <w:snapToGrid/>
        <w:spacing w:before="0" w:after="0" w:line="58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 w:val="0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/>
          <w:bCs w:val="0"/>
          <w:kern w:val="0"/>
          <w:sz w:val="32"/>
          <w:szCs w:val="32"/>
        </w:rPr>
        <w:t>（三）公务接待费</w:t>
      </w:r>
      <w:r>
        <w:rPr>
          <w:rFonts w:hint="eastAsia" w:ascii="仿宋_GB2312" w:hAnsi="仿宋_GB2312" w:eastAsia="仿宋_GB2312" w:cs="仿宋_GB2312"/>
          <w:b/>
          <w:bCs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  <w:t>预算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0万元，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2022年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预算数与20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年相同，</w:t>
      </w:r>
      <w:r>
        <w:rPr>
          <w:rFonts w:hint="eastAsia" w:ascii="仿宋_GB2312" w:hAnsi="仿宋" w:eastAsia="仿宋_GB2312" w:cs="仿宋"/>
          <w:bCs/>
          <w:kern w:val="0"/>
          <w:sz w:val="32"/>
          <w:szCs w:val="32"/>
        </w:rPr>
        <w:t>主要原因是严格执行《党政机关国内公务接待管理规定》等办法，不断规范公务接待管理，严格接待审批控制，厉行勤俭节约，不断压缩公务接待费支出等。</w:t>
      </w:r>
    </w:p>
    <w:p>
      <w:pPr>
        <w:ind w:firstLine="643" w:firstLineChars="200"/>
        <w:rPr>
          <w:rFonts w:hint="eastAsia" w:ascii="宋体" w:hAnsi="宋体" w:eastAsia="宋体" w:cs="宋体"/>
          <w:b/>
          <w:bCs w:val="0"/>
          <w:kern w:val="0"/>
          <w:sz w:val="32"/>
          <w:szCs w:val="32"/>
        </w:rPr>
      </w:pPr>
      <w:r>
        <w:rPr>
          <w:rFonts w:hint="eastAsia" w:ascii="宋体" w:hAnsi="宋体" w:cs="宋体"/>
          <w:b/>
          <w:bCs w:val="0"/>
          <w:kern w:val="0"/>
          <w:sz w:val="32"/>
          <w:szCs w:val="32"/>
          <w:lang w:eastAsia="zh-CN"/>
        </w:rPr>
        <w:t>八</w:t>
      </w:r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</w:rPr>
        <w:t>、政府性基金预算支出预算情况说明</w:t>
      </w:r>
    </w:p>
    <w:p>
      <w:pPr>
        <w:ind w:firstLine="640" w:firstLineChars="200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部门202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年政府性基金预算支出0万元。</w:t>
      </w:r>
    </w:p>
    <w:p>
      <w:pPr>
        <w:pStyle w:val="10"/>
        <w:widowControl/>
        <w:spacing w:before="0" w:beforeAutospacing="0" w:after="0" w:afterAutospacing="0" w:line="560" w:lineRule="exact"/>
        <w:ind w:firstLine="643" w:firstLineChars="200"/>
        <w:jc w:val="both"/>
        <w:rPr>
          <w:rFonts w:hint="eastAsia" w:ascii="宋体" w:hAnsi="宋体" w:eastAsia="宋体" w:cs="宋体"/>
          <w:b/>
          <w:bCs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eastAsia="zh-CN"/>
        </w:rPr>
        <w:t>九</w:t>
      </w: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</w:rPr>
        <w:t>、其他重要事项情况说明</w:t>
      </w:r>
    </w:p>
    <w:p>
      <w:pPr>
        <w:ind w:firstLine="643" w:firstLineChars="200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</w:rPr>
        <w:t>（一）机关运行经费预算</w:t>
      </w:r>
    </w:p>
    <w:p>
      <w:pPr>
        <w:ind w:firstLine="640" w:firstLineChars="200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年，机关运行经费支出预算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20.88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万元，主要用于办公及印刷费、邮电费、差旅费、会议费、水、电、暖、物业管理等运行维护费、公务用车运行维护费以及其他费用。</w:t>
      </w:r>
    </w:p>
    <w:p>
      <w:pPr>
        <w:snapToGrid w:val="0"/>
        <w:spacing w:line="560" w:lineRule="exact"/>
        <w:ind w:firstLine="643" w:firstLineChars="200"/>
        <w:rPr>
          <w:rFonts w:hint="eastAsia" w:ascii="仿宋_GB2312" w:hAnsi="仿宋" w:eastAsia="仿宋_GB2312" w:cs="仿宋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  <w:highlight w:val="none"/>
        </w:rPr>
        <w:t>（</w:t>
      </w:r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  <w:highlight w:val="none"/>
          <w:lang w:eastAsia="zh-CN"/>
        </w:rPr>
        <w:t>二</w:t>
      </w:r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  <w:highlight w:val="none"/>
        </w:rPr>
        <w:t>）政府采购</w:t>
      </w:r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  <w:highlight w:val="none"/>
          <w:lang w:eastAsia="zh-CN"/>
        </w:rPr>
        <w:t>支出</w:t>
      </w:r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  <w:highlight w:val="none"/>
        </w:rPr>
        <w:t>情况</w:t>
      </w:r>
    </w:p>
    <w:p>
      <w:pPr>
        <w:ind w:firstLine="640" w:firstLineChars="200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年，政府采购预算安排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万元，其中：政府采购货物预算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万元、政府采购工程预算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万元、政府采购服务预算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 。</w:t>
      </w:r>
    </w:p>
    <w:p>
      <w:pPr>
        <w:numPr>
          <w:ilvl w:val="0"/>
          <w:numId w:val="0"/>
        </w:numPr>
        <w:snapToGrid w:val="0"/>
        <w:spacing w:line="560" w:lineRule="exact"/>
        <w:ind w:firstLine="643" w:firstLineChars="200"/>
        <w:rPr>
          <w:rFonts w:hint="eastAsia" w:ascii="宋体" w:hAnsi="宋体" w:eastAsia="宋体" w:cs="宋体"/>
          <w:b/>
          <w:bCs w:val="0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  <w:highlight w:val="none"/>
        </w:rPr>
        <w:t>（</w:t>
      </w:r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  <w:highlight w:val="none"/>
          <w:lang w:eastAsia="zh-CN"/>
        </w:rPr>
        <w:t>三</w:t>
      </w:r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  <w:highlight w:val="none"/>
        </w:rPr>
        <w:t>）</w:t>
      </w:r>
      <w:r>
        <w:rPr>
          <w:rFonts w:hint="eastAsia" w:ascii="宋体" w:hAnsi="宋体" w:eastAsia="宋体" w:cs="宋体"/>
          <w:b/>
          <w:bCs w:val="0"/>
          <w:sz w:val="32"/>
          <w:szCs w:val="32"/>
          <w:highlight w:val="none"/>
        </w:rPr>
        <w:t>绩效目标设置情况</w:t>
      </w:r>
    </w:p>
    <w:p>
      <w:pPr>
        <w:widowControl w:val="0"/>
        <w:wordWrap/>
        <w:adjustRightInd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年，我单位按要求编制了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6个</w:t>
      </w:r>
      <w:r>
        <w:rPr>
          <w:rFonts w:hint="eastAsia" w:ascii="仿宋_GB2312" w:hAnsi="仿宋_GB2312" w:eastAsia="仿宋_GB2312" w:cs="仿宋_GB2312"/>
          <w:sz w:val="32"/>
          <w:szCs w:val="32"/>
        </w:rPr>
        <w:t>绩效目标，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分别是环保局污染物处置三方监测项目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100万元、平安大道及东环路汽车尾气遥感监测项目48.77万元、环境攻坚办公经费50万元、卫东区大气污染防治第三方管理项目128万元、无人机环境监测服务费60万元、卫东区大气污染防治第三方服务260万元。</w:t>
      </w:r>
      <w:r>
        <w:rPr>
          <w:rFonts w:hint="eastAsia" w:ascii="仿宋_GB2312" w:hAnsi="仿宋_GB2312" w:eastAsia="仿宋_GB2312" w:cs="仿宋_GB2312"/>
          <w:sz w:val="32"/>
          <w:szCs w:val="32"/>
        </w:rPr>
        <w:t>从项目产出、项目效益、满意度等方面设置了绩效指标，综合反映项目预期完成的数量、实效、质量，预期达到的社会经济效益、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可持</w:t>
      </w:r>
      <w:r>
        <w:rPr>
          <w:rFonts w:hint="eastAsia" w:ascii="仿宋_GB2312" w:hAnsi="仿宋_GB2312" w:eastAsia="仿宋_GB2312" w:cs="仿宋_GB2312"/>
          <w:sz w:val="32"/>
          <w:szCs w:val="32"/>
        </w:rPr>
        <w:t>续影响以及服务对象满意度等情况。</w:t>
      </w:r>
    </w:p>
    <w:p>
      <w:pPr>
        <w:numPr>
          <w:ilvl w:val="0"/>
          <w:numId w:val="0"/>
        </w:numPr>
        <w:snapToGrid w:val="0"/>
        <w:spacing w:line="560" w:lineRule="exact"/>
        <w:ind w:firstLine="643" w:firstLineChars="200"/>
        <w:rPr>
          <w:rFonts w:hint="eastAsia" w:ascii="宋体" w:hAnsi="宋体" w:eastAsia="宋体" w:cs="宋体"/>
          <w:b/>
          <w:bCs w:val="0"/>
          <w:kern w:val="0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  <w:highlight w:val="none"/>
          <w:lang w:eastAsia="zh-CN"/>
        </w:rPr>
        <w:t>（四）国有资产占用情况</w:t>
      </w:r>
    </w:p>
    <w:p>
      <w:pPr>
        <w:widowControl w:val="0"/>
        <w:wordWrap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202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年期末，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我单位共有车辆3辆，其中：</w:t>
      </w:r>
      <w:r>
        <w:rPr>
          <w:rFonts w:hint="eastAsia" w:ascii="仿宋_GB2312" w:hAnsi="仿宋_GB2312" w:eastAsia="仿宋_GB2312" w:cs="仿宋_GB2312"/>
          <w:sz w:val="32"/>
          <w:szCs w:val="32"/>
        </w:rPr>
        <w:t>其中：一般公务用车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辆,一般执法执勤用车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辆、特种专业技术用车0辆，其他用车0辆；单价50万元以上通用设备0套，单位价值100万元以上专用设备0套。</w:t>
      </w:r>
    </w:p>
    <w:p>
      <w:pPr>
        <w:numPr>
          <w:ilvl w:val="0"/>
          <w:numId w:val="0"/>
        </w:numPr>
        <w:snapToGrid w:val="0"/>
        <w:spacing w:line="560" w:lineRule="exact"/>
        <w:ind w:firstLine="643" w:firstLineChars="200"/>
        <w:rPr>
          <w:rFonts w:hint="eastAsia" w:ascii="宋体" w:hAnsi="宋体" w:eastAsia="宋体" w:cs="宋体"/>
          <w:b/>
          <w:bCs w:val="0"/>
          <w:kern w:val="0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  <w:highlight w:val="none"/>
          <w:lang w:eastAsia="zh-CN"/>
        </w:rPr>
        <w:t>（五）专项转移支付项目情况</w:t>
      </w:r>
    </w:p>
    <w:p>
      <w:pPr>
        <w:ind w:firstLine="640" w:firstLineChars="200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我单位202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年无专项转移支付项目。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</w:p>
    <w:p>
      <w:pPr>
        <w:ind w:firstLine="643" w:firstLineChars="200"/>
        <w:jc w:val="center"/>
        <w:rPr>
          <w:rFonts w:hint="eastAsia" w:ascii="宋体" w:hAnsi="宋体" w:cs="宋体"/>
          <w:b/>
          <w:bCs/>
          <w:kern w:val="0"/>
          <w:sz w:val="32"/>
          <w:szCs w:val="32"/>
        </w:rPr>
      </w:pPr>
    </w:p>
    <w:p>
      <w:pPr>
        <w:ind w:firstLine="643" w:firstLineChars="200"/>
        <w:jc w:val="center"/>
        <w:rPr>
          <w:rFonts w:hint="eastAsia" w:ascii="宋体" w:hAnsi="宋体" w:cs="宋体"/>
          <w:b/>
          <w:bCs/>
          <w:kern w:val="0"/>
          <w:sz w:val="32"/>
          <w:szCs w:val="32"/>
        </w:rPr>
      </w:pPr>
    </w:p>
    <w:p>
      <w:pPr>
        <w:ind w:firstLine="643" w:firstLineChars="200"/>
        <w:jc w:val="center"/>
        <w:rPr>
          <w:rFonts w:hint="eastAsia" w:ascii="宋体" w:hAnsi="宋体" w:cs="宋体"/>
          <w:b/>
          <w:bCs/>
          <w:kern w:val="0"/>
          <w:sz w:val="32"/>
          <w:szCs w:val="32"/>
        </w:rPr>
      </w:pPr>
    </w:p>
    <w:p>
      <w:pPr>
        <w:ind w:firstLine="643" w:firstLineChars="200"/>
        <w:jc w:val="center"/>
        <w:rPr>
          <w:rFonts w:hint="eastAsia" w:ascii="宋体" w:hAnsi="宋体" w:cs="宋体"/>
          <w:b/>
          <w:bCs/>
          <w:kern w:val="0"/>
          <w:sz w:val="32"/>
          <w:szCs w:val="32"/>
        </w:rPr>
      </w:pPr>
    </w:p>
    <w:p>
      <w:pPr>
        <w:ind w:firstLine="643" w:firstLineChars="200"/>
        <w:jc w:val="center"/>
        <w:rPr>
          <w:rFonts w:hint="eastAsia" w:ascii="宋体" w:hAnsi="宋体" w:cs="宋体"/>
          <w:b/>
          <w:bCs/>
          <w:kern w:val="0"/>
          <w:sz w:val="32"/>
          <w:szCs w:val="32"/>
        </w:rPr>
      </w:pPr>
    </w:p>
    <w:p>
      <w:pPr>
        <w:ind w:firstLine="643" w:firstLineChars="200"/>
        <w:jc w:val="center"/>
        <w:rPr>
          <w:rFonts w:hint="eastAsia" w:ascii="宋体" w:hAnsi="宋体" w:cs="宋体"/>
          <w:b/>
          <w:bCs/>
          <w:kern w:val="0"/>
          <w:sz w:val="32"/>
          <w:szCs w:val="32"/>
        </w:rPr>
      </w:pPr>
    </w:p>
    <w:p>
      <w:pPr>
        <w:ind w:firstLine="643" w:firstLineChars="200"/>
        <w:jc w:val="center"/>
        <w:rPr>
          <w:rFonts w:hint="eastAsia" w:ascii="宋体" w:hAnsi="宋体" w:cs="宋体"/>
          <w:b/>
          <w:bCs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kern w:val="0"/>
          <w:sz w:val="32"/>
          <w:szCs w:val="32"/>
        </w:rPr>
        <w:t>第三部分</w:t>
      </w:r>
    </w:p>
    <w:p>
      <w:pPr>
        <w:ind w:firstLine="3855" w:firstLineChars="1200"/>
        <w:jc w:val="both"/>
        <w:rPr>
          <w:rFonts w:hint="eastAsia" w:ascii="宋体" w:hAnsi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</w:rPr>
        <w:t>名词解释</w:t>
      </w:r>
    </w:p>
    <w:p>
      <w:pPr>
        <w:ind w:firstLine="640" w:firstLineChars="200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一、财政拨款收入：是指省级财政当年拨付的资金。</w:t>
      </w:r>
    </w:p>
    <w:p>
      <w:pPr>
        <w:ind w:firstLine="640" w:firstLineChars="200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二、事业收入：是指事业单位开展专业活动及辅助活动所取得的收入。</w:t>
      </w:r>
    </w:p>
    <w:p>
      <w:pPr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三、其他收入：是指部门取得的除“财政拨款”、“事业收入”、“事业单位经营收入”等以外的收入。</w:t>
      </w:r>
    </w:p>
    <w:p>
      <w:pPr>
        <w:ind w:firstLine="640" w:firstLineChars="200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四、用事业基金弥补收支差额：是指事业单位在当年的“财政拨款收入”、“事业收入”、“经营收入”和“其他收入”不足以安排当年支出的情况下，使用以前年度积累的事业基金(即事业单位以前各年度收支相抵后，按国家规定提取、用于弥补以后年度收支差额的基金)弥补当年收支缺口的资金。</w:t>
      </w:r>
    </w:p>
    <w:p>
      <w:pPr>
        <w:ind w:firstLine="640" w:firstLineChars="200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五、基本支出：是指为保障机构正常运转、完成日常工作任务所必需的开支，其内容包括人员经费和日常公用经费两部分。</w:t>
      </w:r>
    </w:p>
    <w:p>
      <w:pPr>
        <w:ind w:firstLine="640" w:firstLineChars="200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六、项目支出：是指在基本支出之外，为完成特定的行政工作任务或事业发展目标所发生的支出。</w:t>
      </w:r>
    </w:p>
    <w:p>
      <w:pPr>
        <w:ind w:firstLine="640" w:firstLineChars="200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七、“三公”经费：是指纳入省级财政预算管理，部门使用财政拨款安排的因公出国(境)费、公务用车购置及运行费和公务接待费。其中，因公出国(境)费反映单位公务出国(境)的住宿费、旅费、伙食补助费、杂费、培训费等支出；公务用车购置及运行费反映单位公务用车购置费及租用费、燃料费、维修费、过路过桥费、保险费、安全奖励费用等支出；公务接待费反映单位按规定开支的各类公务接待(含外宾接待)支出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八、机关运行经费：是指为保障行政单位(含参照公务员法管理的事业单位)运行用于购买货物和服务的各项资金，包括办公及印刷费、邮电费、差旅费、会议费、福利费、日常维修费及一般设备购置费、办公用房水电费、办公用房取暖费、办公用房物业管理费、公务用车运行维护费以及其他费用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</w:p>
    <w:p>
      <w:pPr>
        <w:rPr>
          <w:rFonts w:hint="eastAsia" w:ascii="宋体" w:hAnsi="宋体" w:eastAsia="宋体" w:cs="宋体"/>
          <w:b/>
          <w:bCs w:val="0"/>
          <w:kern w:val="0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  <w:highlight w:val="none"/>
          <w:lang w:eastAsia="zh-CN"/>
        </w:rPr>
        <w:t>附件：</w:t>
      </w:r>
    </w:p>
    <w:p>
      <w:pPr>
        <w:ind w:firstLine="1285" w:firstLineChars="400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平</w:t>
      </w:r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</w:rPr>
        <w:t>顶山市卫东区</w:t>
      </w:r>
      <w:r>
        <w:rPr>
          <w:rFonts w:hint="eastAsia" w:ascii="宋体" w:hAnsi="宋体" w:cs="宋体"/>
          <w:b/>
          <w:bCs w:val="0"/>
          <w:kern w:val="0"/>
          <w:sz w:val="32"/>
          <w:szCs w:val="32"/>
          <w:lang w:eastAsia="zh-CN"/>
        </w:rPr>
        <w:t>环境保护局</w:t>
      </w:r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  <w:highlight w:val="none"/>
          <w:lang w:val="en-US" w:eastAsia="zh-CN"/>
        </w:rPr>
        <w:t>202</w:t>
      </w:r>
      <w:r>
        <w:rPr>
          <w:rFonts w:hint="eastAsia" w:ascii="宋体" w:hAnsi="宋体" w:cs="宋体"/>
          <w:b/>
          <w:bCs w:val="0"/>
          <w:kern w:val="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  <w:highlight w:val="none"/>
          <w:lang w:val="en-US" w:eastAsia="zh-CN"/>
        </w:rPr>
        <w:t>年部门预算表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xQGZR60BAABK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/s8d6cPscakh4Bpabj2Q84c/RGdWfSgwOYvyiEY&#10;xz4fzr2VQyIiP1oulssKQwJj0wVx2MvzADHdSW9JNhoKOLzSU77/HNMpdUrJ1Zy/1cagn9fG/eVA&#10;zOxhmfuJY7bSsBlG4hvfHlBPj3NvqMPFpMTcO2xrXpHJgMnYTMYugN52ZYdyvRiudglJFG65wgl2&#10;LIwDK+rG5cob8fpesl5+gfUz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zql5uc8AAAAFAQAADwAA&#10;AAAAAAABACAAAAAiAAAAZHJzL2Rvd25yZXYueG1sUEsBAhQAFAAAAAgAh07iQMUBmUetAQAASgMA&#10;AA4AAAAAAAAAAQAgAAAAHgEAAGRycy9lMm9Eb2MueG1sUEsFBgAAAAAGAAYAWQEAAD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4MWFiMTMyODAzN2M4MWI3OWE2YTJlNDM3M2JhZDgifQ=="/>
  </w:docVars>
  <w:rsids>
    <w:rsidRoot w:val="00000000"/>
    <w:rsid w:val="19334368"/>
    <w:rsid w:val="1DE23DCE"/>
    <w:rsid w:val="25107596"/>
    <w:rsid w:val="26123C2B"/>
    <w:rsid w:val="3EF27FEF"/>
    <w:rsid w:val="40F43BF7"/>
    <w:rsid w:val="47DE4DD1"/>
    <w:rsid w:val="584A1C79"/>
    <w:rsid w:val="60A00B94"/>
    <w:rsid w:val="62173A24"/>
    <w:rsid w:val="66837883"/>
    <w:rsid w:val="68D02AE0"/>
    <w:rsid w:val="7B733F5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qFormat/>
    <w:uiPriority w:val="0"/>
    <w:rPr>
      <w:rFonts w:cs="Times New Roman"/>
      <w:b/>
      <w:bCs/>
    </w:rPr>
  </w:style>
  <w:style w:type="character" w:customStyle="1" w:styleId="7">
    <w:name w:val="页脚 Char"/>
    <w:link w:val="2"/>
    <w:semiHidden/>
    <w:qFormat/>
    <w:uiPriority w:val="0"/>
    <w:rPr>
      <w:sz w:val="18"/>
      <w:szCs w:val="18"/>
    </w:rPr>
  </w:style>
  <w:style w:type="character" w:customStyle="1" w:styleId="8">
    <w:name w:val="页眉 Char"/>
    <w:link w:val="3"/>
    <w:semiHidden/>
    <w:qFormat/>
    <w:uiPriority w:val="0"/>
    <w:rPr>
      <w:sz w:val="18"/>
      <w:szCs w:val="18"/>
    </w:rPr>
  </w:style>
  <w:style w:type="paragraph" w:customStyle="1" w:styleId="9">
    <w:name w:val="普通(网站)1"/>
    <w:basedOn w:val="1"/>
    <w:qFormat/>
    <w:uiPriority w:val="0"/>
    <w:pPr>
      <w:widowControl/>
      <w:spacing w:beforeAutospacing="1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0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China</Company>
  <Pages>10</Pages>
  <Words>3878</Words>
  <Characters>4138</Characters>
  <Lines>26</Lines>
  <Paragraphs>7</Paragraphs>
  <TotalTime>4</TotalTime>
  <ScaleCrop>false</ScaleCrop>
  <LinksUpToDate>false</LinksUpToDate>
  <CharactersWithSpaces>4227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2018-05-13T09:51:00Z</dcterms:created>
  <dc:creator>Administrator</dc:creator>
  <cp:lastModifiedBy>Administrator</cp:lastModifiedBy>
  <dcterms:modified xsi:type="dcterms:W3CDTF">2022-06-28T09:18:26Z</dcterms:modified>
  <dc:title>爱喝酸奶的奥利奥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1949F85CFE5D4A27AD0522F5044CDE5C</vt:lpwstr>
  </property>
</Properties>
</file>