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color w:val="000000"/>
          <w:sz w:val="11"/>
          <w:szCs w:val="11"/>
        </w:rPr>
      </w:pPr>
      <w:r>
        <w:rPr>
          <w:rFonts w:hAnsi="宋体" w:cs="宋体"/>
          <w:sz w:val="11"/>
          <w:szCs w:val="11"/>
        </w:rPr>
        <w:t xml:space="preserve"> </w:t>
      </w:r>
      <w:r>
        <w:rPr>
          <w:rFonts w:hint="eastAsia" w:ascii="仿宋_GB2312" w:hAnsi="仿宋_GB2312" w:eastAsia="仿宋_GB2312" w:cs="仿宋_GB2312"/>
          <w:sz w:val="11"/>
          <w:szCs w:val="11"/>
        </w:rPr>
        <w:t xml:space="preserve">     </w:t>
      </w:r>
      <w:r>
        <w:rPr>
          <w:rFonts w:hAnsi="宋体" w:cs="宋体"/>
          <w:sz w:val="11"/>
          <w:szCs w:val="11"/>
        </w:rPr>
        <w:t xml:space="preserve"> </w:t>
      </w:r>
      <w:r>
        <w:rPr>
          <w:rFonts w:hint="eastAsia" w:ascii="仿宋_GB2312" w:hAnsi="仿宋_GB2312" w:eastAsia="仿宋_GB2312" w:cs="仿宋_GB2312"/>
          <w:sz w:val="11"/>
          <w:szCs w:val="11"/>
        </w:rPr>
        <w:t xml:space="preserve">             </w:t>
      </w:r>
      <w:r>
        <w:rPr>
          <w:rFonts w:ascii="Times New Roman" w:hAnsi="Times New Roman" w:eastAsia="仿宋_GB2312"/>
          <w:color w:val="000000"/>
          <w:sz w:val="11"/>
          <w:szCs w:val="11"/>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2625" w:leftChars="1250" w:firstLine="110" w:firstLineChars="100"/>
        <w:jc w:val="right"/>
        <w:textAlignment w:val="auto"/>
        <w:rPr>
          <w:rFonts w:ascii="Times New Roman" w:hAnsi="Times New Roman" w:eastAsia="仿宋_GB2312"/>
          <w:color w:val="000000"/>
          <w:sz w:val="11"/>
          <w:szCs w:val="11"/>
        </w:rPr>
      </w:pPr>
    </w:p>
    <w:p>
      <w:pPr>
        <w:keepNext w:val="0"/>
        <w:keepLines w:val="0"/>
        <w:pageBreakBefore w:val="0"/>
        <w:widowControl w:val="0"/>
        <w:kinsoku/>
        <w:wordWrap/>
        <w:overflowPunct/>
        <w:topLinePunct w:val="0"/>
        <w:autoSpaceDE/>
        <w:autoSpaceDN/>
        <w:bidi w:val="0"/>
        <w:adjustRightInd/>
        <w:snapToGrid/>
        <w:spacing w:line="360" w:lineRule="exact"/>
        <w:ind w:left="2625" w:leftChars="1250" w:firstLine="110" w:firstLineChars="100"/>
        <w:jc w:val="right"/>
        <w:textAlignment w:val="auto"/>
        <w:rPr>
          <w:rFonts w:ascii="Times New Roman" w:hAnsi="Times New Roman" w:eastAsia="仿宋_GB2312"/>
          <w:color w:val="000000"/>
          <w:sz w:val="11"/>
          <w:szCs w:val="11"/>
        </w:rPr>
      </w:pPr>
    </w:p>
    <w:p>
      <w:pPr>
        <w:keepNext w:val="0"/>
        <w:keepLines w:val="0"/>
        <w:pageBreakBefore w:val="0"/>
        <w:widowControl w:val="0"/>
        <w:kinsoku/>
        <w:wordWrap/>
        <w:overflowPunct/>
        <w:topLinePunct w:val="0"/>
        <w:autoSpaceDE/>
        <w:autoSpaceDN/>
        <w:bidi w:val="0"/>
        <w:adjustRightInd/>
        <w:snapToGrid/>
        <w:spacing w:line="360" w:lineRule="exact"/>
        <w:ind w:left="2625" w:leftChars="1250" w:firstLine="110" w:firstLineChars="100"/>
        <w:jc w:val="right"/>
        <w:textAlignment w:val="auto"/>
        <w:rPr>
          <w:rFonts w:ascii="Times New Roman" w:hAnsi="Times New Roman" w:eastAsia="仿宋_GB2312"/>
          <w:color w:val="000000"/>
          <w:sz w:val="11"/>
          <w:szCs w:val="11"/>
        </w:rPr>
      </w:pPr>
      <w:bookmarkStart w:id="0" w:name="_GoBack"/>
      <w:bookmarkEnd w:id="0"/>
      <w:r>
        <w:rPr>
          <w:rFonts w:ascii="Times New Roman" w:hAnsi="Times New Roman" w:eastAsia="仿宋_GB2312"/>
          <w:color w:val="000000"/>
          <w:sz w:val="11"/>
          <w:szCs w:val="11"/>
        </w:rPr>
        <w:t xml:space="preserve"> </w:t>
      </w:r>
    </w:p>
    <w:p>
      <w:pPr>
        <w:spacing w:line="400" w:lineRule="exact"/>
        <w:jc w:val="both"/>
        <w:rPr>
          <w:rFonts w:ascii="Times New Roman" w:hAnsi="Times New Roman" w:eastAsia="仿宋_GB2312"/>
          <w:color w:val="000000"/>
          <w:sz w:val="28"/>
          <w:szCs w:val="28"/>
        </w:rPr>
      </w:pPr>
    </w:p>
    <w:p>
      <w:pPr>
        <w:jc w:val="right"/>
        <w:rPr>
          <w:rFonts w:hint="eastAsia" w:ascii="宋体" w:hAnsi="宋体" w:eastAsia="宋体" w:cs="宋体"/>
          <w:b/>
          <w:bCs/>
          <w:sz w:val="36"/>
          <w:szCs w:val="36"/>
        </w:rPr>
      </w:pPr>
      <w:r>
        <w:rPr>
          <w:rFonts w:hint="eastAsia" w:ascii="仿宋_GB2312" w:hAnsi="仿宋_GB2312" w:eastAsia="仿宋_GB2312" w:cs="仿宋_GB2312"/>
          <w:sz w:val="32"/>
          <w:szCs w:val="32"/>
        </w:rPr>
        <w:t xml:space="preserve"> 平卫环</w:t>
      </w:r>
      <w:r>
        <w:rPr>
          <w:rFonts w:hint="eastAsia" w:ascii="仿宋_GB2312" w:hAnsi="仿宋_GB2312" w:eastAsia="仿宋_GB2312" w:cs="仿宋_GB2312"/>
          <w:sz w:val="32"/>
          <w:szCs w:val="32"/>
          <w:lang w:val="en-US" w:eastAsia="zh-CN"/>
        </w:rPr>
        <w:t>报[2022]</w:t>
      </w:r>
      <w:r>
        <w:rPr>
          <w:rFonts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号</w:t>
      </w:r>
    </w:p>
    <w:p>
      <w:pPr>
        <w:jc w:val="center"/>
        <w:rPr>
          <w:rFonts w:hint="eastAsia"/>
          <w:b/>
          <w:bCs/>
          <w:sz w:val="44"/>
          <w:szCs w:val="44"/>
          <w:lang w:eastAsia="zh-CN"/>
        </w:rPr>
      </w:pPr>
      <w:r>
        <w:rPr>
          <w:rFonts w:hint="eastAsia"/>
          <w:b/>
          <w:bCs/>
          <w:sz w:val="44"/>
          <w:szCs w:val="44"/>
        </w:rPr>
        <w:t>关于</w:t>
      </w:r>
      <w:r>
        <w:rPr>
          <w:rFonts w:hint="eastAsia"/>
          <w:b/>
          <w:bCs/>
          <w:sz w:val="44"/>
          <w:szCs w:val="44"/>
          <w:lang w:eastAsia="zh-CN"/>
        </w:rPr>
        <w:t>平顶山市圣源昊商贸有限公司北货场低热值燃料综合利用扩建生产线项目</w:t>
      </w:r>
    </w:p>
    <w:p>
      <w:pPr>
        <w:jc w:val="center"/>
        <w:rPr>
          <w:rFonts w:hint="eastAsia"/>
          <w:b/>
          <w:bCs/>
          <w:sz w:val="44"/>
          <w:szCs w:val="44"/>
        </w:rPr>
      </w:pPr>
      <w:r>
        <w:rPr>
          <w:rFonts w:hint="eastAsia"/>
          <w:b/>
          <w:bCs/>
          <w:sz w:val="44"/>
          <w:szCs w:val="44"/>
        </w:rPr>
        <w:t>环境影响报告表的批复</w:t>
      </w:r>
    </w:p>
    <w:p>
      <w:pPr>
        <w:pStyle w:val="4"/>
        <w:keepNext w:val="0"/>
        <w:keepLines w:val="0"/>
        <w:pageBreakBefore w:val="0"/>
        <w:widowControl w:val="0"/>
        <w:kinsoku/>
        <w:wordWrap/>
        <w:overflowPunct/>
        <w:topLinePunct w:val="0"/>
        <w:autoSpaceDE/>
        <w:autoSpaceDN/>
        <w:bidi w:val="0"/>
        <w:spacing w:before="0" w:beforeAutospacing="0" w:after="0" w:afterAutospacing="0" w:line="590" w:lineRule="exact"/>
        <w:ind w:firstLine="0" w:firstLineChars="0"/>
        <w:jc w:val="center"/>
        <w:textAlignment w:val="auto"/>
        <w:outlineLvl w:val="9"/>
        <w:rPr>
          <w:rFonts w:hint="eastAsia" w:ascii="宋体" w:hAnsi="宋体" w:eastAsia="宋体" w:cs="宋体"/>
          <w:b/>
          <w:bCs/>
          <w:sz w:val="36"/>
          <w:szCs w:val="36"/>
        </w:rPr>
      </w:pPr>
    </w:p>
    <w:p>
      <w:pPr>
        <w:pStyle w:val="3"/>
        <w:keepNext w:val="0"/>
        <w:keepLines w:val="0"/>
        <w:pageBreakBefore w:val="0"/>
        <w:widowControl w:val="0"/>
        <w:tabs>
          <w:tab w:val="left" w:pos="7938"/>
        </w:tabs>
        <w:kinsoku/>
        <w:wordWrap/>
        <w:overflowPunct/>
        <w:topLinePunct w:val="0"/>
        <w:autoSpaceDE/>
        <w:autoSpaceDN/>
        <w:bidi w:val="0"/>
        <w:adjustRightInd w:val="0"/>
        <w:snapToGrid w:val="0"/>
        <w:spacing w:after="0" w:line="64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平顶山市圣源昊商贸有限公司</w:t>
      </w:r>
      <w:r>
        <w:rPr>
          <w:rFonts w:hint="eastAsia" w:ascii="仿宋_GB2312" w:hAnsi="仿宋_GB2312" w:eastAsia="仿宋_GB2312" w:cs="仿宋_GB2312"/>
          <w:sz w:val="32"/>
          <w:szCs w:val="32"/>
          <w:lang w:val="en-US" w:eastAsia="zh-CN"/>
        </w:rPr>
        <w:t>：</w:t>
      </w:r>
    </w:p>
    <w:p>
      <w:pPr>
        <w:pStyle w:val="3"/>
        <w:keepNext w:val="0"/>
        <w:keepLines w:val="0"/>
        <w:pageBreakBefore w:val="0"/>
        <w:widowControl w:val="0"/>
        <w:tabs>
          <w:tab w:val="left" w:pos="7938"/>
        </w:tabs>
        <w:kinsoku/>
        <w:wordWrap/>
        <w:overflowPunct/>
        <w:topLinePunct w:val="0"/>
        <w:autoSpaceDE/>
        <w:autoSpaceDN/>
        <w:bidi w:val="0"/>
        <w:adjustRightInd w:val="0"/>
        <w:snapToGrid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你公司（统一社会信用代码：914104037390595292）关于《平</w:t>
      </w:r>
      <w:r>
        <w:rPr>
          <w:rFonts w:hint="eastAsia" w:ascii="仿宋_GB2312" w:hAnsi="仿宋_GB2312" w:eastAsia="仿宋_GB2312" w:cs="仿宋_GB2312"/>
          <w:sz w:val="32"/>
          <w:szCs w:val="32"/>
          <w:lang w:eastAsia="zh-CN"/>
        </w:rPr>
        <w:t>顶山市圣源昊商贸有限公司北货场低热值燃料综合利用扩建生产线项目</w:t>
      </w:r>
      <w:r>
        <w:rPr>
          <w:rFonts w:hint="eastAsia" w:ascii="仿宋_GB2312" w:hAnsi="仿宋_GB2312" w:eastAsia="仿宋_GB2312" w:cs="仿宋_GB2312"/>
          <w:sz w:val="32"/>
          <w:szCs w:val="32"/>
        </w:rPr>
        <w:t>环境影响报告表</w:t>
      </w:r>
      <w:r>
        <w:rPr>
          <w:rFonts w:hint="eastAsia" w:ascii="仿宋_GB2312" w:hAnsi="仿宋_GB2312" w:eastAsia="仿宋_GB2312" w:cs="仿宋_GB2312"/>
          <w:sz w:val="32"/>
          <w:szCs w:val="32"/>
          <w:lang w:val="en-US" w:eastAsia="zh-CN"/>
        </w:rPr>
        <w:t>》的报批申请</w:t>
      </w:r>
      <w:r>
        <w:rPr>
          <w:rFonts w:hint="eastAsia" w:ascii="仿宋_GB2312" w:hAnsi="仿宋_GB2312" w:eastAsia="仿宋_GB2312" w:cs="仿宋_GB2312"/>
          <w:sz w:val="32"/>
          <w:szCs w:val="32"/>
        </w:rPr>
        <w:t>收悉。该项目审批事项在我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网站公示期满。根据《中华人民共和国环境保护法》《中华人民共和国行政许可法》《中华人民共和国环境影响评价法》《建设项目环境保护管理条例》等法律法规规定，我局原则同意你公司按照《环境影响报告表》所列项目的性质、规模、地点、采用的生产工艺和环境保护对策措施进行项目建设。</w:t>
      </w:r>
    </w:p>
    <w:p>
      <w:pPr>
        <w:pStyle w:val="3"/>
        <w:keepNext w:val="0"/>
        <w:keepLines w:val="0"/>
        <w:pageBreakBefore w:val="0"/>
        <w:widowControl w:val="0"/>
        <w:tabs>
          <w:tab w:val="left" w:pos="7938"/>
        </w:tabs>
        <w:kinsoku/>
        <w:wordWrap/>
        <w:overflowPunct/>
        <w:topLinePunct w:val="0"/>
        <w:autoSpaceDE/>
        <w:autoSpaceDN/>
        <w:bidi w:val="0"/>
        <w:adjustRightInd w:val="0"/>
        <w:snapToGrid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公司应全面落实《环境影响报告表》提出的各项环境保护措施，各项环境保护设施与主体工程同时设计、同时施工、同时投入使用，确保各项污染物达标排放，并满足总量控制要求。该批复有效期为5年，如该项目逾期方开工建设，其环境影响报告表应报我局重新审核。项目建成后，你公司应严格落实《排污许可管理条例》的相关要求，严格按照生态环境部规定的程序和要求及时申报办理排污许可证。严格落实《建设项目环境保护管理条例》建设单位自主开展环境保护验收的要求，及时进行竣工环境保护验收。</w:t>
      </w:r>
    </w:p>
    <w:p>
      <w:pPr>
        <w:pStyle w:val="3"/>
        <w:keepNext w:val="0"/>
        <w:keepLines w:val="0"/>
        <w:pageBreakBefore w:val="0"/>
        <w:widowControl w:val="0"/>
        <w:tabs>
          <w:tab w:val="left" w:pos="7938"/>
        </w:tabs>
        <w:kinsoku/>
        <w:wordWrap/>
        <w:overflowPunct/>
        <w:topLinePunct w:val="0"/>
        <w:autoSpaceDE/>
        <w:autoSpaceDN/>
        <w:bidi w:val="0"/>
        <w:adjustRightInd w:val="0"/>
        <w:snapToGrid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3"/>
        <w:keepNext w:val="0"/>
        <w:keepLines w:val="0"/>
        <w:pageBreakBefore w:val="0"/>
        <w:widowControl w:val="0"/>
        <w:tabs>
          <w:tab w:val="left" w:pos="7938"/>
        </w:tabs>
        <w:kinsoku/>
        <w:wordWrap/>
        <w:overflowPunct/>
        <w:topLinePunct w:val="0"/>
        <w:autoSpaceDE/>
        <w:autoSpaceDN/>
        <w:bidi w:val="0"/>
        <w:adjustRightInd w:val="0"/>
        <w:snapToGrid w:val="0"/>
        <w:spacing w:after="0" w:line="64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p>
    <w:p>
      <w:pPr>
        <w:pStyle w:val="3"/>
        <w:keepNext w:val="0"/>
        <w:keepLines w:val="0"/>
        <w:pageBreakBefore w:val="0"/>
        <w:widowControl w:val="0"/>
        <w:tabs>
          <w:tab w:val="left" w:pos="7938"/>
        </w:tabs>
        <w:kinsoku/>
        <w:wordWrap/>
        <w:overflowPunct/>
        <w:topLinePunct w:val="0"/>
        <w:autoSpaceDE/>
        <w:autoSpaceDN/>
        <w:bidi w:val="0"/>
        <w:adjustRightInd w:val="0"/>
        <w:snapToGrid w:val="0"/>
        <w:spacing w:after="0" w:line="64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spacing w:line="640" w:lineRule="exact"/>
        <w:ind w:left="0" w:leftChars="0" w:right="0" w:rightChars="0"/>
        <w:jc w:val="righ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6月8日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852B4B"/>
    <w:rsid w:val="005A6C42"/>
    <w:rsid w:val="04B400DB"/>
    <w:rsid w:val="06DC5A17"/>
    <w:rsid w:val="07E01965"/>
    <w:rsid w:val="0A527D5D"/>
    <w:rsid w:val="0AFF4CF6"/>
    <w:rsid w:val="0B7F6DB0"/>
    <w:rsid w:val="0C2173B8"/>
    <w:rsid w:val="13852B4B"/>
    <w:rsid w:val="14F928B5"/>
    <w:rsid w:val="152E4168"/>
    <w:rsid w:val="19784DF0"/>
    <w:rsid w:val="1ABB61F0"/>
    <w:rsid w:val="1C2209F5"/>
    <w:rsid w:val="1EEF7F2A"/>
    <w:rsid w:val="1FED30C5"/>
    <w:rsid w:val="2033406C"/>
    <w:rsid w:val="27BF482B"/>
    <w:rsid w:val="28BF6ED5"/>
    <w:rsid w:val="2D8D0D37"/>
    <w:rsid w:val="2E943056"/>
    <w:rsid w:val="2FEA0C1A"/>
    <w:rsid w:val="31035739"/>
    <w:rsid w:val="316C22DF"/>
    <w:rsid w:val="31F97D80"/>
    <w:rsid w:val="348A4CBF"/>
    <w:rsid w:val="366559E4"/>
    <w:rsid w:val="376443BF"/>
    <w:rsid w:val="38E06A35"/>
    <w:rsid w:val="3C8418EB"/>
    <w:rsid w:val="3FF94298"/>
    <w:rsid w:val="40B24F61"/>
    <w:rsid w:val="464B0C9C"/>
    <w:rsid w:val="46C74B20"/>
    <w:rsid w:val="4764199F"/>
    <w:rsid w:val="4808702B"/>
    <w:rsid w:val="4900334A"/>
    <w:rsid w:val="4AF0536D"/>
    <w:rsid w:val="4DFE7F9B"/>
    <w:rsid w:val="5C785DCE"/>
    <w:rsid w:val="5CF07506"/>
    <w:rsid w:val="60DA7232"/>
    <w:rsid w:val="63716104"/>
    <w:rsid w:val="67BB623A"/>
    <w:rsid w:val="686461EC"/>
    <w:rsid w:val="6A8D0A8A"/>
    <w:rsid w:val="6E8137BA"/>
    <w:rsid w:val="70B75D99"/>
    <w:rsid w:val="716F1475"/>
    <w:rsid w:val="719F1735"/>
    <w:rsid w:val="73813156"/>
    <w:rsid w:val="739139FC"/>
    <w:rsid w:val="75074201"/>
    <w:rsid w:val="7D3E1836"/>
    <w:rsid w:val="7FA05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9"/>
    <w:pPr>
      <w:keepNext/>
      <w:spacing w:line="440" w:lineRule="exact"/>
      <w:jc w:val="center"/>
      <w:outlineLvl w:val="0"/>
    </w:pPr>
    <w:rPr>
      <w:rFonts w:ascii="宋体" w:hAnsi="宋体"/>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rPr>
      <w:rFonts w:ascii="Times New Roman" w:hAnsi="Times New Roman"/>
      <w:szCs w:val="24"/>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506</Words>
  <Characters>533</Characters>
  <Lines>0</Lines>
  <Paragraphs>0</Paragraphs>
  <TotalTime>2</TotalTime>
  <ScaleCrop>false</ScaleCrop>
  <LinksUpToDate>false</LinksUpToDate>
  <CharactersWithSpaces>571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2020-04-28T02:56:00Z</dcterms:created>
  <dc:creator>Administrator</dc:creator>
  <cp:lastModifiedBy>口口禾斗</cp:lastModifiedBy>
  <cp:lastPrinted>2022-06-06T10:58:49Z</cp:lastPrinted>
  <dcterms:modified xsi:type="dcterms:W3CDTF">2022-06-06T10:59:17Z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6517AD4CE40A4EF69CF68488A16C6F52</vt:lpwstr>
  </property>
</Properties>
</file>