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附件6</w:t>
      </w:r>
    </w:p>
    <w:p>
      <w:pPr>
        <w:spacing w:line="580" w:lineRule="exact"/>
        <w:jc w:val="center"/>
        <w:rPr>
          <w:rFonts w:hint="eastAsia" w:ascii="仿宋_GB2312" w:hAnsi="Times New Roman" w:eastAsia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  <w:lang w:eastAsia="zh-CN"/>
        </w:rPr>
        <w:t>卫东区商务局</w:t>
      </w: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随机抽查事项清单</w:t>
      </w:r>
    </w:p>
    <w:bookmarkEnd w:id="0"/>
    <w:tbl>
      <w:tblPr>
        <w:tblStyle w:val="2"/>
        <w:tblW w:w="13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03"/>
        <w:gridCol w:w="3354"/>
        <w:gridCol w:w="1260"/>
        <w:gridCol w:w="2745"/>
        <w:gridCol w:w="1110"/>
        <w:gridCol w:w="960"/>
        <w:gridCol w:w="991"/>
        <w:gridCol w:w="761"/>
        <w:gridCol w:w="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事项  名称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抽查依据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  对象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抽查内容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 主体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  方式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抽查频次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单用途商业预付卡企业监督检查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《单用途预付卡管理办法（试行）》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单用途商业预付卡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1.三项制度的落实。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2.发卡记录和登记。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3.存管资金。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卫东区商务局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有失信行为的：100%；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无失信行为的：10%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报废汽车回收拆解企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业检查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《报废机动车回收管理办法》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报废汽车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拆解企业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1.销售行为规范情况。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2.销售市场秩序情况。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3.全国汽车流通信息管理系统备案基本信息情况。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卫东区商务局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汽车销售及相关服务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活动监督管理</w:t>
            </w:r>
          </w:p>
        </w:tc>
        <w:tc>
          <w:tcPr>
            <w:tcW w:w="3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《汽车销售管理办法》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新车销售企业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根据《报废机动车回收管理办法》对报废机动车回收企业进行监督检查。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卫东区商务局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5%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8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经办人员：                                                                                主管领导：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32A7"/>
    <w:rsid w:val="027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2022-04-19T03:19:00Z</dcterms:created>
  <dc:creator>Administrator</dc:creator>
  <cp:lastModifiedBy>Administrator</cp:lastModifiedBy>
  <dcterms:modified xsi:type="dcterms:W3CDTF">2022-04-19T08:10:25Z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3F02C2065260462B937BAC4CF5387A1E</vt:lpwstr>
  </property>
</Properties>
</file>