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olor w:val="auto"/>
          <w:sz w:val="32"/>
          <w:szCs w:val="32"/>
        </w:rPr>
      </w:pPr>
      <w:r>
        <w:rPr>
          <w:rFonts w:hint="eastAsia" w:ascii="黑体" w:hAnsi="黑体" w:eastAsia="黑体"/>
          <w:color w:val="auto"/>
          <w:sz w:val="32"/>
          <w:szCs w:val="32"/>
        </w:rPr>
        <w:t>附件7</w:t>
      </w:r>
    </w:p>
    <w:p>
      <w:pPr>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卫东区商务</w:t>
      </w:r>
      <w:r>
        <w:rPr>
          <w:rFonts w:hint="eastAsia" w:ascii="方正小标宋_GBK" w:eastAsia="方正小标宋_GBK"/>
          <w:color w:val="auto"/>
          <w:sz w:val="44"/>
          <w:szCs w:val="44"/>
        </w:rPr>
        <w:t>局行政执法岗位职责清单</w:t>
      </w:r>
    </w:p>
    <w:tbl>
      <w:tblPr>
        <w:tblStyle w:val="2"/>
        <w:tblpPr w:leftFromText="180" w:rightFromText="180" w:vertAnchor="text" w:tblpX="331" w:tblpY="262"/>
        <w:tblOverlap w:val="never"/>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780"/>
        <w:gridCol w:w="1155"/>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tcBorders>
              <w:bottom w:val="single" w:color="auto" w:sz="4" w:space="0"/>
            </w:tcBorders>
            <w:noWrap w:val="0"/>
            <w:vAlign w:val="top"/>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科室各称</w:t>
            </w:r>
          </w:p>
        </w:tc>
        <w:tc>
          <w:tcPr>
            <w:tcW w:w="3780" w:type="dxa"/>
            <w:tcBorders>
              <w:bottom w:val="single" w:color="auto" w:sz="4" w:space="0"/>
            </w:tcBorders>
            <w:noWrap w:val="0"/>
            <w:vAlign w:val="top"/>
          </w:tcPr>
          <w:p>
            <w:pPr>
              <w:spacing w:line="360" w:lineRule="exact"/>
              <w:jc w:val="center"/>
              <w:rPr>
                <w:rFonts w:hint="eastAsia" w:ascii="仿宋_GB2312" w:eastAsia="仿宋_GB2312"/>
                <w:b/>
                <w:color w:val="auto"/>
                <w:sz w:val="24"/>
              </w:rPr>
            </w:pPr>
            <w:r>
              <w:rPr>
                <w:rFonts w:hint="eastAsia" w:ascii="仿宋_GB2312" w:hAnsi="宋体" w:eastAsia="仿宋_GB2312" w:cs="宋体"/>
                <w:b/>
                <w:color w:val="auto"/>
                <w:sz w:val="24"/>
              </w:rPr>
              <w:t>科室职责</w:t>
            </w:r>
          </w:p>
        </w:tc>
        <w:tc>
          <w:tcPr>
            <w:tcW w:w="1155" w:type="dxa"/>
            <w:noWrap w:val="0"/>
            <w:vAlign w:val="top"/>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职责类别</w:t>
            </w:r>
          </w:p>
        </w:tc>
        <w:tc>
          <w:tcPr>
            <w:tcW w:w="7665" w:type="dxa"/>
            <w:noWrap w:val="0"/>
            <w:vAlign w:val="top"/>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58" w:type="dxa"/>
            <w:vMerge w:val="restart"/>
            <w:noWrap w:val="0"/>
            <w:vAlign w:val="center"/>
          </w:tcPr>
          <w:p>
            <w:pPr>
              <w:jc w:val="center"/>
              <w:rPr>
                <w:rFonts w:hint="eastAsia" w:ascii="仿宋_GB2312" w:hAnsi="宋体" w:eastAsia="仿宋_GB2312" w:cs="宋体"/>
                <w:color w:val="auto"/>
                <w:sz w:val="24"/>
                <w:lang w:eastAsia="zh-CN"/>
              </w:rPr>
            </w:pPr>
            <w:r>
              <w:rPr>
                <w:rFonts w:hint="eastAsia" w:ascii="仿宋_GB2312" w:hAnsi="宋体" w:eastAsia="仿宋_GB2312" w:cs="宋体"/>
                <w:color w:val="auto"/>
                <w:kern w:val="0"/>
                <w:sz w:val="24"/>
                <w:lang w:eastAsia="zh-CN"/>
              </w:rPr>
              <w:t>平顶山市商务稽查支队卫东区大队</w:t>
            </w:r>
          </w:p>
        </w:tc>
        <w:tc>
          <w:tcPr>
            <w:tcW w:w="3780" w:type="dxa"/>
            <w:vMerge w:val="restart"/>
            <w:noWrap w:val="0"/>
            <w:vAlign w:val="center"/>
          </w:tcPr>
          <w:p>
            <w:pPr>
              <w:rPr>
                <w:rFonts w:hint="eastAsia" w:ascii="仿宋_GB2312" w:hAnsi="宋体" w:eastAsia="仿宋_GB2312" w:cs="宋体"/>
                <w:color w:val="auto"/>
                <w:sz w:val="24"/>
              </w:rPr>
            </w:pPr>
            <w:r>
              <w:rPr>
                <w:rFonts w:hint="eastAsia" w:ascii="仿宋_GB2312" w:hAnsi="宋体" w:eastAsia="仿宋_GB2312" w:cs="宋体"/>
                <w:color w:val="auto"/>
                <w:sz w:val="24"/>
              </w:rPr>
              <w:t>负责查处二手车市场、汽车流通等商务领域有关违反法律法规规章的案件，打击扰乱市场经营秩序行为;负责查办商务领域举报投诉案件;承担法律法规赋予的其他行政执法工作。</w:t>
            </w:r>
          </w:p>
        </w:tc>
        <w:tc>
          <w:tcPr>
            <w:tcW w:w="1155" w:type="dxa"/>
            <w:vMerge w:val="restart"/>
            <w:noWrap w:val="0"/>
            <w:vAlign w:val="center"/>
          </w:tcPr>
          <w:p>
            <w:pPr>
              <w:jc w:val="center"/>
              <w:rPr>
                <w:rFonts w:hint="eastAsia" w:ascii="仿宋_GB2312" w:hAnsi="宋体" w:eastAsia="仿宋_GB2312" w:cs="宋体"/>
                <w:color w:val="auto"/>
                <w:sz w:val="24"/>
              </w:rPr>
            </w:pPr>
            <w:r>
              <w:rPr>
                <w:rFonts w:hint="eastAsia" w:ascii="仿宋_GB2312" w:hAnsi="宋体" w:eastAsia="仿宋_GB2312" w:cs="宋体"/>
                <w:color w:val="auto"/>
                <w:sz w:val="24"/>
              </w:rPr>
              <w:t>行政</w:t>
            </w:r>
          </w:p>
          <w:p>
            <w:pPr>
              <w:jc w:val="center"/>
              <w:rPr>
                <w:rFonts w:hint="eastAsia" w:ascii="仿宋_GB2312" w:hAnsi="宋体" w:eastAsia="仿宋_GB2312" w:cs="宋体"/>
                <w:color w:val="auto"/>
                <w:sz w:val="24"/>
              </w:rPr>
            </w:pPr>
            <w:r>
              <w:rPr>
                <w:rFonts w:hint="eastAsia" w:ascii="仿宋_GB2312" w:hAnsi="宋体" w:eastAsia="仿宋_GB2312" w:cs="宋体"/>
                <w:color w:val="auto"/>
                <w:sz w:val="24"/>
              </w:rPr>
              <w:t>处罚</w:t>
            </w: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lang w:bidi="ar"/>
              </w:rPr>
              <w:t>1.立案岗：检查中发现或者接到举报投诉的未办理备案登记等违法行为或有关部门移送的此类违法案件，予以审查，决定是否立案。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lang w:bidi="ar"/>
              </w:rPr>
              <w:t>2.调查岗：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lang w:bidi="ar"/>
              </w:rPr>
              <w:t>3.审查岗：对案件违法事实、证据、调查取证程序、法律适用、处罚种类和幅度、当事人陈述和申辩理由等方面进行审查，提出处理意见。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lang w:bidi="ar"/>
              </w:rPr>
              <w:t>4.告知岗：在作出行政处罚决定前，书面告知当事人拟做出处罚决定的事实、理由、依据、处罚内容，以及当事人享有的陈述权、申辩权和听证权。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lang w:bidi="ar"/>
              </w:rPr>
              <w:t>5.决定岗：</w:t>
            </w:r>
            <w:bookmarkStart w:id="0" w:name="_GoBack"/>
            <w:bookmarkEnd w:id="0"/>
            <w:r>
              <w:rPr>
                <w:rFonts w:hint="eastAsia" w:ascii="仿宋_GB2312" w:hAnsi="宋体" w:eastAsia="仿宋_GB2312" w:cs="宋体"/>
                <w:color w:val="auto"/>
                <w:kern w:val="0"/>
                <w:sz w:val="24"/>
                <w:lang w:bidi="ar"/>
              </w:rPr>
              <w:t>依据</w:t>
            </w:r>
            <w:r>
              <w:rPr>
                <w:rFonts w:hint="eastAsia" w:ascii="仿宋_GB2312" w:hAnsi="宋体" w:eastAsia="仿宋_GB2312"/>
                <w:color w:val="auto"/>
                <w:kern w:val="0"/>
                <w:sz w:val="24"/>
              </w:rPr>
              <w:t>《单用途商业预付卡管理办法》、《汽车销售管理办法》，</w:t>
            </w:r>
            <w:r>
              <w:rPr>
                <w:rFonts w:hint="eastAsia" w:ascii="仿宋_GB2312" w:hAnsi="宋体" w:eastAsia="仿宋_GB2312" w:cs="宋体"/>
                <w:color w:val="auto"/>
                <w:kern w:val="0"/>
                <w:sz w:val="24"/>
                <w:lang w:bidi="ar"/>
              </w:rPr>
              <w:t>需要给予行政处罚的，应制作《行政处罚决定书》，载明违法事实和依据、处罚依据和内容、申请行政复议或提起行政诉讼的途径和期限等内容。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kern w:val="0"/>
                <w:sz w:val="24"/>
                <w:lang w:bidi="ar"/>
              </w:rPr>
            </w:pPr>
            <w:r>
              <w:rPr>
                <w:rFonts w:hint="eastAsia" w:ascii="仿宋_GB2312" w:hAnsi="宋体" w:eastAsia="仿宋_GB2312" w:cs="宋体"/>
                <w:color w:val="auto"/>
                <w:kern w:val="0"/>
                <w:sz w:val="24"/>
                <w:lang w:bidi="ar"/>
              </w:rPr>
              <w:t>6.送达岗：行政处罚决定书应当在宣告后当场交付当事人；当事人不在场的，行政机关应当在七日内依照民事诉讼法的有关规定，将行政处罚决定书送达当事人。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158" w:type="dxa"/>
            <w:vMerge w:val="continue"/>
            <w:noWrap w:val="0"/>
            <w:vAlign w:val="top"/>
          </w:tcPr>
          <w:p>
            <w:pPr>
              <w:jc w:val="center"/>
              <w:rPr>
                <w:rFonts w:hint="eastAsia" w:ascii="仿宋_GB2312" w:hAnsi="宋体" w:eastAsia="仿宋_GB2312" w:cs="宋体"/>
                <w:color w:val="auto"/>
                <w:sz w:val="24"/>
              </w:rPr>
            </w:pPr>
          </w:p>
        </w:tc>
        <w:tc>
          <w:tcPr>
            <w:tcW w:w="3780" w:type="dxa"/>
            <w:vMerge w:val="continue"/>
            <w:noWrap w:val="0"/>
            <w:vAlign w:val="top"/>
          </w:tcPr>
          <w:p>
            <w:pPr>
              <w:jc w:val="center"/>
              <w:rPr>
                <w:rFonts w:hint="eastAsia" w:ascii="仿宋_GB2312" w:hAnsi="宋体" w:eastAsia="仿宋_GB2312" w:cs="宋体"/>
                <w:color w:val="auto"/>
                <w:sz w:val="24"/>
              </w:rPr>
            </w:pPr>
          </w:p>
        </w:tc>
        <w:tc>
          <w:tcPr>
            <w:tcW w:w="1155" w:type="dxa"/>
            <w:vMerge w:val="continue"/>
            <w:noWrap w:val="0"/>
            <w:vAlign w:val="top"/>
          </w:tcPr>
          <w:p>
            <w:pPr>
              <w:jc w:val="center"/>
              <w:rPr>
                <w:rFonts w:hint="eastAsia" w:ascii="仿宋_GB2312" w:hAnsi="宋体" w:eastAsia="仿宋_GB2312" w:cs="宋体"/>
                <w:color w:val="auto"/>
                <w:sz w:val="24"/>
              </w:rPr>
            </w:pPr>
          </w:p>
        </w:tc>
        <w:tc>
          <w:tcPr>
            <w:tcW w:w="7665" w:type="dxa"/>
            <w:noWrap w:val="0"/>
            <w:vAlign w:val="center"/>
          </w:tcPr>
          <w:p>
            <w:pPr>
              <w:widowControl/>
              <w:spacing w:line="360" w:lineRule="exact"/>
              <w:jc w:val="left"/>
              <w:textAlignment w:val="center"/>
              <w:rPr>
                <w:rFonts w:hint="eastAsia" w:ascii="仿宋_GB2312" w:hAnsi="宋体" w:eastAsia="仿宋_GB2312" w:cs="宋体"/>
                <w:color w:val="auto"/>
                <w:kern w:val="0"/>
                <w:sz w:val="24"/>
                <w:lang w:bidi="ar"/>
              </w:rPr>
            </w:pPr>
            <w:r>
              <w:rPr>
                <w:rFonts w:hint="eastAsia" w:ascii="仿宋_GB2312" w:hAnsi="宋体" w:eastAsia="仿宋_GB2312" w:cs="宋体"/>
                <w:color w:val="auto"/>
                <w:kern w:val="0"/>
                <w:sz w:val="24"/>
                <w:lang w:bidi="ar"/>
              </w:rPr>
              <w:t>7.执行岗：监督当事人在决定的期限内（15日内）履行生效的行政处罚决定。当事人在法定期限内没有申请行政复议或提起行政诉讼，又经催告后仍不履行的，可申请人民法院强制执行。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B0EF5"/>
    <w:rsid w:val="13AB0EF5"/>
    <w:rsid w:val="7A92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696</Words>
  <Characters>704</Characters>
  <Lines>0</Lines>
  <Paragraphs>0</Paragraphs>
  <TotalTime>160</TotalTime>
  <ScaleCrop>false</ScaleCrop>
  <LinksUpToDate>false</LinksUpToDate>
  <CharactersWithSpaces>704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2022-04-19T08:11:00Z</dcterms:created>
  <dc:creator>Administrator</dc:creator>
  <cp:lastModifiedBy>Administrator</cp:lastModifiedBy>
  <dcterms:modified xsi:type="dcterms:W3CDTF">2022-04-20T01:13:14Z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0FB6198F9129402A936E6319D57C869B</vt:lpwstr>
  </property>
</Properties>
</file>