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80" w:lineRule="exact"/>
        <w:jc w:val="center"/>
        <w:textAlignment w:val="auto"/>
        <w:outlineLvl w:val="9"/>
        <w:rPr>
          <w:rFonts w:ascii="宋体" w:hAnsi="宋体" w:cs="宋体"/>
          <w:b/>
          <w:bCs/>
          <w:sz w:val="44"/>
          <w:szCs w:val="44"/>
        </w:rPr>
      </w:pPr>
      <w:r>
        <w:rPr>
          <w:rFonts w:hint="eastAsia" w:ascii="宋体" w:hAnsi="宋体" w:cs="宋体"/>
          <w:b/>
          <w:bCs/>
          <w:sz w:val="44"/>
          <w:szCs w:val="44"/>
          <w:lang w:eastAsia="zh-CN"/>
        </w:rPr>
        <w:t>2022年</w:t>
      </w:r>
      <w:r>
        <w:rPr>
          <w:rFonts w:hint="eastAsia" w:ascii="宋体" w:hAnsi="宋体" w:cs="宋体"/>
          <w:b/>
          <w:bCs/>
          <w:sz w:val="44"/>
          <w:szCs w:val="44"/>
        </w:rPr>
        <w:t>平顶山市卫东区应急管理局</w:t>
      </w:r>
    </w:p>
    <w:p>
      <w:pPr>
        <w:keepNext w:val="0"/>
        <w:keepLines w:val="0"/>
        <w:pageBreakBefore w:val="0"/>
        <w:kinsoku/>
        <w:wordWrap/>
        <w:overflowPunct/>
        <w:topLinePunct w:val="0"/>
        <w:autoSpaceDE/>
        <w:autoSpaceDN/>
        <w:bidi w:val="0"/>
        <w:adjustRightInd/>
        <w:spacing w:line="580" w:lineRule="exact"/>
        <w:jc w:val="center"/>
        <w:textAlignment w:val="auto"/>
        <w:outlineLvl w:val="9"/>
        <w:rPr>
          <w:rFonts w:ascii="宋体" w:hAnsi="宋体" w:cs="宋体"/>
          <w:b/>
          <w:bCs/>
          <w:sz w:val="44"/>
          <w:szCs w:val="44"/>
        </w:rPr>
      </w:pPr>
      <w:r>
        <w:rPr>
          <w:rFonts w:hint="eastAsia" w:ascii="宋体" w:hAnsi="宋体" w:cs="宋体"/>
          <w:b/>
          <w:bCs/>
          <w:sz w:val="44"/>
          <w:szCs w:val="44"/>
        </w:rPr>
        <w:t>部门预算说明</w:t>
      </w:r>
    </w:p>
    <w:p>
      <w:pPr>
        <w:keepNext w:val="0"/>
        <w:keepLines w:val="0"/>
        <w:pageBreakBefore w:val="0"/>
        <w:kinsoku/>
        <w:wordWrap/>
        <w:overflowPunct/>
        <w:topLinePunct w:val="0"/>
        <w:autoSpaceDE/>
        <w:autoSpaceDN/>
        <w:bidi w:val="0"/>
        <w:adjustRightInd/>
        <w:snapToGrid w:val="0"/>
        <w:spacing w:line="580" w:lineRule="exact"/>
        <w:jc w:val="center"/>
        <w:textAlignment w:val="auto"/>
        <w:outlineLvl w:val="9"/>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val="0"/>
        <w:spacing w:line="580" w:lineRule="exact"/>
        <w:jc w:val="center"/>
        <w:textAlignment w:val="auto"/>
        <w:outlineLvl w:val="9"/>
        <w:rPr>
          <w:rFonts w:ascii="宋体" w:hAnsi="宋体" w:cs="仿宋"/>
          <w:b/>
          <w:sz w:val="44"/>
          <w:szCs w:val="44"/>
        </w:rPr>
      </w:pPr>
      <w:r>
        <w:rPr>
          <w:rFonts w:hint="eastAsia" w:ascii="宋体" w:hAnsi="宋体" w:cs="仿宋"/>
          <w:b/>
          <w:sz w:val="44"/>
          <w:szCs w:val="44"/>
        </w:rPr>
        <w:t>目  录</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ascii="仿宋" w:hAnsi="仿宋" w:eastAsia="仿宋" w:cs="仿宋"/>
          <w:sz w:val="32"/>
          <w:szCs w:val="32"/>
        </w:rPr>
      </w:pPr>
      <w:r>
        <w:rPr>
          <w:rFonts w:hint="eastAsia" w:ascii="宋体" w:hAnsi="宋体" w:cs="仿宋"/>
          <w:b/>
          <w:sz w:val="32"/>
          <w:szCs w:val="32"/>
        </w:rPr>
        <w:t xml:space="preserve"> 第一部分　平</w:t>
      </w:r>
      <w:r>
        <w:rPr>
          <w:rFonts w:ascii="宋体" w:hAnsi="宋体" w:cs="仿宋"/>
          <w:b/>
          <w:sz w:val="32"/>
          <w:szCs w:val="32"/>
        </w:rPr>
        <w:t>顶山市卫东区应急管理局</w:t>
      </w:r>
      <w:r>
        <w:rPr>
          <w:rFonts w:hint="eastAsia" w:ascii="宋体" w:hAnsi="宋体" w:cs="仿宋"/>
          <w:b/>
          <w:sz w:val="32"/>
          <w:szCs w:val="32"/>
        </w:rPr>
        <w:t xml:space="preserve">概况 </w:t>
      </w: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 w:hAnsi="仿宋" w:eastAsia="仿宋" w:cs="仿宋"/>
          <w:sz w:val="27"/>
          <w:szCs w:val="32"/>
        </w:rPr>
        <w:t xml:space="preserve"> </w:t>
      </w:r>
      <w:r>
        <w:rPr>
          <w:rFonts w:hint="eastAsia" w:ascii="仿宋_GB2312" w:hAnsi="仿宋_GB2312" w:eastAsia="仿宋_GB2312" w:cs="仿宋_GB2312"/>
          <w:sz w:val="32"/>
          <w:szCs w:val="32"/>
        </w:rPr>
        <w:t>一、主要职</w:t>
      </w:r>
      <w:r>
        <w:rPr>
          <w:rFonts w:hint="eastAsia" w:ascii="仿宋_GB2312" w:hAnsi="仿宋_GB2312" w:eastAsia="仿宋_GB2312" w:cs="仿宋_GB2312"/>
          <w:sz w:val="32"/>
          <w:szCs w:val="32"/>
          <w:lang w:eastAsia="zh-CN"/>
        </w:rPr>
        <w:t>能</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ascii="宋体" w:hAnsi="仿宋" w:cs="仿宋"/>
          <w:sz w:val="27"/>
          <w:szCs w:val="32"/>
        </w:rPr>
      </w:pPr>
      <w:r>
        <w:rPr>
          <w:rFonts w:hint="eastAsia" w:ascii="仿宋_GB2312" w:hAnsi="仿宋_GB2312" w:eastAsia="仿宋_GB2312" w:cs="仿宋_GB2312"/>
          <w:sz w:val="32"/>
          <w:szCs w:val="32"/>
        </w:rPr>
        <w:t xml:space="preserve">   二、部门预算单位构成 </w:t>
      </w:r>
      <w:r>
        <w:rPr>
          <w:rFonts w:hint="eastAsia" w:ascii="宋体" w:hAnsi="仿宋" w:cs="仿宋"/>
          <w:sz w:val="27"/>
          <w:szCs w:val="32"/>
        </w:rPr>
        <w:t xml:space="preserve">   </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ascii="宋体" w:hAnsi="仿宋" w:cs="仿宋"/>
          <w:b/>
          <w:sz w:val="32"/>
          <w:szCs w:val="32"/>
        </w:rPr>
      </w:pPr>
      <w:r>
        <w:rPr>
          <w:rFonts w:hint="eastAsia" w:ascii="仿宋" w:hAnsi="仿宋" w:eastAsia="仿宋" w:cs="仿宋"/>
          <w:sz w:val="32"/>
          <w:szCs w:val="32"/>
        </w:rPr>
        <w:t xml:space="preserve"> </w:t>
      </w:r>
      <w:r>
        <w:rPr>
          <w:rFonts w:hint="eastAsia" w:ascii="宋体" w:hAnsi="仿宋" w:cs="仿宋"/>
          <w:b/>
          <w:sz w:val="32"/>
          <w:szCs w:val="32"/>
        </w:rPr>
        <w:t>第二部分　平顶山市卫东区应急管理</w:t>
      </w:r>
      <w:r>
        <w:rPr>
          <w:rFonts w:ascii="宋体" w:hAnsi="仿宋" w:cs="仿宋"/>
          <w:b/>
          <w:sz w:val="32"/>
          <w:szCs w:val="32"/>
        </w:rPr>
        <w:t>局</w:t>
      </w:r>
      <w:r>
        <w:rPr>
          <w:rFonts w:hint="eastAsia" w:ascii="宋体" w:hAnsi="仿宋" w:cs="仿宋"/>
          <w:b/>
          <w:sz w:val="32"/>
          <w:szCs w:val="32"/>
          <w:lang w:eastAsia="zh-CN"/>
        </w:rPr>
        <w:t>2022年</w:t>
      </w:r>
      <w:r>
        <w:rPr>
          <w:rFonts w:hint="eastAsia" w:ascii="宋体" w:hAnsi="仿宋" w:cs="仿宋"/>
          <w:b/>
          <w:sz w:val="32"/>
          <w:szCs w:val="32"/>
        </w:rPr>
        <w:t xml:space="preserve">部门预算情况说明    </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ascii="宋体" w:hAnsi="仿宋" w:cs="仿宋"/>
          <w:b/>
          <w:sz w:val="32"/>
          <w:szCs w:val="32"/>
        </w:rPr>
      </w:pPr>
      <w:r>
        <w:rPr>
          <w:rFonts w:hint="eastAsia" w:ascii="仿宋" w:hAnsi="仿宋" w:eastAsia="仿宋" w:cs="仿宋"/>
          <w:sz w:val="32"/>
          <w:szCs w:val="32"/>
        </w:rPr>
        <w:t xml:space="preserve"> </w:t>
      </w:r>
      <w:r>
        <w:rPr>
          <w:rFonts w:hint="eastAsia" w:ascii="宋体" w:hAnsi="仿宋" w:cs="仿宋"/>
          <w:b/>
          <w:sz w:val="32"/>
          <w:szCs w:val="32"/>
        </w:rPr>
        <w:t xml:space="preserve">第三部分　名词解释    </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宋体" w:hAnsi="仿宋" w:cs="仿宋"/>
          <w:b/>
          <w:sz w:val="32"/>
          <w:szCs w:val="32"/>
        </w:rPr>
      </w:pPr>
      <w:r>
        <w:rPr>
          <w:rFonts w:hint="eastAsia" w:ascii="仿宋" w:hAnsi="仿宋" w:eastAsia="仿宋" w:cs="仿宋"/>
          <w:sz w:val="32"/>
          <w:szCs w:val="32"/>
        </w:rPr>
        <w:t xml:space="preserve"> </w:t>
      </w:r>
      <w:r>
        <w:rPr>
          <w:rFonts w:hint="eastAsia" w:ascii="宋体" w:hAnsi="仿宋" w:cs="仿宋"/>
          <w:b/>
          <w:sz w:val="32"/>
          <w:szCs w:val="32"/>
        </w:rPr>
        <w:t>附件：平顶山市卫东区应急管理局</w:t>
      </w:r>
      <w:r>
        <w:rPr>
          <w:rFonts w:hint="eastAsia" w:ascii="宋体" w:hAnsi="仿宋" w:cs="仿宋"/>
          <w:b/>
          <w:sz w:val="32"/>
          <w:szCs w:val="32"/>
          <w:lang w:eastAsia="zh-CN"/>
        </w:rPr>
        <w:t>2022年</w:t>
      </w:r>
      <w:r>
        <w:rPr>
          <w:rFonts w:hint="eastAsia" w:ascii="宋体" w:hAnsi="仿宋" w:cs="仿宋"/>
          <w:b/>
          <w:sz w:val="32"/>
          <w:szCs w:val="32"/>
        </w:rPr>
        <w:t xml:space="preserve">部门预算表    </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 xml:space="preserve">表    </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二、部门收入</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 xml:space="preserve">表    </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三、部门支出</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 xml:space="preserve">表    </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四、财政拨款收支</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 xml:space="preserve">表    </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五、一般公共预算支出情况表    </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一般公共预算支出</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表</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支出经济分类汇总表</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八、一般公共预算“三公”经费支出情况表</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九、政府性基金预算支出情况表</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十、部门（单位）整体绩效目标表</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highlight w:val="none"/>
          <w:lang w:val="en-US" w:eastAsia="zh-CN"/>
        </w:rPr>
        <w:t>十一、</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（单位）整体</w:t>
      </w:r>
      <w:r>
        <w:rPr>
          <w:rFonts w:hint="eastAsia" w:ascii="仿宋_GB2312" w:hAnsi="仿宋_GB2312" w:eastAsia="仿宋_GB2312" w:cs="仿宋_GB2312"/>
          <w:sz w:val="32"/>
          <w:szCs w:val="32"/>
        </w:rPr>
        <w:t>绩效目标表</w:t>
      </w:r>
    </w:p>
    <w:p>
      <w:pPr>
        <w:ind w:firstLine="640" w:firstLineChars="200"/>
        <w:rPr>
          <w:rFonts w:hint="eastAsia" w:ascii="仿宋_GB2312" w:hAnsi="仿宋_GB2312" w:eastAsia="仿宋_GB2312" w:cs="仿宋_GB2312"/>
          <w:bCs/>
          <w:kern w:val="0"/>
          <w:sz w:val="32"/>
          <w:szCs w:val="32"/>
          <w:highlight w:val="none"/>
          <w:lang w:val="en-US" w:eastAsia="zh-CN"/>
        </w:rPr>
      </w:pPr>
      <w:r>
        <w:rPr>
          <w:rFonts w:hint="eastAsia" w:ascii="仿宋_GB2312" w:hAnsi="仿宋_GB2312" w:eastAsia="仿宋_GB2312" w:cs="仿宋_GB2312"/>
          <w:bCs/>
          <w:kern w:val="0"/>
          <w:sz w:val="32"/>
          <w:szCs w:val="32"/>
          <w:highlight w:val="none"/>
          <w:lang w:val="en-US" w:eastAsia="zh-CN"/>
        </w:rPr>
        <w:t>十二、部门预算项目绩效目标汇总表</w:t>
      </w:r>
    </w:p>
    <w:p>
      <w:pPr>
        <w:keepNext w:val="0"/>
        <w:keepLines w:val="0"/>
        <w:pageBreakBefore w:val="0"/>
        <w:kinsoku/>
        <w:wordWrap/>
        <w:overflowPunct/>
        <w:topLinePunct w:val="0"/>
        <w:autoSpaceDE/>
        <w:autoSpaceDN/>
        <w:bidi w:val="0"/>
        <w:adjustRightInd/>
        <w:snapToGrid w:val="0"/>
        <w:spacing w:line="580" w:lineRule="exact"/>
        <w:jc w:val="center"/>
        <w:textAlignment w:val="auto"/>
        <w:outlineLvl w:val="9"/>
        <w:rPr>
          <w:rFonts w:ascii="宋体" w:hAnsi="仿宋" w:cs="仿宋"/>
          <w:b/>
          <w:bCs/>
          <w:sz w:val="32"/>
          <w:szCs w:val="32"/>
        </w:rPr>
      </w:pPr>
      <w:r>
        <w:rPr>
          <w:rFonts w:hint="eastAsia" w:ascii="宋体" w:hAnsi="仿宋" w:cs="仿宋"/>
          <w:b/>
          <w:bCs/>
          <w:sz w:val="32"/>
          <w:szCs w:val="32"/>
        </w:rPr>
        <w:t xml:space="preserve">第一部分 </w:t>
      </w:r>
    </w:p>
    <w:p>
      <w:pPr>
        <w:keepNext w:val="0"/>
        <w:keepLines w:val="0"/>
        <w:pageBreakBefore w:val="0"/>
        <w:kinsoku/>
        <w:wordWrap/>
        <w:overflowPunct/>
        <w:topLinePunct w:val="0"/>
        <w:autoSpaceDE/>
        <w:autoSpaceDN/>
        <w:bidi w:val="0"/>
        <w:adjustRightInd/>
        <w:snapToGrid w:val="0"/>
        <w:spacing w:line="580" w:lineRule="exact"/>
        <w:jc w:val="center"/>
        <w:textAlignment w:val="auto"/>
        <w:outlineLvl w:val="9"/>
        <w:rPr>
          <w:rFonts w:ascii="宋体" w:hAnsi="仿宋" w:cs="仿宋"/>
          <w:b/>
          <w:bCs/>
          <w:sz w:val="32"/>
          <w:szCs w:val="32"/>
        </w:rPr>
      </w:pPr>
      <w:r>
        <w:rPr>
          <w:rFonts w:hint="eastAsia" w:ascii="宋体" w:hAnsi="仿宋" w:cs="仿宋"/>
          <w:b/>
          <w:bCs/>
          <w:sz w:val="32"/>
          <w:szCs w:val="32"/>
        </w:rPr>
        <w:t>平</w:t>
      </w:r>
      <w:r>
        <w:rPr>
          <w:rFonts w:ascii="宋体" w:hAnsi="仿宋" w:cs="仿宋"/>
          <w:b/>
          <w:bCs/>
          <w:sz w:val="32"/>
          <w:szCs w:val="32"/>
        </w:rPr>
        <w:t>顶山市卫东区应急管理局</w:t>
      </w:r>
      <w:r>
        <w:rPr>
          <w:rFonts w:hint="eastAsia" w:ascii="宋体" w:hAnsi="仿宋" w:cs="仿宋"/>
          <w:b/>
          <w:bCs/>
          <w:sz w:val="32"/>
          <w:szCs w:val="32"/>
        </w:rPr>
        <w:t>概况</w:t>
      </w:r>
    </w:p>
    <w:p>
      <w:pPr>
        <w:keepNext w:val="0"/>
        <w:keepLines w:val="0"/>
        <w:pageBreakBefore w:val="0"/>
        <w:kinsoku/>
        <w:wordWrap/>
        <w:overflowPunct/>
        <w:topLinePunct w:val="0"/>
        <w:autoSpaceDE/>
        <w:autoSpaceDN/>
        <w:bidi w:val="0"/>
        <w:adjustRightInd/>
        <w:snapToGrid w:val="0"/>
        <w:spacing w:line="580" w:lineRule="exact"/>
        <w:jc w:val="center"/>
        <w:textAlignment w:val="auto"/>
        <w:outlineLvl w:val="9"/>
        <w:rPr>
          <w:rFonts w:hint="eastAsia" w:ascii="宋体" w:hAnsi="仿宋" w:cs="仿宋"/>
          <w:sz w:val="32"/>
          <w:szCs w:val="32"/>
        </w:rPr>
      </w:pP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outlineLvl w:val="9"/>
        <w:rPr>
          <w:rFonts w:ascii="仿宋" w:hAnsi="仿宋" w:cs="仿宋"/>
          <w:sz w:val="32"/>
          <w:szCs w:val="32"/>
        </w:rPr>
      </w:pPr>
      <w:r>
        <w:rPr>
          <w:rFonts w:hint="eastAsia" w:ascii="仿宋" w:hAnsi="仿宋" w:cs="仿宋"/>
          <w:b/>
          <w:bCs/>
          <w:sz w:val="32"/>
          <w:szCs w:val="32"/>
        </w:rPr>
        <w:t>一、</w:t>
      </w:r>
      <w:r>
        <w:rPr>
          <w:rFonts w:hint="eastAsia" w:ascii="宋体" w:hAnsi="仿宋" w:cs="仿宋"/>
          <w:b/>
          <w:bCs/>
          <w:sz w:val="32"/>
          <w:szCs w:val="32"/>
        </w:rPr>
        <w:t>平</w:t>
      </w:r>
      <w:r>
        <w:rPr>
          <w:rFonts w:ascii="宋体" w:hAnsi="仿宋" w:cs="仿宋"/>
          <w:b/>
          <w:bCs/>
          <w:sz w:val="32"/>
          <w:szCs w:val="32"/>
        </w:rPr>
        <w:t>顶山市卫东区应急管理局</w:t>
      </w:r>
      <w:r>
        <w:rPr>
          <w:rFonts w:hint="eastAsia" w:ascii="仿宋" w:hAnsi="仿宋" w:cs="仿宋"/>
          <w:b/>
          <w:bCs/>
          <w:sz w:val="32"/>
          <w:szCs w:val="32"/>
        </w:rPr>
        <w:t>主要职能</w:t>
      </w:r>
      <w:r>
        <w:rPr>
          <w:rFonts w:hint="eastAsia" w:ascii="仿宋" w:hAnsi="仿宋" w:cs="仿宋"/>
          <w:b/>
          <w:bCs/>
          <w:sz w:val="32"/>
          <w:szCs w:val="32"/>
        </w:rPr>
        <w:tab/>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平顶山市卫东区应急管理局单位是区政府组成部门，为正科级。其主要职</w:t>
      </w:r>
      <w:r>
        <w:rPr>
          <w:rFonts w:hint="eastAsia" w:ascii="仿宋_GB2312" w:hAnsi="仿宋_GB2312" w:eastAsia="仿宋_GB2312" w:cs="仿宋_GB2312"/>
          <w:sz w:val="32"/>
          <w:szCs w:val="32"/>
          <w:lang w:eastAsia="zh-CN"/>
        </w:rPr>
        <w:t>能</w:t>
      </w:r>
      <w:r>
        <w:rPr>
          <w:rFonts w:hint="eastAsia" w:ascii="仿宋_GB2312" w:hAnsi="仿宋_GB2312" w:eastAsia="仿宋_GB2312" w:cs="仿宋_GB2312"/>
          <w:sz w:val="32"/>
          <w:szCs w:val="32"/>
        </w:rPr>
        <w:t xml:space="preserve">： </w:t>
      </w:r>
    </w:p>
    <w:p>
      <w:pPr>
        <w:pStyle w:val="7"/>
        <w:keepNext w:val="0"/>
        <w:keepLines w:val="0"/>
        <w:pageBreakBefore w:val="0"/>
        <w:kinsoku/>
        <w:wordWrap/>
        <w:overflowPunct/>
        <w:topLinePunct w:val="0"/>
        <w:autoSpaceDE/>
        <w:autoSpaceDN/>
        <w:bidi w:val="0"/>
        <w:adjustRightInd/>
        <w:spacing w:line="58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(一)负责全区应急管理工作，指导各部门应对安全生产类、自然灾害类等突发事件和综合防灾减灾救灾工作;负责全区安全生产综合监督管理和工矿商贸行业安全生产监督管理工作。</w:t>
      </w:r>
    </w:p>
    <w:p>
      <w:pPr>
        <w:pStyle w:val="7"/>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(二)拟订全区应急管理、安全生产的方案和措施，组织编制全区应急体系建设、安全生产和综合防灾减灾规划，起草相关规范性文件，组织制定相关规程和标准并监督实施。</w:t>
      </w:r>
    </w:p>
    <w:p>
      <w:pPr>
        <w:pStyle w:val="7"/>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导全区应急预案体系建设，建立完善事故灾难和自然灾害分级应对制度，组织编制全区总体应急预案和安全生产类、自然灾害类专项预案，综合协调应急预案衔接工作，组织开展预案演练，推动应急避难设施建设。</w:t>
      </w:r>
    </w:p>
    <w:p>
      <w:pPr>
        <w:pStyle w:val="7"/>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(四)牵头建立统一的全区应急管理信息系统，负责信息传输和共享，建立监测预警和灾情报告制度，健全自然灾害信息资源获取和共享机制，依法统一发布灾情。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指导协调安全生产类、自然灾害类等突发事件应急救援，承担全区应对重大灾害指挥机构工作，综合研判突发事件发展态势并提出应对建议，协助区委、区政府指定的负责同志组织重大灾害应急处置工作。</w:t>
      </w:r>
    </w:p>
    <w:p>
      <w:pPr>
        <w:pStyle w:val="7"/>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(六)统一协调指</w:t>
      </w:r>
      <w:r>
        <w:rPr>
          <w:rFonts w:hint="eastAsia" w:ascii="仿宋_GB2312" w:hAnsi="仿宋_GB2312" w:eastAsia="仿宋_GB2312" w:cs="仿宋_GB2312"/>
          <w:sz w:val="32"/>
          <w:szCs w:val="32"/>
          <w:lang w:val="en-US" w:eastAsia="zh-CN"/>
        </w:rPr>
        <w:t>导</w:t>
      </w:r>
      <w:r>
        <w:rPr>
          <w:rFonts w:hint="eastAsia" w:ascii="仿宋_GB2312" w:hAnsi="仿宋_GB2312" w:eastAsia="仿宋_GB2312" w:cs="仿宋_GB2312"/>
          <w:sz w:val="32"/>
          <w:szCs w:val="32"/>
        </w:rPr>
        <w:t>各类应急专业队伍，建立应急协调联动机制，推进指挥平台对接，街接驻平解放军和武警部队参与应急救援工作。</w:t>
      </w:r>
    </w:p>
    <w:p>
      <w:pPr>
        <w:pStyle w:val="7"/>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(七)统筹应急救援力量建设，负责森林和草原火灾扑救、抗洪抢险、地震和地质灾害教授、生产安全事故牧援等专业应急救援力量建设，指导全区综合性应急救援队伍建设及社会应急救援力量建设。</w:t>
      </w:r>
    </w:p>
    <w:p>
      <w:pPr>
        <w:pStyle w:val="7"/>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(八)组织指导消防工作，指导消防监督、火灾预防、火灾扑救等工作。</w:t>
      </w:r>
    </w:p>
    <w:p>
      <w:pPr>
        <w:pStyle w:val="7"/>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(九)指导协调全区森林和草原火灾、水旱灾害、地震和地质灾害等防治工作，负责自然灾害综合监测预警工作，指导开展自然灾害综合风险评估工作。</w:t>
      </w:r>
    </w:p>
    <w:p>
      <w:pPr>
        <w:pStyle w:val="7"/>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(十)组织协调全区灾害救助工作，组织指导灾情核查、损失评估、救灾捐赠工作，按权限管理、分配救灾款物并监督使用。</w:t>
      </w:r>
    </w:p>
    <w:p>
      <w:pPr>
        <w:pStyle w:val="7"/>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依法行使安全生产综合监督管理职权，指导协调、监督检查区政府有关部门和各街道办事处安全生产工作，督促、指导安全生产责任落实。组织开展安全生产巡查、考核工作;承担平顶山市卫东区安全生产委员会办公室日常工作。</w:t>
      </w:r>
    </w:p>
    <w:p>
      <w:pPr>
        <w:pStyle w:val="7"/>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按照分级、属地原则，依法监监督检查工矿商贸生产经营单位贯彻执行安全生产法律法规情况，及其安全生产条件和有关设备(特种设备除外)、材料、劳动防护用品的安全生产管理工作;依法组织实施安全生产准入制度，并对执行情况进行指导和监督;负责危险化学品安全监督管理综合工作和烟花爆竹经营企业安全生产监督管理工作。</w:t>
      </w:r>
    </w:p>
    <w:p>
      <w:pPr>
        <w:pStyle w:val="7"/>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依法组织指导生产安全事故调查处理，监督事故查处和责任追究落实情况。组织开展自然灾害类突发事件的调查评估工作;协助国家、省、市调查处理较大以上事故;综合管理全区生产安全伤亡事故、事故隐患排查治理、安全生产统计分析工作。</w:t>
      </w:r>
    </w:p>
    <w:p>
      <w:pPr>
        <w:pStyle w:val="7"/>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(十四)制定应急物资储备和应急救援装备规划并组织实施，会同相关部门建立健全应急物资信息平台和调拨制度，在救灾时统一调度。</w:t>
      </w:r>
    </w:p>
    <w:p>
      <w:pPr>
        <w:pStyle w:val="7"/>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负责应急管理、安全生产宣传教育和培训工作，组织指导应急管理、安全生产的科学技术研究、推广应用和信息化建设工作;依法组织、指导并监督特种作业人员操作资格考核工作和工矿商贸生产经营单位主要负责人、安全生产管理人员安全生产知识和管理能力考核工作，监督检查工矿商贸生产经营单位安全培训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负责指导各行业主管部门依法承担相关行业的灾害监测、预警、防治及保障工作;指导各负有安全生产监督管理职责的部门按照“管行业必须管安全，管业务必须管安全，管生产经营必须管安全”的安全生产贵任体系要求，依法具体负责本行业领域的安全生产监督管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(十七)负责监督指导和组织协调全区安全生产行政执法工作。</w:t>
      </w:r>
    </w:p>
    <w:p>
      <w:pPr>
        <w:pStyle w:val="7"/>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(十八)开展应急管理方面的交流与合作，组织参与安全生产类、自然灾害类等突发事件的跨区域救援工作。</w:t>
      </w:r>
    </w:p>
    <w:p>
      <w:pPr>
        <w:pStyle w:val="7"/>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(十九)完成区委、区政府交办的其他事项。</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ascii="仿宋" w:hAnsi="仿宋" w:cs="仿宋"/>
          <w:b/>
          <w:bCs/>
          <w:sz w:val="32"/>
          <w:szCs w:val="32"/>
          <w:highlight w:val="green"/>
        </w:rPr>
      </w:pPr>
      <w:r>
        <w:rPr>
          <w:rFonts w:hint="eastAsia" w:ascii="仿宋" w:hAnsi="仿宋" w:eastAsia="仿宋" w:cs="仿宋"/>
          <w:sz w:val="32"/>
          <w:szCs w:val="32"/>
        </w:rPr>
        <w:t xml:space="preserve">    </w:t>
      </w:r>
      <w:r>
        <w:rPr>
          <w:rFonts w:hint="eastAsia" w:ascii="仿宋" w:hAnsi="仿宋" w:cs="仿宋"/>
          <w:b/>
          <w:bCs/>
          <w:sz w:val="32"/>
          <w:szCs w:val="32"/>
        </w:rPr>
        <w:t>二、</w:t>
      </w:r>
      <w:r>
        <w:rPr>
          <w:rFonts w:hint="eastAsia" w:ascii="宋体" w:hAnsi="仿宋" w:cs="仿宋"/>
          <w:b/>
          <w:bCs/>
          <w:sz w:val="32"/>
          <w:szCs w:val="32"/>
        </w:rPr>
        <w:t>平</w:t>
      </w:r>
      <w:r>
        <w:rPr>
          <w:rFonts w:ascii="宋体" w:hAnsi="仿宋" w:cs="仿宋"/>
          <w:b/>
          <w:bCs/>
          <w:sz w:val="32"/>
          <w:szCs w:val="32"/>
        </w:rPr>
        <w:t>顶山市卫东区应急管理局</w:t>
      </w:r>
      <w:r>
        <w:rPr>
          <w:rFonts w:hint="eastAsia" w:ascii="仿宋" w:hAnsi="仿宋" w:cs="仿宋"/>
          <w:b/>
          <w:bCs/>
          <w:sz w:val="32"/>
          <w:szCs w:val="32"/>
        </w:rPr>
        <w:t>预算单位构成</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本部门预算仅包含本级预算，无所属单位预算。纳入卫东区应急管理局2021 年度部门预算编制范围的单位包括:卫东区应急管理局本级。</w:t>
      </w:r>
    </w:p>
    <w:p>
      <w:pPr>
        <w:pStyle w:val="7"/>
        <w:keepNext w:val="0"/>
        <w:keepLines w:val="0"/>
        <w:pageBreakBefore w:val="0"/>
        <w:kinsoku/>
        <w:wordWrap/>
        <w:overflowPunct/>
        <w:topLinePunct w:val="0"/>
        <w:autoSpaceDE/>
        <w:autoSpaceDN/>
        <w:bidi w:val="0"/>
        <w:adjustRightInd/>
        <w:spacing w:line="58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应急局设4个内设机构：4个所属事业单位。平顶山市卫东区防灾减灾服务中心、平顶山市卫东区安全生产宣传教育服务中心、平顶山市卫东区应急事务保障服务中心、平顶山市卫东区安全生产执法监察大队。</w:t>
      </w:r>
    </w:p>
    <w:p>
      <w:pPr>
        <w:keepNext w:val="0"/>
        <w:keepLines w:val="0"/>
        <w:pageBreakBefore w:val="0"/>
        <w:kinsoku/>
        <w:wordWrap/>
        <w:overflowPunct/>
        <w:topLinePunct w:val="0"/>
        <w:autoSpaceDE/>
        <w:autoSpaceDN/>
        <w:bidi w:val="0"/>
        <w:adjustRightInd/>
        <w:snapToGrid w:val="0"/>
        <w:spacing w:line="580" w:lineRule="exact"/>
        <w:jc w:val="both"/>
        <w:textAlignment w:val="auto"/>
        <w:outlineLvl w:val="9"/>
        <w:rPr>
          <w:rFonts w:hint="eastAsia" w:ascii="宋体" w:hAnsi="仿宋" w:cs="仿宋"/>
          <w:b/>
          <w:bCs/>
          <w:sz w:val="32"/>
          <w:szCs w:val="32"/>
        </w:rPr>
      </w:pPr>
    </w:p>
    <w:p>
      <w:pPr>
        <w:keepNext w:val="0"/>
        <w:keepLines w:val="0"/>
        <w:pageBreakBefore w:val="0"/>
        <w:kinsoku/>
        <w:wordWrap/>
        <w:overflowPunct/>
        <w:topLinePunct w:val="0"/>
        <w:autoSpaceDE/>
        <w:autoSpaceDN/>
        <w:bidi w:val="0"/>
        <w:adjustRightInd/>
        <w:snapToGrid w:val="0"/>
        <w:spacing w:line="580" w:lineRule="exact"/>
        <w:jc w:val="center"/>
        <w:textAlignment w:val="auto"/>
        <w:outlineLvl w:val="9"/>
        <w:rPr>
          <w:rFonts w:ascii="宋体" w:hAnsi="仿宋" w:cs="仿宋"/>
          <w:b/>
          <w:bCs/>
          <w:sz w:val="32"/>
          <w:szCs w:val="32"/>
        </w:rPr>
      </w:pPr>
      <w:r>
        <w:rPr>
          <w:rFonts w:hint="eastAsia" w:ascii="宋体" w:hAnsi="仿宋" w:cs="仿宋"/>
          <w:b/>
          <w:bCs/>
          <w:sz w:val="32"/>
          <w:szCs w:val="32"/>
        </w:rPr>
        <w:t>第二部分</w:t>
      </w:r>
    </w:p>
    <w:p>
      <w:pPr>
        <w:keepNext w:val="0"/>
        <w:keepLines w:val="0"/>
        <w:pageBreakBefore w:val="0"/>
        <w:kinsoku/>
        <w:wordWrap/>
        <w:overflowPunct/>
        <w:topLinePunct w:val="0"/>
        <w:autoSpaceDE/>
        <w:autoSpaceDN/>
        <w:bidi w:val="0"/>
        <w:adjustRightInd/>
        <w:snapToGrid w:val="0"/>
        <w:spacing w:line="580" w:lineRule="exact"/>
        <w:jc w:val="center"/>
        <w:textAlignment w:val="auto"/>
        <w:outlineLvl w:val="9"/>
        <w:rPr>
          <w:rFonts w:ascii="宋体" w:hAnsi="仿宋" w:cs="仿宋"/>
          <w:b/>
          <w:bCs/>
          <w:sz w:val="32"/>
          <w:szCs w:val="32"/>
        </w:rPr>
      </w:pPr>
      <w:r>
        <w:rPr>
          <w:rFonts w:hint="eastAsia" w:ascii="宋体" w:hAnsi="仿宋" w:cs="仿宋"/>
          <w:b/>
          <w:bCs/>
          <w:sz w:val="32"/>
          <w:szCs w:val="32"/>
        </w:rPr>
        <w:t>平</w:t>
      </w:r>
      <w:r>
        <w:rPr>
          <w:rFonts w:ascii="宋体" w:hAnsi="仿宋" w:cs="仿宋"/>
          <w:b/>
          <w:bCs/>
          <w:sz w:val="32"/>
          <w:szCs w:val="32"/>
        </w:rPr>
        <w:t>顶山市卫东区</w:t>
      </w:r>
      <w:r>
        <w:rPr>
          <w:rFonts w:hint="eastAsia" w:ascii="宋体" w:hAnsi="仿宋" w:cs="仿宋"/>
          <w:b/>
          <w:bCs/>
          <w:sz w:val="32"/>
          <w:szCs w:val="32"/>
        </w:rPr>
        <w:t>应急管理局</w:t>
      </w:r>
      <w:r>
        <w:rPr>
          <w:rFonts w:hint="eastAsia" w:ascii="宋体" w:hAnsi="仿宋" w:cs="仿宋"/>
          <w:b/>
          <w:bCs/>
          <w:sz w:val="32"/>
          <w:szCs w:val="32"/>
          <w:lang w:eastAsia="zh-CN"/>
        </w:rPr>
        <w:t>2022年</w:t>
      </w:r>
      <w:r>
        <w:rPr>
          <w:rFonts w:hint="eastAsia" w:ascii="宋体" w:hAnsi="仿宋" w:cs="仿宋"/>
          <w:b/>
          <w:bCs/>
          <w:sz w:val="32"/>
          <w:szCs w:val="32"/>
        </w:rPr>
        <w:t>部门预算情况说明</w:t>
      </w:r>
    </w:p>
    <w:p>
      <w:pPr>
        <w:keepNext w:val="0"/>
        <w:keepLines w:val="0"/>
        <w:pageBreakBefore w:val="0"/>
        <w:kinsoku/>
        <w:wordWrap/>
        <w:overflowPunct/>
        <w:topLinePunct w:val="0"/>
        <w:autoSpaceDE/>
        <w:autoSpaceDN/>
        <w:bidi w:val="0"/>
        <w:adjustRightInd/>
        <w:snapToGrid w:val="0"/>
        <w:spacing w:line="580" w:lineRule="exact"/>
        <w:jc w:val="center"/>
        <w:textAlignment w:val="auto"/>
        <w:outlineLvl w:val="9"/>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ascii="宋体" w:hAnsi="仿宋" w:cs="仿宋"/>
          <w:sz w:val="32"/>
          <w:szCs w:val="32"/>
        </w:rPr>
      </w:pPr>
      <w:r>
        <w:rPr>
          <w:rFonts w:hint="eastAsia" w:ascii="仿宋" w:hAnsi="仿宋" w:eastAsia="仿宋" w:cs="仿宋"/>
          <w:sz w:val="32"/>
          <w:szCs w:val="32"/>
        </w:rPr>
        <w:t xml:space="preserve">    </w:t>
      </w:r>
      <w:r>
        <w:rPr>
          <w:rFonts w:hint="eastAsia" w:ascii="宋体" w:hAnsi="仿宋" w:cs="仿宋"/>
          <w:b/>
          <w:bCs/>
          <w:sz w:val="32"/>
          <w:szCs w:val="32"/>
        </w:rPr>
        <w:t>一、收入支出预算</w:t>
      </w:r>
      <w:r>
        <w:rPr>
          <w:rFonts w:hint="eastAsia" w:ascii="宋体" w:hAnsi="仿宋" w:cs="仿宋"/>
          <w:b/>
          <w:bCs/>
          <w:sz w:val="32"/>
          <w:szCs w:val="32"/>
          <w:lang w:eastAsia="zh-CN"/>
        </w:rPr>
        <w:t>总体情况说明</w:t>
      </w:r>
      <w:r>
        <w:rPr>
          <w:rFonts w:hint="eastAsia" w:ascii="宋体" w:hAnsi="仿宋" w:cs="仿宋"/>
          <w:sz w:val="32"/>
          <w:szCs w:val="32"/>
        </w:rPr>
        <w:tab/>
      </w:r>
      <w:r>
        <w:rPr>
          <w:rFonts w:hint="eastAsia" w:ascii="宋体" w:hAnsi="仿宋" w:cs="仿宋"/>
          <w:sz w:val="32"/>
          <w:szCs w:val="32"/>
        </w:rPr>
        <w:tab/>
      </w:r>
      <w:r>
        <w:rPr>
          <w:rFonts w:hint="eastAsia" w:ascii="宋体" w:hAnsi="仿宋" w:cs="仿宋"/>
          <w:sz w:val="32"/>
          <w:szCs w:val="32"/>
        </w:rPr>
        <w:tab/>
      </w:r>
      <w:r>
        <w:rPr>
          <w:rFonts w:hint="eastAsia" w:ascii="宋体" w:hAnsi="仿宋" w:cs="仿宋"/>
          <w:sz w:val="32"/>
          <w:szCs w:val="32"/>
        </w:rPr>
        <w:tab/>
      </w:r>
      <w:r>
        <w:rPr>
          <w:rFonts w:hint="eastAsia" w:ascii="宋体" w:hAnsi="仿宋" w:cs="仿宋"/>
          <w:sz w:val="32"/>
          <w:szCs w:val="32"/>
        </w:rPr>
        <w:tab/>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收、支总计均为</w:t>
      </w:r>
      <w:r>
        <w:rPr>
          <w:rFonts w:hint="eastAsia" w:ascii="仿宋_GB2312" w:hAnsi="仿宋_GB2312" w:eastAsia="仿宋_GB2312" w:cs="仿宋_GB2312"/>
          <w:sz w:val="32"/>
          <w:szCs w:val="32"/>
          <w:lang w:val="en-US" w:eastAsia="zh-CN"/>
        </w:rPr>
        <w:t>852.22</w:t>
      </w:r>
      <w:r>
        <w:rPr>
          <w:rFonts w:hint="eastAsia" w:ascii="仿宋_GB2312" w:hAnsi="仿宋_GB2312" w:eastAsia="仿宋_GB2312" w:cs="仿宋_GB2312"/>
          <w:sz w:val="32"/>
          <w:szCs w:val="32"/>
        </w:rPr>
        <w:t>万元,与上年相比，收、支总计均增加</w:t>
      </w:r>
      <w:r>
        <w:rPr>
          <w:rFonts w:hint="eastAsia" w:ascii="仿宋_GB2312" w:hAnsi="仿宋_GB2312" w:eastAsia="仿宋_GB2312" w:cs="仿宋_GB2312"/>
          <w:sz w:val="32"/>
          <w:szCs w:val="32"/>
          <w:lang w:val="en-US" w:eastAsia="zh-CN"/>
        </w:rPr>
        <w:t>181.31</w:t>
      </w:r>
      <w:r>
        <w:rPr>
          <w:rFonts w:hint="eastAsia" w:ascii="仿宋_GB2312" w:hAnsi="仿宋_GB2312" w:eastAsia="仿宋_GB2312" w:cs="仿宋_GB2312"/>
          <w:sz w:val="32"/>
          <w:szCs w:val="32"/>
        </w:rPr>
        <w:t>万元, 增长</w:t>
      </w:r>
      <w:r>
        <w:rPr>
          <w:rFonts w:hint="eastAsia" w:ascii="仿宋_GB2312" w:hAnsi="仿宋_GB2312" w:eastAsia="仿宋_GB2312" w:cs="仿宋_GB2312"/>
          <w:sz w:val="32"/>
          <w:szCs w:val="32"/>
          <w:lang w:val="en-US" w:eastAsia="zh-CN"/>
        </w:rPr>
        <w:t>27.03</w:t>
      </w:r>
      <w:r>
        <w:rPr>
          <w:rFonts w:hint="eastAsia" w:ascii="仿宋_GB2312" w:hAnsi="仿宋_GB2312" w:eastAsia="仿宋_GB2312" w:cs="仿宋_GB2312"/>
          <w:sz w:val="32"/>
          <w:szCs w:val="32"/>
        </w:rPr>
        <w:t>%。主要原因：人员增加</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outlineLvl w:val="9"/>
        <w:rPr>
          <w:rFonts w:ascii="宋体" w:hAnsi="仿宋" w:cs="仿宋"/>
          <w:sz w:val="32"/>
          <w:szCs w:val="32"/>
          <w:highlight w:val="yellow"/>
        </w:rPr>
      </w:pPr>
      <w:r>
        <w:rPr>
          <w:rFonts w:hint="eastAsia" w:ascii="宋体" w:hAnsi="宋体" w:eastAsia="宋体" w:cs="宋体"/>
          <w:b/>
          <w:bCs w:val="0"/>
          <w:kern w:val="0"/>
          <w:sz w:val="32"/>
          <w:szCs w:val="32"/>
        </w:rPr>
        <w:t>二、收入预算</w:t>
      </w:r>
      <w:r>
        <w:rPr>
          <w:rFonts w:hint="eastAsia" w:ascii="宋体" w:hAnsi="宋体" w:cs="宋体"/>
          <w:b/>
          <w:bCs w:val="0"/>
          <w:kern w:val="0"/>
          <w:sz w:val="32"/>
          <w:szCs w:val="32"/>
          <w:lang w:eastAsia="zh-CN"/>
        </w:rPr>
        <w:t>总体情况说明</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收入预算</w:t>
      </w:r>
      <w:r>
        <w:rPr>
          <w:rFonts w:hint="eastAsia" w:ascii="仿宋_GB2312" w:hAnsi="仿宋_GB2312" w:eastAsia="仿宋_GB2312" w:cs="仿宋_GB2312"/>
          <w:sz w:val="32"/>
          <w:szCs w:val="32"/>
          <w:lang w:val="en-US" w:eastAsia="zh-CN"/>
        </w:rPr>
        <w:t>852.22</w:t>
      </w:r>
      <w:r>
        <w:rPr>
          <w:rFonts w:hint="eastAsia" w:ascii="仿宋_GB2312" w:hAnsi="仿宋_GB2312" w:eastAsia="仿宋_GB2312" w:cs="仿宋_GB2312"/>
          <w:sz w:val="32"/>
          <w:szCs w:val="32"/>
        </w:rPr>
        <w:t>万元，其中：一般公共预算</w:t>
      </w:r>
      <w:r>
        <w:rPr>
          <w:rFonts w:hint="eastAsia" w:ascii="仿宋_GB2312" w:hAnsi="仿宋_GB2312" w:eastAsia="仿宋_GB2312" w:cs="仿宋_GB2312"/>
          <w:sz w:val="32"/>
          <w:szCs w:val="32"/>
          <w:lang w:val="en-US" w:eastAsia="zh-CN"/>
        </w:rPr>
        <w:t>852.22</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ascii="宋体" w:hAnsi="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宋体" w:hAnsi="宋体" w:eastAsia="宋体" w:cs="宋体"/>
          <w:b/>
          <w:bCs w:val="0"/>
          <w:kern w:val="0"/>
          <w:sz w:val="32"/>
          <w:szCs w:val="32"/>
        </w:rPr>
        <w:t>三、</w:t>
      </w:r>
      <w:r>
        <w:rPr>
          <w:rFonts w:hint="eastAsia" w:ascii="宋体" w:hAnsi="宋体" w:cs="宋体"/>
          <w:b/>
          <w:bCs w:val="0"/>
          <w:kern w:val="0"/>
          <w:sz w:val="32"/>
          <w:szCs w:val="32"/>
          <w:lang w:eastAsia="zh-CN"/>
        </w:rPr>
        <w:t>支出预算总体情况说明</w:t>
      </w:r>
      <w:r>
        <w:rPr>
          <w:rFonts w:hint="eastAsia" w:ascii="宋体" w:hAnsi="仿宋" w:cs="仿宋"/>
          <w:sz w:val="32"/>
          <w:szCs w:val="32"/>
        </w:rPr>
        <w:tab/>
      </w:r>
      <w:r>
        <w:rPr>
          <w:rFonts w:hint="eastAsia" w:ascii="宋体" w:hAnsi="仿宋" w:cs="仿宋"/>
          <w:sz w:val="32"/>
          <w:szCs w:val="32"/>
        </w:rPr>
        <w:tab/>
      </w:r>
      <w:r>
        <w:rPr>
          <w:rFonts w:hint="eastAsia" w:ascii="宋体" w:hAnsi="仿宋" w:cs="仿宋"/>
          <w:sz w:val="32"/>
          <w:szCs w:val="32"/>
        </w:rPr>
        <w:tab/>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支出预算</w:t>
      </w:r>
      <w:r>
        <w:rPr>
          <w:rFonts w:hint="eastAsia" w:ascii="仿宋_GB2312" w:hAnsi="仿宋_GB2312" w:eastAsia="仿宋_GB2312" w:cs="仿宋_GB2312"/>
          <w:sz w:val="32"/>
          <w:szCs w:val="32"/>
          <w:lang w:val="en-US" w:eastAsia="zh-CN"/>
        </w:rPr>
        <w:t>852.22</w:t>
      </w:r>
      <w:r>
        <w:rPr>
          <w:rFonts w:hint="eastAsia" w:ascii="仿宋_GB2312" w:hAnsi="仿宋_GB2312" w:eastAsia="仿宋_GB2312" w:cs="仿宋_GB2312"/>
          <w:sz w:val="32"/>
          <w:szCs w:val="32"/>
        </w:rPr>
        <w:t>万元，按用途划分为：基本支出</w:t>
      </w:r>
      <w:r>
        <w:rPr>
          <w:rFonts w:hint="eastAsia" w:ascii="仿宋_GB2312" w:hAnsi="仿宋_GB2312" w:eastAsia="仿宋_GB2312" w:cs="仿宋_GB2312"/>
          <w:sz w:val="32"/>
          <w:szCs w:val="32"/>
          <w:lang w:val="en-US" w:eastAsia="zh-CN"/>
        </w:rPr>
        <w:t>735.52</w:t>
      </w:r>
      <w:r>
        <w:rPr>
          <w:rFonts w:hint="eastAsia" w:ascii="仿宋_GB2312" w:hAnsi="仿宋_GB2312" w:eastAsia="仿宋_GB2312" w:cs="仿宋_GB2312"/>
          <w:sz w:val="32"/>
          <w:szCs w:val="32"/>
        </w:rPr>
        <w:t xml:space="preserve"> 万元,占</w:t>
      </w:r>
      <w:r>
        <w:rPr>
          <w:rFonts w:hint="eastAsia" w:ascii="仿宋_GB2312" w:hAnsi="仿宋_GB2312" w:eastAsia="仿宋_GB2312" w:cs="仿宋_GB2312"/>
          <w:sz w:val="32"/>
          <w:szCs w:val="32"/>
          <w:lang w:val="en-US" w:eastAsia="zh-CN"/>
        </w:rPr>
        <w:t>86.31</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116.71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13.69</w:t>
      </w: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ascii="仿宋" w:hAnsi="仿宋" w:eastAsia="仿宋" w:cs="仿宋"/>
          <w:sz w:val="32"/>
          <w:szCs w:val="32"/>
        </w:rPr>
      </w:pPr>
      <w:r>
        <w:rPr>
          <w:rFonts w:hint="eastAsia" w:ascii="仿宋" w:hAnsi="仿宋" w:eastAsia="仿宋" w:cs="仿宋"/>
          <w:sz w:val="32"/>
          <w:szCs w:val="32"/>
        </w:rPr>
        <w:t xml:space="preserve">    </w:t>
      </w:r>
      <w:r>
        <w:rPr>
          <w:rFonts w:hint="eastAsia" w:ascii="宋体" w:hAnsi="仿宋" w:cs="仿宋"/>
          <w:b/>
          <w:bCs/>
          <w:sz w:val="32"/>
          <w:szCs w:val="32"/>
        </w:rPr>
        <w:t>四、财政拨款</w:t>
      </w:r>
      <w:r>
        <w:rPr>
          <w:rFonts w:hint="eastAsia" w:ascii="宋体" w:hAnsi="仿宋" w:cs="仿宋"/>
          <w:b/>
          <w:bCs/>
          <w:sz w:val="32"/>
          <w:szCs w:val="32"/>
          <w:lang w:eastAsia="zh-CN"/>
        </w:rPr>
        <w:t>收入支出预算总体情况说明</w:t>
      </w:r>
      <w:r>
        <w:rPr>
          <w:rFonts w:hint="eastAsia" w:ascii="仿宋" w:hAnsi="仿宋" w:eastAsia="仿宋" w:cs="仿宋"/>
          <w:b/>
          <w:bCs/>
          <w:sz w:val="32"/>
          <w:szCs w:val="32"/>
        </w:rPr>
        <w:tab/>
      </w:r>
      <w:r>
        <w:rPr>
          <w:rFonts w:hint="eastAsia" w:ascii="仿宋" w:hAnsi="仿宋" w:eastAsia="仿宋" w:cs="仿宋"/>
          <w:b/>
          <w:bCs/>
          <w:sz w:val="32"/>
          <w:szCs w:val="32"/>
        </w:rPr>
        <w:tab/>
      </w:r>
      <w:r>
        <w:rPr>
          <w:rFonts w:hint="eastAsia" w:ascii="仿宋" w:hAnsi="仿宋" w:eastAsia="仿宋" w:cs="仿宋"/>
          <w:b/>
          <w:bCs/>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2022年财政拨款</w:t>
      </w:r>
      <w:r>
        <w:rPr>
          <w:rFonts w:hint="eastAsia" w:ascii="仿宋_GB2312" w:hAnsi="仿宋_GB2312" w:eastAsia="仿宋_GB2312" w:cs="仿宋_GB2312"/>
          <w:sz w:val="32"/>
          <w:szCs w:val="32"/>
        </w:rPr>
        <w:t>收支预算</w:t>
      </w:r>
      <w:r>
        <w:rPr>
          <w:rFonts w:hint="eastAsia" w:ascii="仿宋_GB2312" w:hAnsi="仿宋_GB2312" w:eastAsia="仿宋_GB2312" w:cs="仿宋_GB2312"/>
          <w:sz w:val="32"/>
          <w:szCs w:val="32"/>
          <w:lang w:val="en-US" w:eastAsia="zh-CN"/>
        </w:rPr>
        <w:t>852.22</w:t>
      </w:r>
      <w:r>
        <w:rPr>
          <w:rFonts w:hint="eastAsia" w:ascii="仿宋_GB2312" w:hAnsi="仿宋_GB2312" w:eastAsia="仿宋_GB2312" w:cs="仿宋_GB2312"/>
          <w:sz w:val="32"/>
          <w:szCs w:val="32"/>
        </w:rPr>
        <w:t>万元，与上年相比，一般公共预算收支预算增加</w:t>
      </w:r>
      <w:r>
        <w:rPr>
          <w:rFonts w:hint="eastAsia" w:ascii="仿宋_GB2312" w:hAnsi="仿宋_GB2312" w:eastAsia="仿宋_GB2312" w:cs="仿宋_GB2312"/>
          <w:sz w:val="32"/>
          <w:szCs w:val="32"/>
          <w:lang w:val="en-US" w:eastAsia="zh-CN"/>
        </w:rPr>
        <w:t>181.31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27.03</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主要原因：人员增加。</w:t>
      </w:r>
      <w:r>
        <w:rPr>
          <w:rFonts w:hint="eastAsia" w:ascii="仿宋_GB2312" w:hAnsi="仿宋_GB2312" w:eastAsia="仿宋_GB2312" w:cs="仿宋_GB2312"/>
          <w:sz w:val="32"/>
          <w:szCs w:val="32"/>
        </w:rPr>
        <w:tab/>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w:t>
      </w:r>
      <w:r>
        <w:rPr>
          <w:rFonts w:hint="eastAsia" w:ascii="宋体" w:hAnsi="仿宋" w:cs="仿宋"/>
          <w:b/>
          <w:bCs/>
          <w:sz w:val="32"/>
          <w:szCs w:val="32"/>
        </w:rPr>
        <w:t>五、一般公共预算支出预算</w:t>
      </w:r>
      <w:r>
        <w:rPr>
          <w:rFonts w:hint="eastAsia" w:ascii="宋体" w:hAnsi="仿宋" w:cs="仿宋"/>
          <w:b/>
          <w:bCs/>
          <w:sz w:val="32"/>
          <w:szCs w:val="32"/>
          <w:lang w:eastAsia="zh-CN"/>
        </w:rPr>
        <w:t>情况说明</w:t>
      </w:r>
      <w:r>
        <w:rPr>
          <w:rFonts w:hint="eastAsia" w:ascii="仿宋" w:hAnsi="仿宋" w:eastAsia="仿宋" w:cs="仿宋"/>
          <w:b/>
          <w:bCs/>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仿宋_GB2312" w:hAnsi="仿宋_GB2312" w:eastAsia="仿宋_GB2312" w:cs="仿宋_GB2312"/>
          <w:kern w:val="0"/>
          <w:sz w:val="32"/>
          <w:lang w:val="en-US" w:eastAsia="zh-CN"/>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一般公共预算支出年初预算为</w:t>
      </w:r>
      <w:r>
        <w:rPr>
          <w:rFonts w:hint="eastAsia" w:ascii="仿宋_GB2312" w:hAnsi="仿宋_GB2312" w:eastAsia="仿宋_GB2312" w:cs="仿宋_GB2312"/>
          <w:sz w:val="32"/>
          <w:szCs w:val="32"/>
          <w:lang w:val="en-US" w:eastAsia="zh-CN"/>
        </w:rPr>
        <w:t>852.22</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kern w:val="0"/>
          <w:sz w:val="32"/>
        </w:rPr>
        <w:t>社会保障和就业（类）支出</w:t>
      </w:r>
      <w:r>
        <w:rPr>
          <w:rFonts w:hint="eastAsia" w:ascii="仿宋_GB2312" w:hAnsi="仿宋_GB2312" w:eastAsia="仿宋_GB2312" w:cs="仿宋_GB2312"/>
          <w:kern w:val="0"/>
          <w:sz w:val="32"/>
          <w:lang w:val="en-US" w:eastAsia="zh-CN"/>
        </w:rPr>
        <w:t>74.75</w:t>
      </w:r>
      <w:r>
        <w:rPr>
          <w:rFonts w:hint="eastAsia" w:ascii="仿宋_GB2312" w:hAnsi="仿宋_GB2312" w:eastAsia="仿宋_GB2312" w:cs="仿宋_GB2312"/>
          <w:kern w:val="0"/>
          <w:sz w:val="32"/>
        </w:rPr>
        <w:t>万元，占</w:t>
      </w:r>
      <w:r>
        <w:rPr>
          <w:rFonts w:hint="eastAsia" w:ascii="仿宋_GB2312" w:hAnsi="仿宋_GB2312" w:eastAsia="仿宋_GB2312" w:cs="仿宋_GB2312"/>
          <w:kern w:val="0"/>
          <w:sz w:val="32"/>
          <w:lang w:val="en-US" w:eastAsia="zh-CN"/>
        </w:rPr>
        <w:t>8.77</w:t>
      </w:r>
      <w:r>
        <w:rPr>
          <w:rFonts w:hint="eastAsia" w:ascii="仿宋_GB2312" w:hAnsi="仿宋_GB2312" w:eastAsia="仿宋_GB2312" w:cs="仿宋_GB2312"/>
          <w:kern w:val="0"/>
          <w:sz w:val="32"/>
        </w:rPr>
        <w:t>%；医疗卫生（类）支出</w:t>
      </w:r>
      <w:r>
        <w:rPr>
          <w:rFonts w:hint="eastAsia" w:ascii="仿宋_GB2312" w:hAnsi="仿宋_GB2312" w:eastAsia="仿宋_GB2312" w:cs="仿宋_GB2312"/>
          <w:kern w:val="0"/>
          <w:sz w:val="32"/>
          <w:lang w:val="en-US" w:eastAsia="zh-CN"/>
        </w:rPr>
        <w:t>31.52</w:t>
      </w:r>
      <w:r>
        <w:rPr>
          <w:rFonts w:hint="eastAsia" w:ascii="仿宋_GB2312" w:hAnsi="仿宋_GB2312" w:eastAsia="仿宋_GB2312" w:cs="仿宋_GB2312"/>
          <w:kern w:val="0"/>
          <w:sz w:val="32"/>
        </w:rPr>
        <w:t>万元，占</w:t>
      </w:r>
      <w:r>
        <w:rPr>
          <w:rFonts w:hint="eastAsia" w:ascii="仿宋_GB2312" w:hAnsi="仿宋_GB2312" w:eastAsia="仿宋_GB2312" w:cs="仿宋_GB2312"/>
          <w:kern w:val="0"/>
          <w:sz w:val="32"/>
          <w:lang w:val="en-US" w:eastAsia="zh-CN"/>
        </w:rPr>
        <w:t>3.70</w:t>
      </w:r>
      <w:r>
        <w:rPr>
          <w:rFonts w:hint="eastAsia" w:ascii="仿宋_GB2312" w:hAnsi="仿宋_GB2312" w:eastAsia="仿宋_GB2312" w:cs="仿宋_GB2312"/>
          <w:kern w:val="0"/>
          <w:sz w:val="32"/>
        </w:rPr>
        <w:t>%；住房保障（类）支出</w:t>
      </w:r>
      <w:r>
        <w:rPr>
          <w:rFonts w:hint="eastAsia" w:ascii="仿宋_GB2312" w:hAnsi="仿宋_GB2312" w:eastAsia="仿宋_GB2312" w:cs="仿宋_GB2312"/>
          <w:kern w:val="0"/>
          <w:sz w:val="32"/>
          <w:lang w:val="en-US" w:eastAsia="zh-CN"/>
        </w:rPr>
        <w:t>49.69</w:t>
      </w:r>
      <w:r>
        <w:rPr>
          <w:rFonts w:hint="eastAsia" w:ascii="仿宋_GB2312" w:hAnsi="仿宋_GB2312" w:eastAsia="仿宋_GB2312" w:cs="仿宋_GB2312"/>
          <w:kern w:val="0"/>
          <w:sz w:val="32"/>
        </w:rPr>
        <w:t>万元，占</w:t>
      </w:r>
      <w:r>
        <w:rPr>
          <w:rFonts w:hint="eastAsia" w:ascii="仿宋_GB2312" w:hAnsi="仿宋_GB2312" w:eastAsia="仿宋_GB2312" w:cs="仿宋_GB2312"/>
          <w:kern w:val="0"/>
          <w:sz w:val="32"/>
          <w:lang w:val="en-US" w:eastAsia="zh-CN"/>
        </w:rPr>
        <w:t>5.83</w:t>
      </w:r>
      <w:r>
        <w:rPr>
          <w:rFonts w:hint="eastAsia" w:ascii="仿宋_GB2312" w:hAnsi="仿宋_GB2312" w:eastAsia="仿宋_GB2312" w:cs="仿宋_GB2312"/>
          <w:kern w:val="0"/>
          <w:sz w:val="32"/>
        </w:rPr>
        <w:t>%</w:t>
      </w:r>
      <w:r>
        <w:rPr>
          <w:rFonts w:hint="eastAsia" w:ascii="仿宋_GB2312" w:hAnsi="仿宋_GB2312" w:eastAsia="仿宋_GB2312" w:cs="仿宋_GB2312"/>
          <w:kern w:val="0"/>
          <w:sz w:val="32"/>
          <w:lang w:eastAsia="zh-CN"/>
        </w:rPr>
        <w:t>，灾害防治及应急管理支出</w:t>
      </w:r>
      <w:r>
        <w:rPr>
          <w:rFonts w:hint="eastAsia" w:ascii="仿宋_GB2312" w:hAnsi="仿宋_GB2312" w:eastAsia="仿宋_GB2312" w:cs="仿宋_GB2312"/>
          <w:kern w:val="0"/>
          <w:sz w:val="32"/>
          <w:lang w:val="en-US" w:eastAsia="zh-CN"/>
        </w:rPr>
        <w:t>696.27万元，占81.70</w:t>
      </w:r>
      <w:r>
        <w:rPr>
          <w:rFonts w:hint="eastAsia" w:ascii="仿宋_GB2312" w:hAnsi="仿宋_GB2312" w:eastAsia="仿宋_GB2312" w:cs="仿宋_GB2312"/>
          <w:kern w:val="0"/>
          <w:sz w:val="32"/>
        </w:rPr>
        <w:t>%</w:t>
      </w:r>
      <w:r>
        <w:rPr>
          <w:rFonts w:hint="eastAsia" w:ascii="仿宋_GB2312" w:hAnsi="仿宋_GB2312" w:eastAsia="仿宋_GB2312" w:cs="仿宋_GB2312"/>
          <w:kern w:val="0"/>
          <w:sz w:val="32"/>
          <w:lang w:eastAsia="zh-CN"/>
        </w:rPr>
        <w:t>。</w:t>
      </w:r>
    </w:p>
    <w:p>
      <w:pPr>
        <w:keepNext w:val="0"/>
        <w:keepLines w:val="0"/>
        <w:pageBreakBefore w:val="0"/>
        <w:numPr>
          <w:ilvl w:val="0"/>
          <w:numId w:val="0"/>
        </w:numPr>
        <w:kinsoku/>
        <w:wordWrap/>
        <w:overflowPunct/>
        <w:topLinePunct w:val="0"/>
        <w:autoSpaceDE/>
        <w:autoSpaceDN/>
        <w:bidi w:val="0"/>
        <w:adjustRightInd/>
        <w:snapToGrid w:val="0"/>
        <w:spacing w:line="580" w:lineRule="exact"/>
        <w:ind w:firstLine="643" w:firstLineChars="200"/>
        <w:textAlignment w:val="auto"/>
        <w:outlineLvl w:val="9"/>
        <w:rPr>
          <w:rFonts w:ascii="仿宋" w:hAnsi="仿宋" w:eastAsia="仿宋" w:cs="仿宋"/>
          <w:color w:val="FF0000"/>
          <w:sz w:val="32"/>
          <w:szCs w:val="32"/>
        </w:rPr>
      </w:pPr>
      <w:r>
        <w:rPr>
          <w:rFonts w:hint="eastAsia" w:ascii="宋体" w:hAnsi="仿宋" w:cs="仿宋"/>
          <w:b/>
          <w:bCs/>
          <w:color w:val="auto"/>
          <w:sz w:val="32"/>
          <w:szCs w:val="32"/>
          <w:lang w:eastAsia="zh-CN"/>
        </w:rPr>
        <w:t>六、</w:t>
      </w:r>
      <w:r>
        <w:rPr>
          <w:rFonts w:hint="eastAsia" w:ascii="宋体" w:hAnsi="仿宋" w:cs="仿宋"/>
          <w:b/>
          <w:bCs/>
          <w:color w:val="auto"/>
          <w:sz w:val="32"/>
          <w:szCs w:val="32"/>
        </w:rPr>
        <w:t>支出</w:t>
      </w:r>
      <w:r>
        <w:rPr>
          <w:rFonts w:hint="eastAsia" w:ascii="宋体" w:hAnsi="仿宋" w:cs="仿宋"/>
          <w:b/>
          <w:bCs/>
          <w:color w:val="auto"/>
          <w:sz w:val="32"/>
          <w:szCs w:val="32"/>
          <w:lang w:eastAsia="zh-CN"/>
        </w:rPr>
        <w:t>预算</w:t>
      </w:r>
      <w:r>
        <w:rPr>
          <w:rFonts w:hint="eastAsia" w:ascii="宋体" w:hAnsi="仿宋" w:cs="仿宋"/>
          <w:b/>
          <w:bCs/>
          <w:color w:val="auto"/>
          <w:sz w:val="32"/>
          <w:szCs w:val="32"/>
        </w:rPr>
        <w:t>经济分类</w:t>
      </w:r>
      <w:r>
        <w:rPr>
          <w:rFonts w:hint="eastAsia" w:ascii="宋体" w:hAnsi="仿宋" w:cs="仿宋"/>
          <w:b/>
          <w:bCs/>
          <w:color w:val="auto"/>
          <w:sz w:val="32"/>
          <w:szCs w:val="32"/>
          <w:lang w:eastAsia="zh-CN"/>
        </w:rPr>
        <w:t>汇总表</w:t>
      </w:r>
      <w:r>
        <w:rPr>
          <w:rFonts w:hint="eastAsia" w:ascii="宋体" w:hAnsi="仿宋" w:cs="仿宋"/>
          <w:b/>
          <w:bCs/>
          <w:color w:val="auto"/>
          <w:sz w:val="32"/>
          <w:szCs w:val="32"/>
        </w:rPr>
        <w:t xml:space="preserve"> </w:t>
      </w:r>
      <w:r>
        <w:rPr>
          <w:rFonts w:hint="eastAsia" w:ascii="仿宋" w:hAnsi="仿宋" w:eastAsia="仿宋" w:cs="仿宋"/>
          <w:color w:val="FF0000"/>
          <w:sz w:val="32"/>
          <w:szCs w:val="32"/>
        </w:rPr>
        <w:t xml:space="preserve"> </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从2018年起从仅反映一般公共预算基本支出经济分类项目预算调整为按两套经济分类科目分别反应不同资金来源的全部预算支出。</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outlineLvl w:val="9"/>
        <w:rPr>
          <w:rFonts w:ascii="仿宋" w:hAnsi="仿宋" w:eastAsia="仿宋" w:cs="仿宋"/>
          <w:sz w:val="32"/>
          <w:szCs w:val="32"/>
        </w:rPr>
      </w:pP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852.22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735.52</w:t>
      </w:r>
      <w:r>
        <w:rPr>
          <w:rFonts w:hint="eastAsia" w:ascii="仿宋_GB2312" w:hAnsi="仿宋_GB2312" w:eastAsia="仿宋_GB2312" w:cs="仿宋_GB2312"/>
          <w:sz w:val="32"/>
          <w:szCs w:val="32"/>
        </w:rPr>
        <w:t>万元，主要包括：基本工资、津贴补贴、奖金、绩效工资、机关事业单位基本养老保险缴费、职业年金缴费、医疗保险缴费、其他社会保障缴费、住房公积金、其他工资福利支出、退休费、其他对个人和家庭的补助支出；项目支出</w:t>
      </w:r>
      <w:r>
        <w:rPr>
          <w:rFonts w:hint="eastAsia" w:ascii="仿宋_GB2312" w:hAnsi="仿宋_GB2312" w:eastAsia="仿宋_GB2312" w:cs="仿宋_GB2312"/>
          <w:sz w:val="32"/>
          <w:szCs w:val="32"/>
          <w:lang w:val="en-US" w:eastAsia="zh-CN"/>
        </w:rPr>
        <w:t>116.71</w:t>
      </w:r>
      <w:r>
        <w:rPr>
          <w:rFonts w:hint="eastAsia" w:ascii="仿宋_GB2312" w:hAnsi="仿宋_GB2312" w:eastAsia="仿宋_GB2312" w:cs="仿宋_GB2312"/>
          <w:sz w:val="32"/>
          <w:szCs w:val="32"/>
        </w:rPr>
        <w:t>万元，主要包括：办公费、印刷费、邮电费、差旅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费、维修（护）费、租赁费、会议费、培训费、公务接待费、劳务费、福利费、公务用车运行维护费、其他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交通费用、其他商品和服务支出、办公设备购置、信息网络及软件购置更新和其他支出。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ind w:firstLine="643" w:firstLineChars="200"/>
        <w:rPr>
          <w:rFonts w:ascii="仿宋" w:hAnsi="仿宋" w:eastAsia="仿宋" w:cs="仿宋"/>
          <w:sz w:val="32"/>
          <w:szCs w:val="32"/>
        </w:rPr>
      </w:pPr>
      <w:r>
        <w:rPr>
          <w:rFonts w:hint="eastAsia" w:ascii="宋体" w:hAnsi="仿宋" w:cs="仿宋"/>
          <w:b/>
          <w:bCs/>
          <w:sz w:val="32"/>
          <w:szCs w:val="32"/>
          <w:lang w:val="en-US" w:eastAsia="zh-CN"/>
        </w:rPr>
        <w:t>七</w:t>
      </w:r>
      <w:r>
        <w:rPr>
          <w:rFonts w:hint="eastAsia" w:ascii="宋体" w:hAnsi="仿宋" w:cs="仿宋"/>
          <w:b/>
          <w:bCs/>
          <w:sz w:val="32"/>
          <w:szCs w:val="32"/>
        </w:rPr>
        <w:t>、</w:t>
      </w:r>
      <w:r>
        <w:rPr>
          <w:rFonts w:hint="eastAsia" w:ascii="宋体" w:hAnsi="仿宋" w:cs="仿宋"/>
          <w:b/>
          <w:bCs/>
          <w:sz w:val="32"/>
          <w:szCs w:val="32"/>
          <w:lang w:val="en-US" w:eastAsia="zh-CN"/>
        </w:rPr>
        <w:t>“三公”经费支出预算情况说明</w:t>
      </w:r>
      <w:r>
        <w:rPr>
          <w:rFonts w:hint="eastAsia" w:ascii="宋体" w:hAnsi="仿宋" w:cs="仿宋"/>
          <w:b/>
          <w:bCs/>
          <w:sz w:val="32"/>
          <w:szCs w:val="32"/>
          <w:lang w:val="en-US" w:eastAsia="zh-CN"/>
        </w:rPr>
        <w:tab/>
      </w:r>
      <w:r>
        <w:rPr>
          <w:rFonts w:hint="eastAsia" w:ascii="仿宋" w:hAnsi="仿宋" w:eastAsia="仿宋" w:cs="仿宋"/>
          <w:sz w:val="32"/>
          <w:szCs w:val="32"/>
        </w:rPr>
        <w:tab/>
      </w:r>
      <w:r>
        <w:rPr>
          <w:rFonts w:hint="eastAsia" w:ascii="仿宋" w:hAnsi="仿宋" w:eastAsia="仿宋" w:cs="仿宋"/>
          <w:sz w:val="32"/>
          <w:szCs w:val="32"/>
        </w:rPr>
        <w:tab/>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“三公”经费公共预算</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“三公”经费支出预算数比上年增加0万元，主要原因是认真贯彻落实中央八项规定精神，坚持厉行勤俭节约，其中：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（一）因公出国（境）费</w:t>
      </w:r>
      <w:r>
        <w:rPr>
          <w:rFonts w:hint="eastAsia" w:ascii="仿宋" w:hAnsi="仿宋" w:eastAsia="仿宋" w:cs="仿宋"/>
          <w:b/>
          <w:sz w:val="32"/>
          <w:szCs w:val="32"/>
          <w:lang w:val="en-US" w:eastAsia="zh-CN"/>
        </w:rPr>
        <w:t xml:space="preserve">  </w:t>
      </w:r>
      <w:r>
        <w:rPr>
          <w:rFonts w:hint="eastAsia" w:ascii="仿宋_GB2312" w:hAnsi="仿宋_GB2312" w:eastAsia="仿宋_GB2312" w:cs="仿宋_GB2312"/>
          <w:sz w:val="32"/>
          <w:szCs w:val="32"/>
        </w:rPr>
        <w:t>预算0万元，预算数与上年持平。预算数与 2020 年持平，主要原因是我单位</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无因公出国境任务。</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（二）公务用车购置及运行费</w:t>
      </w:r>
      <w:r>
        <w:rPr>
          <w:rFonts w:hint="eastAsia" w:ascii="仿宋" w:hAnsi="仿宋" w:eastAsia="仿宋" w:cs="仿宋"/>
          <w:b/>
          <w:sz w:val="32"/>
          <w:szCs w:val="32"/>
          <w:lang w:val="en-US" w:eastAsia="zh-CN"/>
        </w:rPr>
        <w:t xml:space="preserve">  </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万元，占“三公”经费总额的8</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%。其中，公务用车运行费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万元，占“三公”经费总额的8</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主要原因是继续贯彻落实中央八项规定精神，坚持厉行勤俭节约，进一步规范公务用车制度，严格控制公务用车范围，主要用于日常公务发生的燃料费、维修费、过路过桥费、保险费等支出；公务用车购置预算为 0万元，主要原因是落实公车改革政策、加强公务用车管理，严控公务用车支出。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 w:hAnsi="仿宋" w:eastAsia="仿宋" w:cs="仿宋"/>
          <w:b/>
          <w:sz w:val="32"/>
          <w:szCs w:val="32"/>
        </w:rPr>
        <w:t>（三）公务接待费</w:t>
      </w:r>
      <w:r>
        <w:rPr>
          <w:rFonts w:hint="eastAsia" w:ascii="仿宋" w:hAnsi="仿宋" w:eastAsia="仿宋" w:cs="仿宋"/>
          <w:b/>
          <w:sz w:val="32"/>
          <w:szCs w:val="32"/>
          <w:lang w:val="en-US" w:eastAsia="zh-CN"/>
        </w:rPr>
        <w:t xml:space="preserve">  </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万元，预算数</w:t>
      </w:r>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上年</w:t>
      </w:r>
      <w:r>
        <w:rPr>
          <w:rFonts w:hint="eastAsia" w:ascii="仿宋_GB2312" w:hAnsi="仿宋_GB2312" w:eastAsia="仿宋_GB2312" w:cs="仿宋_GB2312"/>
          <w:sz w:val="32"/>
          <w:szCs w:val="32"/>
          <w:lang w:val="en-US" w:eastAsia="zh-CN"/>
        </w:rPr>
        <w:t>减少0.6万元</w:t>
      </w:r>
      <w:r>
        <w:rPr>
          <w:rFonts w:hint="eastAsia" w:ascii="仿宋_GB2312" w:hAnsi="仿宋_GB2312" w:eastAsia="仿宋_GB2312" w:cs="仿宋_GB2312"/>
          <w:sz w:val="32"/>
          <w:szCs w:val="32"/>
        </w:rPr>
        <w:t>。</w:t>
      </w:r>
      <w:r>
        <w:rPr>
          <w:rFonts w:hint="eastAsia" w:ascii="仿宋_GB2312" w:hAnsi="仿宋_GB2312" w:eastAsia="仿宋_GB2312" w:cs="仿宋_GB2312"/>
          <w:bCs/>
          <w:kern w:val="0"/>
          <w:sz w:val="32"/>
          <w:szCs w:val="32"/>
        </w:rPr>
        <w:t>主要原因是严格执行《党政机关国内公务接待管理规定》等办法，不断规范公务接待管理，严格接待审批控制，厉行勤俭节约，不断压缩公务接待费支出等。</w:t>
      </w:r>
    </w:p>
    <w:p>
      <w:pPr>
        <w:keepNext w:val="0"/>
        <w:keepLines w:val="0"/>
        <w:pageBreakBefore w:val="0"/>
        <w:kinsoku/>
        <w:wordWrap/>
        <w:overflowPunct/>
        <w:topLinePunct w:val="0"/>
        <w:autoSpaceDE/>
        <w:autoSpaceDN/>
        <w:bidi w:val="0"/>
        <w:adjustRightInd/>
        <w:snapToGrid w:val="0"/>
        <w:spacing w:line="580" w:lineRule="exact"/>
        <w:ind w:firstLine="640"/>
        <w:textAlignment w:val="auto"/>
        <w:outlineLvl w:val="9"/>
        <w:rPr>
          <w:rFonts w:ascii="仿宋" w:hAnsi="仿宋" w:eastAsia="仿宋" w:cs="仿宋"/>
          <w:sz w:val="32"/>
          <w:szCs w:val="32"/>
        </w:rPr>
      </w:pPr>
      <w:r>
        <w:rPr>
          <w:rFonts w:hint="eastAsia" w:ascii="宋体" w:hAnsi="仿宋" w:cs="仿宋"/>
          <w:b/>
          <w:bCs/>
          <w:sz w:val="32"/>
          <w:szCs w:val="32"/>
          <w:lang w:val="en-US" w:eastAsia="zh-CN"/>
        </w:rPr>
        <w:t>八</w:t>
      </w:r>
      <w:r>
        <w:rPr>
          <w:rFonts w:hint="eastAsia" w:ascii="宋体" w:hAnsi="仿宋" w:cs="仿宋"/>
          <w:b/>
          <w:bCs/>
          <w:sz w:val="32"/>
          <w:szCs w:val="32"/>
        </w:rPr>
        <w:t>、</w:t>
      </w:r>
      <w:r>
        <w:rPr>
          <w:rFonts w:hint="eastAsia" w:ascii="宋体" w:hAnsi="仿宋" w:cs="仿宋"/>
          <w:b/>
          <w:bCs/>
          <w:sz w:val="32"/>
          <w:szCs w:val="32"/>
          <w:lang w:val="en-US" w:eastAsia="zh-CN"/>
        </w:rPr>
        <w:t>政府性基预算金支出预算情况说明</w:t>
      </w:r>
      <w:r>
        <w:rPr>
          <w:rFonts w:hint="eastAsia" w:ascii="宋体" w:hAnsi="仿宋" w:cs="仿宋"/>
          <w:b/>
          <w:bCs/>
          <w:sz w:val="32"/>
          <w:szCs w:val="32"/>
          <w:lang w:val="en-US" w:eastAsia="zh-CN"/>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政府性基金预算支出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万元，预算数与上年持平。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b/>
          <w:bCs/>
          <w:sz w:val="32"/>
          <w:szCs w:val="32"/>
        </w:rPr>
        <w:t xml:space="preserve"> </w:t>
      </w: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outlineLvl w:val="9"/>
        <w:rPr>
          <w:rFonts w:ascii="宋体" w:hAnsi="仿宋" w:cs="仿宋"/>
          <w:b/>
          <w:bCs/>
          <w:sz w:val="32"/>
          <w:szCs w:val="32"/>
        </w:rPr>
      </w:pPr>
      <w:r>
        <w:rPr>
          <w:rFonts w:hint="eastAsia" w:ascii="宋体" w:hAnsi="仿宋" w:cs="仿宋"/>
          <w:b/>
          <w:bCs/>
          <w:sz w:val="32"/>
          <w:szCs w:val="32"/>
          <w:lang w:val="en-US" w:eastAsia="zh-CN"/>
        </w:rPr>
        <w:t>九、</w:t>
      </w:r>
      <w:r>
        <w:rPr>
          <w:rFonts w:hint="eastAsia" w:ascii="宋体" w:hAnsi="仿宋" w:cs="仿宋"/>
          <w:b/>
          <w:bCs/>
          <w:sz w:val="32"/>
          <w:szCs w:val="32"/>
        </w:rPr>
        <w:t>其他</w:t>
      </w:r>
      <w:r>
        <w:rPr>
          <w:rFonts w:ascii="宋体" w:hAnsi="仿宋" w:cs="仿宋"/>
          <w:b/>
          <w:bCs/>
          <w:sz w:val="32"/>
          <w:szCs w:val="32"/>
        </w:rPr>
        <w:t>重要事项情况说明</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（一）机关运行经费预算</w:t>
      </w:r>
      <w:r>
        <w:rPr>
          <w:rFonts w:hint="eastAsia" w:ascii="仿宋" w:hAnsi="仿宋" w:eastAsia="仿宋" w:cs="仿宋"/>
          <w:b/>
          <w:sz w:val="32"/>
          <w:szCs w:val="32"/>
        </w:rPr>
        <w:tab/>
      </w:r>
      <w:r>
        <w:rPr>
          <w:rFonts w:hint="eastAsia" w:ascii="仿宋" w:hAnsi="仿宋" w:eastAsia="仿宋" w:cs="仿宋"/>
          <w:b/>
          <w:sz w:val="32"/>
          <w:szCs w:val="32"/>
        </w:rPr>
        <w:tab/>
      </w:r>
      <w:r>
        <w:rPr>
          <w:rFonts w:hint="eastAsia" w:ascii="仿宋" w:hAnsi="仿宋" w:eastAsia="仿宋" w:cs="仿宋"/>
          <w:b/>
          <w:sz w:val="32"/>
          <w:szCs w:val="32"/>
        </w:rPr>
        <w:tab/>
      </w:r>
      <w:r>
        <w:rPr>
          <w:rFonts w:hint="eastAsia" w:ascii="仿宋" w:hAnsi="仿宋" w:eastAsia="仿宋" w:cs="仿宋"/>
          <w:b/>
          <w:sz w:val="32"/>
          <w:szCs w:val="32"/>
        </w:rPr>
        <w:tab/>
      </w:r>
      <w:r>
        <w:rPr>
          <w:rFonts w:hint="eastAsia" w:ascii="仿宋" w:hAnsi="仿宋" w:eastAsia="仿宋" w:cs="仿宋"/>
          <w:b/>
          <w:sz w:val="32"/>
          <w:szCs w:val="32"/>
        </w:rPr>
        <w:tab/>
      </w:r>
      <w:r>
        <w:rPr>
          <w:rFonts w:hint="eastAsia" w:ascii="仿宋" w:hAnsi="仿宋" w:eastAsia="仿宋" w:cs="仿宋"/>
          <w:b/>
          <w:sz w:val="32"/>
          <w:szCs w:val="32"/>
        </w:rPr>
        <w:tab/>
      </w:r>
      <w:bookmarkStart w:id="0" w:name="_GoBack"/>
      <w:bookmarkEnd w:id="0"/>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，机关运行经费支出预算</w:t>
      </w:r>
      <w:r>
        <w:rPr>
          <w:rFonts w:hint="eastAsia" w:ascii="仿宋_GB2312" w:hAnsi="仿宋_GB2312" w:eastAsia="仿宋_GB2312" w:cs="仿宋_GB2312"/>
          <w:sz w:val="32"/>
          <w:szCs w:val="32"/>
          <w:lang w:val="en-US" w:eastAsia="zh-CN"/>
        </w:rPr>
        <w:t>32.34</w:t>
      </w:r>
      <w:r>
        <w:rPr>
          <w:rFonts w:hint="eastAsia" w:ascii="仿宋_GB2312" w:hAnsi="仿宋_GB2312" w:eastAsia="仿宋_GB2312" w:cs="仿宋_GB2312"/>
          <w:sz w:val="32"/>
          <w:szCs w:val="32"/>
        </w:rPr>
        <w:t>万元，主要用于办公及印刷费、邮电费、差旅费、会议费、水、电、暖、物业管理等运行维护费、公务用车运行维护费以及其他费用。</w:t>
      </w: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outlineLvl w:val="9"/>
        <w:rPr>
          <w:rFonts w:ascii="仿宋" w:hAnsi="仿宋" w:eastAsia="仿宋" w:cs="仿宋"/>
          <w:sz w:val="32"/>
          <w:szCs w:val="32"/>
        </w:rPr>
      </w:pPr>
      <w:r>
        <w:rPr>
          <w:rFonts w:hint="eastAsia" w:ascii="仿宋" w:hAnsi="仿宋" w:eastAsia="仿宋" w:cs="仿宋"/>
          <w:b/>
          <w:bCs/>
          <w:sz w:val="32"/>
          <w:szCs w:val="32"/>
        </w:rPr>
        <w:t>（二）政府采购情况说明</w:t>
      </w:r>
      <w:r>
        <w:rPr>
          <w:rFonts w:hint="eastAsia" w:ascii="仿宋" w:hAnsi="仿宋" w:eastAsia="仿宋" w:cs="仿宋"/>
          <w:b/>
          <w:bCs/>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p>
    <w:p>
      <w:pPr>
        <w:pStyle w:val="6"/>
        <w:keepNext w:val="0"/>
        <w:keepLines w:val="0"/>
        <w:pageBreakBefore w:val="0"/>
        <w:widowControl/>
        <w:kinsoku/>
        <w:wordWrap/>
        <w:overflowPunct/>
        <w:topLinePunct w:val="0"/>
        <w:autoSpaceDE/>
        <w:autoSpaceDN/>
        <w:bidi w:val="0"/>
        <w:adjustRightInd/>
        <w:spacing w:beforeAutospacing="0" w:afterAutospacing="0" w:line="580" w:lineRule="exac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，政府采购预算安排</w:t>
      </w:r>
      <w:r>
        <w:rPr>
          <w:rFonts w:hint="eastAsia" w:ascii="仿宋_GB2312" w:hAnsi="仿宋_GB2312" w:eastAsia="仿宋_GB2312" w:cs="仿宋_GB2312"/>
          <w:sz w:val="32"/>
          <w:szCs w:val="32"/>
          <w:lang w:val="en-US" w:eastAsia="zh-CN"/>
        </w:rPr>
        <w:t>494.83</w:t>
      </w:r>
      <w:r>
        <w:rPr>
          <w:rFonts w:hint="eastAsia" w:ascii="仿宋_GB2312" w:hAnsi="仿宋_GB2312" w:eastAsia="仿宋_GB2312" w:cs="仿宋_GB2312"/>
          <w:sz w:val="32"/>
          <w:szCs w:val="32"/>
        </w:rPr>
        <w:t>万元，其中：政府采购货物预算2</w:t>
      </w:r>
      <w:r>
        <w:rPr>
          <w:rFonts w:hint="eastAsia" w:ascii="仿宋_GB2312" w:hAnsi="仿宋_GB2312" w:eastAsia="仿宋_GB2312" w:cs="仿宋_GB2312"/>
          <w:sz w:val="32"/>
          <w:szCs w:val="32"/>
          <w:lang w:val="en-US" w:eastAsia="zh-CN"/>
        </w:rPr>
        <w:t>1.78</w:t>
      </w:r>
      <w:r>
        <w:rPr>
          <w:rFonts w:hint="eastAsia" w:ascii="仿宋_GB2312" w:hAnsi="仿宋_GB2312" w:eastAsia="仿宋_GB2312" w:cs="仿宋_GB2312"/>
          <w:sz w:val="32"/>
          <w:szCs w:val="32"/>
        </w:rPr>
        <w:t>万元、政府采购工程预算</w:t>
      </w:r>
      <w:r>
        <w:rPr>
          <w:rFonts w:hint="eastAsia" w:ascii="仿宋_GB2312" w:hAnsi="仿宋_GB2312" w:eastAsia="仿宋_GB2312" w:cs="仿宋_GB2312"/>
          <w:sz w:val="32"/>
          <w:szCs w:val="32"/>
          <w:lang w:val="en-US" w:eastAsia="zh-CN"/>
        </w:rPr>
        <w:t>370</w:t>
      </w:r>
      <w:r>
        <w:rPr>
          <w:rFonts w:hint="eastAsia" w:ascii="仿宋_GB2312" w:hAnsi="仿宋_GB2312" w:eastAsia="仿宋_GB2312" w:cs="仿宋_GB2312"/>
          <w:sz w:val="32"/>
          <w:szCs w:val="32"/>
        </w:rPr>
        <w:t>万元、政府采购服务预算</w:t>
      </w:r>
      <w:r>
        <w:rPr>
          <w:rFonts w:hint="eastAsia" w:ascii="仿宋_GB2312" w:hAnsi="仿宋_GB2312" w:eastAsia="仿宋_GB2312" w:cs="仿宋_GB2312"/>
          <w:sz w:val="32"/>
          <w:szCs w:val="32"/>
          <w:lang w:val="en-US" w:eastAsia="zh-CN"/>
        </w:rPr>
        <w:t>103.05</w:t>
      </w:r>
      <w:r>
        <w:rPr>
          <w:rFonts w:hint="eastAsia" w:ascii="仿宋_GB2312" w:hAnsi="仿宋_GB2312" w:eastAsia="仿宋_GB2312" w:cs="仿宋_GB2312"/>
          <w:sz w:val="32"/>
          <w:szCs w:val="32"/>
        </w:rPr>
        <w:t>万元 。主要用于</w:t>
      </w:r>
      <w:r>
        <w:rPr>
          <w:rFonts w:hint="eastAsia" w:ascii="仿宋_GB2312" w:hAnsi="仿宋_GB2312" w:eastAsia="仿宋_GB2312" w:cs="仿宋_GB2312"/>
          <w:sz w:val="32"/>
          <w:szCs w:val="32"/>
          <w:lang w:val="en-US" w:eastAsia="zh-CN"/>
        </w:rPr>
        <w:t>应急指挥平台建设、全国第一次自然灾害综合风险普查、</w:t>
      </w:r>
      <w:r>
        <w:rPr>
          <w:rFonts w:hint="eastAsia" w:ascii="仿宋_GB2312" w:hAnsi="仿宋_GB2312" w:eastAsia="仿宋_GB2312" w:cs="仿宋_GB2312"/>
          <w:sz w:val="32"/>
          <w:szCs w:val="32"/>
        </w:rPr>
        <w:t xml:space="preserve">办公设备、办公用品购置及印刷品。 </w:t>
      </w: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outlineLvl w:val="9"/>
        <w:rPr>
          <w:rFonts w:ascii="仿宋" w:hAnsi="仿宋" w:eastAsia="仿宋" w:cs="仿宋"/>
          <w:b/>
          <w:sz w:val="32"/>
          <w:szCs w:val="32"/>
        </w:rPr>
      </w:pPr>
      <w:r>
        <w:rPr>
          <w:rFonts w:hint="eastAsia" w:ascii="仿宋" w:hAnsi="仿宋" w:eastAsia="仿宋" w:cs="仿宋"/>
          <w:b/>
          <w:bCs/>
          <w:sz w:val="32"/>
          <w:szCs w:val="32"/>
        </w:rPr>
        <w:t>（三）</w:t>
      </w:r>
      <w:r>
        <w:rPr>
          <w:rFonts w:hint="eastAsia" w:ascii="仿宋" w:hAnsi="仿宋" w:eastAsia="仿宋" w:cs="仿宋"/>
          <w:b/>
          <w:sz w:val="32"/>
          <w:szCs w:val="32"/>
        </w:rPr>
        <w:t>国有资产占用情况</w:t>
      </w: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期末</w:t>
      </w:r>
      <w:r>
        <w:rPr>
          <w:rFonts w:hint="eastAsia" w:ascii="仿宋_GB2312" w:hAnsi="仿宋_GB2312" w:eastAsia="仿宋_GB2312" w:cs="仿宋_GB2312"/>
          <w:sz w:val="32"/>
          <w:szCs w:val="32"/>
        </w:rPr>
        <w:t>，我单位实有车辆</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val="en-US" w:eastAsia="zh-CN"/>
        </w:rPr>
        <w:t>3辆</w:t>
      </w:r>
      <w:r>
        <w:rPr>
          <w:rFonts w:hint="eastAsia" w:ascii="仿宋_GB2312" w:hAnsi="仿宋_GB2312" w:eastAsia="仿宋_GB2312" w:cs="仿宋_GB2312"/>
          <w:sz w:val="32"/>
          <w:szCs w:val="32"/>
        </w:rPr>
        <w:t>为公务用车改革后从其他单位调入。其中：一般公务用车3辆,一般执法执勤用车0辆、特种专业技术用车0辆，其他用车0辆；单价50万元以上通用设备1套，单位价值100万元以上专用设备0套。</w:t>
      </w: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rPr>
        <w:t>（五）专项转移支付项目情况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没有专项转移支付项目。</w:t>
      </w:r>
    </w:p>
    <w:p>
      <w:pPr>
        <w:keepNext w:val="0"/>
        <w:keepLines w:val="0"/>
        <w:pageBreakBefore w:val="0"/>
        <w:kinsoku/>
        <w:wordWrap/>
        <w:overflowPunct/>
        <w:topLinePunct w:val="0"/>
        <w:autoSpaceDE/>
        <w:autoSpaceDN/>
        <w:bidi w:val="0"/>
        <w:adjustRightInd/>
        <w:snapToGrid w:val="0"/>
        <w:spacing w:line="580" w:lineRule="exact"/>
        <w:jc w:val="both"/>
        <w:textAlignment w:val="auto"/>
        <w:outlineLvl w:val="9"/>
        <w:rPr>
          <w:rFonts w:ascii="仿宋" w:hAnsi="仿宋" w:eastAsia="仿宋" w:cs="仿宋"/>
          <w:b/>
          <w:bCs/>
          <w:sz w:val="32"/>
          <w:szCs w:val="32"/>
        </w:rPr>
      </w:pPr>
    </w:p>
    <w:p>
      <w:pPr>
        <w:keepNext w:val="0"/>
        <w:keepLines w:val="0"/>
        <w:pageBreakBefore w:val="0"/>
        <w:kinsoku/>
        <w:wordWrap/>
        <w:overflowPunct/>
        <w:topLinePunct w:val="0"/>
        <w:autoSpaceDE/>
        <w:autoSpaceDN/>
        <w:bidi w:val="0"/>
        <w:adjustRightInd/>
        <w:snapToGrid w:val="0"/>
        <w:spacing w:line="580" w:lineRule="exact"/>
        <w:ind w:firstLine="3534" w:firstLineChars="1100"/>
        <w:jc w:val="both"/>
        <w:textAlignment w:val="auto"/>
        <w:outlineLvl w:val="9"/>
        <w:rPr>
          <w:rFonts w:ascii="宋体" w:hAnsi="仿宋" w:cs="仿宋"/>
          <w:b/>
          <w:bCs/>
          <w:sz w:val="32"/>
          <w:szCs w:val="32"/>
        </w:rPr>
      </w:pPr>
      <w:r>
        <w:rPr>
          <w:rFonts w:hint="eastAsia" w:ascii="宋体" w:hAnsi="仿宋" w:cs="仿宋"/>
          <w:b/>
          <w:bCs/>
          <w:sz w:val="32"/>
          <w:szCs w:val="32"/>
        </w:rPr>
        <w:t xml:space="preserve">第三部分 </w:t>
      </w:r>
    </w:p>
    <w:p>
      <w:pPr>
        <w:keepNext w:val="0"/>
        <w:keepLines w:val="0"/>
        <w:pageBreakBefore w:val="0"/>
        <w:kinsoku/>
        <w:wordWrap/>
        <w:overflowPunct/>
        <w:topLinePunct w:val="0"/>
        <w:autoSpaceDE/>
        <w:autoSpaceDN/>
        <w:bidi w:val="0"/>
        <w:adjustRightInd/>
        <w:snapToGrid w:val="0"/>
        <w:spacing w:line="580" w:lineRule="exact"/>
        <w:ind w:firstLine="3534" w:firstLineChars="1100"/>
        <w:jc w:val="both"/>
        <w:textAlignment w:val="auto"/>
        <w:outlineLvl w:val="9"/>
        <w:rPr>
          <w:rFonts w:hint="eastAsia" w:ascii="宋体" w:hAnsi="仿宋" w:cs="仿宋"/>
          <w:b/>
          <w:bCs/>
          <w:sz w:val="32"/>
          <w:szCs w:val="32"/>
        </w:rPr>
      </w:pPr>
      <w:r>
        <w:rPr>
          <w:rFonts w:hint="eastAsia" w:ascii="宋体" w:hAnsi="仿宋" w:cs="仿宋"/>
          <w:b/>
          <w:bCs/>
          <w:sz w:val="32"/>
          <w:szCs w:val="32"/>
        </w:rPr>
        <w:t>名词解释</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一、财政拨款收入：是指省级财政当年拨付的资金。</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二、事业收入：是指事业单位开展专业活动及辅助活动所取得的收入。</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三、其他收入：是指部门取得的除“财政拨款”、“事业收入”、“事业单位经营收入”等以外的收入。</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五、基本支出：是指为保障机构正常运转、完成日常工作任务所必需的开支，其内容包括人员经费和日常公用经费两部分。</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六、项目支出：是指在基本支出之外，为完成特定的行政工作任务或事业发展目标所发生的支出。</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outlineLvl w:val="9"/>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val="0"/>
        <w:spacing w:line="580" w:lineRule="exact"/>
        <w:textAlignment w:val="auto"/>
        <w:outlineLvl w:val="9"/>
        <w:rPr>
          <w:rFonts w:ascii="宋体" w:hAnsi="仿宋" w:cs="仿宋"/>
          <w:b/>
          <w:sz w:val="32"/>
          <w:szCs w:val="32"/>
        </w:rPr>
      </w:pPr>
      <w:r>
        <w:rPr>
          <w:rFonts w:hint="eastAsia" w:ascii="宋体" w:hAnsi="仿宋" w:cs="仿宋"/>
          <w:b/>
          <w:sz w:val="32"/>
          <w:szCs w:val="32"/>
        </w:rPr>
        <w:t>附件：</w:t>
      </w: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outlineLvl w:val="9"/>
        <w:rPr>
          <w:rFonts w:ascii="仿宋" w:hAnsi="仿宋" w:eastAsia="仿宋" w:cs="仿宋"/>
          <w:sz w:val="32"/>
          <w:szCs w:val="32"/>
        </w:rPr>
      </w:pPr>
      <w:r>
        <w:rPr>
          <w:rFonts w:hint="eastAsia" w:ascii="宋体" w:hAnsi="仿宋" w:cs="仿宋"/>
          <w:b/>
          <w:sz w:val="32"/>
          <w:szCs w:val="32"/>
        </w:rPr>
        <w:t xml:space="preserve">     </w:t>
      </w:r>
      <w:r>
        <w:rPr>
          <w:rFonts w:ascii="宋体" w:hAnsi="仿宋" w:cs="仿宋"/>
          <w:b/>
          <w:sz w:val="32"/>
          <w:szCs w:val="32"/>
        </w:rPr>
        <w:t xml:space="preserve"> </w:t>
      </w:r>
      <w:r>
        <w:rPr>
          <w:rFonts w:hint="eastAsia" w:ascii="宋体" w:hAnsi="仿宋" w:cs="仿宋"/>
          <w:b/>
          <w:sz w:val="32"/>
          <w:szCs w:val="32"/>
        </w:rPr>
        <w:t>平</w:t>
      </w:r>
      <w:r>
        <w:rPr>
          <w:rFonts w:ascii="宋体" w:hAnsi="仿宋" w:cs="仿宋"/>
          <w:b/>
          <w:sz w:val="32"/>
          <w:szCs w:val="32"/>
        </w:rPr>
        <w:t>顶山市卫东区应急</w:t>
      </w:r>
      <w:r>
        <w:rPr>
          <w:rFonts w:hint="eastAsia" w:ascii="宋体" w:hAnsi="仿宋" w:cs="仿宋"/>
          <w:b/>
          <w:sz w:val="32"/>
          <w:szCs w:val="32"/>
        </w:rPr>
        <w:t>管理局</w:t>
      </w:r>
      <w:r>
        <w:rPr>
          <w:rFonts w:hint="eastAsia" w:ascii="宋体" w:hAnsi="仿宋" w:cs="仿宋"/>
          <w:b/>
          <w:sz w:val="32"/>
          <w:szCs w:val="32"/>
          <w:lang w:eastAsia="zh-CN"/>
        </w:rPr>
        <w:t>2022年</w:t>
      </w:r>
      <w:r>
        <w:rPr>
          <w:rFonts w:hint="eastAsia" w:ascii="宋体" w:hAnsi="仿宋" w:cs="仿宋"/>
          <w:b/>
          <w:sz w:val="32"/>
          <w:szCs w:val="32"/>
        </w:rPr>
        <w:t>部门</w:t>
      </w:r>
      <w:r>
        <w:rPr>
          <w:rFonts w:ascii="宋体" w:hAnsi="仿宋" w:cs="仿宋"/>
          <w:b/>
          <w:sz w:val="32"/>
          <w:szCs w:val="32"/>
        </w:rPr>
        <w:t>预算表</w:t>
      </w:r>
      <w:r>
        <w:rPr>
          <w:rFonts w:hint="eastAsia" w:ascii="宋体" w:hAnsi="仿宋" w:cs="仿宋"/>
          <w:b/>
          <w:sz w:val="32"/>
          <w:szCs w:val="32"/>
        </w:rPr>
        <w:tab/>
      </w:r>
      <w:r>
        <w:rPr>
          <w:rFonts w:hint="eastAsia" w:ascii="宋体" w:hAnsi="仿宋" w:cs="仿宋"/>
          <w:b/>
          <w:sz w:val="32"/>
          <w:szCs w:val="32"/>
        </w:rPr>
        <w:tab/>
      </w:r>
      <w:r>
        <w:rPr>
          <w:rFonts w:hint="eastAsia" w:ascii="仿宋" w:hAnsi="仿宋" w:eastAsia="仿宋" w:cs="仿宋"/>
          <w:sz w:val="32"/>
          <w:szCs w:val="32"/>
        </w:rPr>
        <w:tab/>
      </w:r>
    </w:p>
    <w:p>
      <w:pPr>
        <w:keepNext w:val="0"/>
        <w:keepLines w:val="0"/>
        <w:pageBreakBefore w:val="0"/>
        <w:kinsoku/>
        <w:wordWrap/>
        <w:overflowPunct/>
        <w:topLinePunct w:val="0"/>
        <w:autoSpaceDE/>
        <w:autoSpaceDN/>
        <w:bidi w:val="0"/>
        <w:adjustRightInd/>
        <w:snapToGrid w:val="0"/>
        <w:spacing w:line="580" w:lineRule="exact"/>
        <w:textAlignment w:val="auto"/>
        <w:outlineLvl w:val="9"/>
      </w:pP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p>
    <w:sectPr>
      <w:footerReference r:id="rId3" w:type="default"/>
      <w:pgSz w:w="11906" w:h="16838"/>
      <w:pgMar w:top="1814"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ZTVmNzNhYjhlOWNmMWRlOTEwZTYwNmU0ZGEzNDAifQ=="/>
  </w:docVars>
  <w:rsids>
    <w:rsidRoot w:val="00805ED7"/>
    <w:rsid w:val="003D51E1"/>
    <w:rsid w:val="00551058"/>
    <w:rsid w:val="00584523"/>
    <w:rsid w:val="00805ED7"/>
    <w:rsid w:val="00A520FA"/>
    <w:rsid w:val="00B63517"/>
    <w:rsid w:val="00CB6C12"/>
    <w:rsid w:val="00D4457A"/>
    <w:rsid w:val="00E45ABC"/>
    <w:rsid w:val="013A1502"/>
    <w:rsid w:val="037F5F87"/>
    <w:rsid w:val="04D469A9"/>
    <w:rsid w:val="0B592D39"/>
    <w:rsid w:val="0B7210C3"/>
    <w:rsid w:val="0E5B2F40"/>
    <w:rsid w:val="0FCC3387"/>
    <w:rsid w:val="10FB76EF"/>
    <w:rsid w:val="1193738A"/>
    <w:rsid w:val="1220200D"/>
    <w:rsid w:val="13590FA2"/>
    <w:rsid w:val="1429164C"/>
    <w:rsid w:val="17705C6B"/>
    <w:rsid w:val="17E8482B"/>
    <w:rsid w:val="18835423"/>
    <w:rsid w:val="1F592C9C"/>
    <w:rsid w:val="2015170F"/>
    <w:rsid w:val="24635CBD"/>
    <w:rsid w:val="24DD59A7"/>
    <w:rsid w:val="24E56F49"/>
    <w:rsid w:val="25AC5726"/>
    <w:rsid w:val="27CE0286"/>
    <w:rsid w:val="2A3113C8"/>
    <w:rsid w:val="3DF3748A"/>
    <w:rsid w:val="40ED1B37"/>
    <w:rsid w:val="41BC11F3"/>
    <w:rsid w:val="41FE3D14"/>
    <w:rsid w:val="434919BB"/>
    <w:rsid w:val="45874620"/>
    <w:rsid w:val="4A430842"/>
    <w:rsid w:val="50F26ABC"/>
    <w:rsid w:val="51DA34BE"/>
    <w:rsid w:val="53B60C7A"/>
    <w:rsid w:val="58D64137"/>
    <w:rsid w:val="5B073F0D"/>
    <w:rsid w:val="5DCE1B67"/>
    <w:rsid w:val="5E1F5D72"/>
    <w:rsid w:val="62E95FF9"/>
    <w:rsid w:val="651520D6"/>
    <w:rsid w:val="67C27117"/>
    <w:rsid w:val="67D7020E"/>
    <w:rsid w:val="68416BC9"/>
    <w:rsid w:val="6A282600"/>
    <w:rsid w:val="6B1118D9"/>
    <w:rsid w:val="6BD34353"/>
    <w:rsid w:val="6C6362D6"/>
    <w:rsid w:val="6CF21C5F"/>
    <w:rsid w:val="74A91CC2"/>
    <w:rsid w:val="770E33C7"/>
    <w:rsid w:val="77170059"/>
    <w:rsid w:val="7745546D"/>
    <w:rsid w:val="78821257"/>
    <w:rsid w:val="789A3641"/>
    <w:rsid w:val="7B9559D1"/>
    <w:rsid w:val="7BF86A6F"/>
    <w:rsid w:val="7C7E0B95"/>
    <w:rsid w:val="7E913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普通(网站)1"/>
    <w:basedOn w:val="1"/>
    <w:qFormat/>
    <w:uiPriority w:val="0"/>
    <w:pPr>
      <w:spacing w:beforeAutospacing="1" w:afterAutospacing="1"/>
      <w:jc w:val="left"/>
    </w:pPr>
    <w:rPr>
      <w:kern w:val="0"/>
      <w:sz w:val="24"/>
    </w:rPr>
  </w:style>
  <w:style w:type="paragraph" w:customStyle="1" w:styleId="7">
    <w:name w:val="p0"/>
    <w:basedOn w:val="1"/>
    <w:qFormat/>
    <w:uiPriority w:val="0"/>
    <w:pPr>
      <w:widowControl/>
    </w:pPr>
    <w:rPr>
      <w:rFonts w:ascii="等线" w:hAnsi="等线"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4814</Words>
  <Characters>5127</Characters>
  <Lines>36</Lines>
  <Paragraphs>10</Paragraphs>
  <TotalTime>93</TotalTime>
  <ScaleCrop>false</ScaleCrop>
  <LinksUpToDate>false</LinksUpToDate>
  <CharactersWithSpaces>5402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2021-03-05T16:17:00Z</dcterms:created>
  <dc:creator>翾1367974113</dc:creator>
  <cp:lastModifiedBy>Administrator</cp:lastModifiedBy>
  <dcterms:modified xsi:type="dcterms:W3CDTF">2022-06-30T09:07:07Z</dcterms:modified>
  <dc:title>mac</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A8C9FCF673A54E0E9025C2F2C4EE7B29</vt:lpwstr>
  </property>
</Properties>
</file>