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中国共产主义青年团平顶山市卫东区委员会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部门预算说明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目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第一部分　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中国共产主义青年团平顶山市卫东区委员会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概况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一、主要职能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二、部门预算单位构成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第二部分　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中国共产主义青年团平顶山市卫东区委员会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部门预算情况说明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第三部分　名词解释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附件：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中国共产主义青年团平顶山市卫东区委员会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2021年部门预算表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一、部门收支总体情况表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二、部门收入总体情况表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三、部门支出总体情况表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四、财政拨款收支总体情况表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五、一般公共预算支出情况表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六、支出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分类汇总表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七、一般公共预算“三公”经费支出情况表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八、政府性基金预算支出情况表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、部门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单位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整体绩效目标表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十、部门预算项目绩效目标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汇总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第一部分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中国共产主义青年团平顶山市卫东区委员会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中国共产主义青年团平顶山市卫东区委员会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主要职能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green"/>
        </w:rPr>
      </w:pPr>
      <w:r>
        <w:rPr>
          <w:rFonts w:hint="eastAsia" w:ascii="仿宋_GB2312" w:hAnsi="宋体" w:eastAsia="仿宋_GB2312"/>
          <w:sz w:val="32"/>
          <w:szCs w:val="32"/>
        </w:rPr>
        <w:t>主要职责是：筹备召开区团代会，贯彻执行区团代会决议；制定全区团的工作计划，负责指导、检查、监督基层团的工作；深入基层调查研究，树立典型，推广经验；加强团的思想建设，组织建设和文化建设，做好青年统战工作，充分发挥团组织团结、教育、引导和服务青年的作用；做好团员青年的思想政治工作，掌握团员青年思想动态，及时向团市委和区委汇报情况，为上级领导制定有关青年工作方针、政策提供依据；围绕党的中心工作开展适合青年特点的活动，充分发挥共青团员和广大青年在两个文明建设中的积极作用；代表和维护青年的合法权益，为青年成长、成才服务；协助党组织选拔、管理、培养、考核团干部；做好推荐优秀团员入党工作；受区委委托，领导区少先队工作；编写全区团工作简报、刊物和大事记，组织开展全区性团的活动；承办团市委、区委、区政府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gree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中国共产主义青年团平顶山市卫东区委员会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预算单位构成情况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本部门预算仅包含本级预算，无所属单位预算。纳入中国共产主义青年团平顶山市卫东区委员会2021年度部门预算编制范围的单位包括:中国共产主义青年团平顶山市卫东区委员会本级。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中国共产主义青年团平顶山市卫东区委员会下设三个内设科室：综合部、组宣部（基层组织建设部）和学校少年部。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第二部分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中国共产主义青年团平顶山市卫东区委员会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一、收入支出预算总体情况说明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2021年收、支总计均为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42.47</w:t>
      </w:r>
      <w:r>
        <w:rPr>
          <w:rFonts w:hint="eastAsia" w:ascii="仿宋" w:hAnsi="仿宋" w:eastAsia="仿宋" w:cs="仿宋"/>
          <w:sz w:val="32"/>
          <w:szCs w:val="32"/>
        </w:rPr>
        <w:t>万元,与上年相比，收、支总计均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 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社保基数调整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二、收入预算总体情况说明</w:t>
      </w:r>
    </w:p>
    <w:p>
      <w:pPr>
        <w:ind w:left="638" w:leftChars="304"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2021年收入预算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42.47</w:t>
      </w:r>
      <w:r>
        <w:rPr>
          <w:rFonts w:hint="eastAsia" w:ascii="仿宋" w:hAnsi="仿宋" w:eastAsia="仿宋" w:cs="仿宋"/>
          <w:sz w:val="32"/>
          <w:szCs w:val="32"/>
        </w:rPr>
        <w:t>万元，其中：一般公共预算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42.47。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三、支出预算总体情况说明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预算42.47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按用途划分为：基本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97.39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2.61</w:t>
      </w:r>
      <w:r>
        <w:rPr>
          <w:rFonts w:hint="eastAsia" w:ascii="仿宋_GB2312" w:hAnsi="仿宋_GB2312" w:eastAsia="仿宋_GB2312" w:cs="仿宋_GB2312"/>
          <w:sz w:val="32"/>
          <w:szCs w:val="32"/>
        </w:rPr>
        <w:t>%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四、财政拨款收入支出预算总体情况说明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万元，与上年相比，一般公共预收、支总计均增加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 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0.85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社保基数调整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五、一般公共预算支出预算情况说明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万元。主要用于以下方面：一般公共服务（类）支出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77.02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%；社会保障和就业（类）支出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%；医疗卫生（类）支出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%；住房保障（类）支出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六、支出预算经济分类情况说明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按照《财政部关于印发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支出经济分类科目改革方案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的通知》（财预[2017]98号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要求，从2018年起全面实施支出经济分类科目改革，根据政府预算管理和部门预算管理的不同特点，分设部门预算支出经济分类科目和政府预算支出经济分类科目，两套科目之间保持对应关系。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为适应改革要求，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我单位《支出经济分类汇总表》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2018年起从仅反映一般公共预算基本支出经济分类项目预算调整为</w:t>
      </w:r>
      <w:r>
        <w:rPr>
          <w:rFonts w:hint="eastAsia" w:ascii="仿宋_GB2312" w:hAnsi="仿宋_GB2312" w:eastAsia="仿宋_GB2312" w:cs="仿宋_GB2312"/>
          <w:sz w:val="32"/>
          <w:szCs w:val="32"/>
        </w:rPr>
        <w:t>按两套经济分类科目分别反应不同资金来源的全部预算支出。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万元，主要包括：基本工资、津贴补贴、奖金、机关事业单位基本养老保险缴费、职业年金缴费、医疗保险缴费、其他社会保障缴费、住房公积金、其他工资福利支出、其他对个人和家庭的补助支出；项目支出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办公费、印刷费、邮电费、差旅费、维修（护）费、租赁费、会议费、培训费、公务接待费、劳务费、福利费、公务用车运行维护费、其他交通费用、其他商品和服务支出、办公设备购置、信息网络及软件购置更新和其他支出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、三公经费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支出预算情况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2021年“三公”经费公共预算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万元。2021年“三公”经费支出预算数上年增加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万元，主要原因是认真贯彻落实中央八项规定精神，坚持厉行勤俭节约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（一）因公出国（境）费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万元，预算数与上年持平。预算数与2020年持平，主要原因是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年无因公出国境任务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与上年相比增加0万元，占“三公”经费总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额的0%。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其中，公务用车运行费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占“三公”经费总额的0%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原因是继续贯彻落实中央八项规定精神，坚持厉行勤俭节约，进一步规范公务用车制度，严格控制公务用车范围，主要用于日常公务发生的燃料费、维修费、过路过桥费、保险费等支出；公务用车购置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占“三公”经费总额的0%，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</w:rPr>
        <w:t>要原因是落实公车改革政策、加强公务用车管理，严控公务用车支出。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-13" w:leftChars="0" w:firstLine="643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公务接待费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万元，预算数比上年增长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主要原因是严格执行《党政机关国内公务接待管理规定》等办法，不断规范公务接待管理，严格接待审批控制，厉行勤俭节约，不断压缩公务接待费支出等。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、政府性基金预算支出预算情况说明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部门2021年政府性基金预算支出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万元，预算数与上年持平。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 w:bidi="ar-SA"/>
        </w:rPr>
        <w:t>九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、其他重要事项的情况说明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一）机关运行经费预算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2021年，机关运行经费支出预算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万元，主要用于办公及印刷费、邮电费、差旅费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会议费、水、电、暖、物业管理等运行维护费、公务用车运行维护费以及其他费用。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（二）政府采购支出情况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2021年，政府采购预算安排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万元、政府采购工程预算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万元、政府采购服务预算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 。主要用于办公设备、办公用品购置及印刷品。预算数与 2020 年相比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（三）绩效目标设置情况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2021年，我单位按要求编制了绩效目标，从项目产出、项目效益、满意度等方面设置了绩效指标，综合反映项目预期完成的数量、实效、质量，预期达到的社会经济效益、可持续影响以及服务对象满意度等情况。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（四）国有资产占用情况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期末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辆,一般执法执勤用车0辆、特种专业技术用车0辆，其他用车0辆；单价50万元以上通用设备0套，单位价值100万元以上专用设备0套。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（五）专项转移支付项目情况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我单位2021年没有专项转移支付项目。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第三部分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一、财政拨款收入：是指省级财政当年拨付的资金。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即事业单位以前各年度收支相抵后，按国家规定提取、用于弥补以后年度收支差额的基金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弥补当年收支缺口的资金。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七、“三公”经费：是指纳入省级财政预算管理，部门使用财政拨款安排的因公出国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费、公务用车购置及运行费和公务接待费。其中，因公出国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费反映单位公务出国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含外宾接待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八、机关运行经费：是指为保障行政单位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含参照公务员法管理的事业单位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中国共产主义青年团平顶山市卫东区委员会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2021年部门预算表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D71FD"/>
    <w:multiLevelType w:val="singleLevel"/>
    <w:tmpl w:val="9C4D71FD"/>
    <w:lvl w:ilvl="0" w:tentative="0">
      <w:start w:val="3"/>
      <w:numFmt w:val="chineseCounting"/>
      <w:suff w:val="nothing"/>
      <w:lvlText w:val="（%1）"/>
      <w:lvlJc w:val="left"/>
      <w:pPr>
        <w:ind w:left="-13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97A7C"/>
    <w:rsid w:val="06897A7C"/>
    <w:rsid w:val="18414907"/>
    <w:rsid w:val="2CC34DB8"/>
    <w:rsid w:val="2DED17C9"/>
    <w:rsid w:val="668741FE"/>
    <w:rsid w:val="75730AD1"/>
    <w:rsid w:val="768A3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2021-03-22T01:44:00Z</dcterms:created>
  <dc:creator>罙奈妳</dc:creator>
  <cp:lastModifiedBy>Administrator</cp:lastModifiedBy>
  <dcterms:modified xsi:type="dcterms:W3CDTF">2021-06-16T01:55:45Z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30FCDCF9C0E149EA9C32B64EE249E922</vt:lpwstr>
  </property>
</Properties>
</file>