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0"/>
          <w:sz w:val="44"/>
          <w:szCs w:val="44"/>
        </w:rPr>
      </w:pPr>
      <w:r>
        <w:rPr>
          <w:rFonts w:hint="eastAsia" w:ascii="宋体" w:hAnsi="宋体" w:cs="宋体"/>
          <w:b/>
          <w:bCs/>
          <w:kern w:val="0"/>
          <w:sz w:val="44"/>
          <w:szCs w:val="44"/>
        </w:rPr>
        <w:t>2021年平顶山市卫东区住房和城乡建设局</w:t>
      </w:r>
    </w:p>
    <w:p>
      <w:pPr>
        <w:snapToGrid w:val="0"/>
        <w:spacing w:line="560" w:lineRule="exact"/>
        <w:jc w:val="center"/>
        <w:rPr>
          <w:rFonts w:ascii="宋体" w:hAnsi="宋体" w:cs="宋体"/>
          <w:b/>
          <w:bCs/>
          <w:kern w:val="0"/>
          <w:sz w:val="44"/>
          <w:szCs w:val="44"/>
        </w:rPr>
      </w:pPr>
      <w:r>
        <w:rPr>
          <w:rFonts w:hint="eastAsia" w:ascii="宋体" w:hAnsi="宋体" w:cs="宋体"/>
          <w:b/>
          <w:bCs/>
          <w:kern w:val="0"/>
          <w:sz w:val="44"/>
          <w:szCs w:val="44"/>
        </w:rPr>
        <w:t>部门预算说明</w:t>
      </w:r>
    </w:p>
    <w:p>
      <w:pPr>
        <w:snapToGrid w:val="0"/>
        <w:spacing w:line="560" w:lineRule="exact"/>
        <w:jc w:val="center"/>
        <w:rPr>
          <w:rFonts w:ascii="宋体" w:hAnsi="宋体" w:cs="宋体"/>
          <w:b/>
          <w:bCs/>
          <w:kern w:val="0"/>
          <w:sz w:val="44"/>
          <w:szCs w:val="44"/>
        </w:rPr>
      </w:pPr>
    </w:p>
    <w:p>
      <w:pPr>
        <w:snapToGrid w:val="0"/>
        <w:spacing w:line="560" w:lineRule="exact"/>
        <w:jc w:val="center"/>
        <w:rPr>
          <w:rFonts w:ascii="宋体" w:hAnsi="宋体" w:cs="宋体"/>
          <w:b/>
          <w:bCs/>
          <w:kern w:val="0"/>
          <w:sz w:val="44"/>
          <w:szCs w:val="44"/>
        </w:rPr>
      </w:pPr>
      <w:r>
        <w:rPr>
          <w:rFonts w:hint="eastAsia" w:ascii="宋体" w:hAnsi="宋体" w:cs="宋体"/>
          <w:b/>
          <w:bCs/>
          <w:kern w:val="0"/>
          <w:sz w:val="44"/>
          <w:szCs w:val="44"/>
        </w:rPr>
        <w:t>目　录</w:t>
      </w:r>
    </w:p>
    <w:p>
      <w:pPr>
        <w:rPr>
          <w:rFonts w:ascii="宋体" w:hAnsi="宋体" w:cs="宋体"/>
          <w:b/>
          <w:kern w:val="0"/>
          <w:sz w:val="36"/>
          <w:szCs w:val="36"/>
        </w:rPr>
      </w:pPr>
      <w:r>
        <w:rPr>
          <w:rFonts w:hint="eastAsia" w:ascii="宋体" w:hAnsi="宋体" w:cs="宋体"/>
          <w:b/>
          <w:kern w:val="0"/>
          <w:sz w:val="32"/>
          <w:szCs w:val="32"/>
        </w:rPr>
        <w:t>第一部分　平顶山市卫东区住房和城乡建设局概况</w:t>
      </w:r>
    </w:p>
    <w:p>
      <w:pPr>
        <w:snapToGrid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一、主要职能    </w:t>
      </w:r>
    </w:p>
    <w:p>
      <w:pPr>
        <w:snapToGrid w:val="0"/>
        <w:spacing w:line="560" w:lineRule="exact"/>
        <w:ind w:firstLine="320" w:firstLineChars="100"/>
        <w:rPr>
          <w:rFonts w:ascii="仿宋" w:hAnsi="仿宋" w:eastAsia="仿宋" w:cs="仿宋"/>
          <w:sz w:val="32"/>
          <w:szCs w:val="32"/>
        </w:rPr>
      </w:pPr>
      <w:r>
        <w:rPr>
          <w:rFonts w:hint="eastAsia" w:ascii="仿宋_GB2312" w:hAnsi="仿宋_GB2312" w:eastAsia="仿宋_GB2312" w:cs="仿宋_GB2312"/>
          <w:sz w:val="32"/>
          <w:szCs w:val="32"/>
        </w:rPr>
        <w:t xml:space="preserve">二、部门预算单位构成  </w:t>
      </w:r>
      <w:r>
        <w:rPr>
          <w:rFonts w:hint="eastAsia" w:ascii="仿宋" w:hAnsi="仿宋" w:eastAsia="仿宋" w:cs="仿宋"/>
          <w:sz w:val="32"/>
          <w:szCs w:val="32"/>
        </w:rPr>
        <w:t xml:space="preserve">  </w:t>
      </w:r>
    </w:p>
    <w:p>
      <w:pPr>
        <w:snapToGrid w:val="0"/>
        <w:spacing w:line="560" w:lineRule="exact"/>
        <w:rPr>
          <w:rFonts w:ascii="仿宋" w:hAnsi="仿宋" w:eastAsia="仿宋" w:cs="仿宋"/>
          <w:sz w:val="32"/>
          <w:szCs w:val="32"/>
        </w:rPr>
      </w:pPr>
      <w:r>
        <w:rPr>
          <w:rFonts w:hint="eastAsia" w:ascii="宋体" w:hAnsi="宋体" w:cs="宋体"/>
          <w:b/>
          <w:kern w:val="0"/>
          <w:sz w:val="32"/>
          <w:szCs w:val="32"/>
        </w:rPr>
        <w:t xml:space="preserve">第二部分　平顶山市卫东区住房和城乡建设局2021年部门预算情况说明    </w:t>
      </w:r>
    </w:p>
    <w:p>
      <w:pPr>
        <w:rPr>
          <w:rFonts w:ascii="宋体" w:hAnsi="宋体" w:cs="宋体"/>
          <w:b/>
          <w:kern w:val="0"/>
          <w:sz w:val="32"/>
          <w:szCs w:val="32"/>
        </w:rPr>
      </w:pPr>
      <w:r>
        <w:rPr>
          <w:rFonts w:hint="eastAsia" w:ascii="宋体" w:hAnsi="宋体" w:cs="宋体"/>
          <w:b/>
          <w:kern w:val="0"/>
          <w:sz w:val="32"/>
          <w:szCs w:val="32"/>
        </w:rPr>
        <w:t xml:space="preserve">第三部分　名词解释    </w:t>
      </w:r>
    </w:p>
    <w:p>
      <w:pPr>
        <w:snapToGrid w:val="0"/>
        <w:spacing w:line="560" w:lineRule="exact"/>
        <w:ind w:left="320" w:hanging="320" w:hangingChars="100"/>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宋体" w:hAnsi="宋体" w:cs="宋体"/>
          <w:b/>
          <w:kern w:val="0"/>
          <w:sz w:val="32"/>
          <w:szCs w:val="32"/>
        </w:rPr>
        <w:t xml:space="preserve">附件：平顶山市卫东区住房和城乡建设局2021年部门预算表 </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一、部门收支总体情况表    </w:t>
      </w:r>
    </w:p>
    <w:p>
      <w:pPr>
        <w:snapToGrid w:val="0"/>
        <w:spacing w:line="560" w:lineRule="exact"/>
        <w:ind w:left="319" w:leftChars="152"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二、部门收入总体情况表    </w:t>
      </w:r>
    </w:p>
    <w:p>
      <w:pPr>
        <w:pStyle w:val="1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三、部门支出总体情况表    </w:t>
      </w:r>
    </w:p>
    <w:p>
      <w:pPr>
        <w:pStyle w:val="1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四、财政拨款收支总体情况表    </w:t>
      </w:r>
    </w:p>
    <w:p>
      <w:pPr>
        <w:pStyle w:val="1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五、一般公共预算支出情况表    </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 w:hAnsi="仿宋" w:eastAsia="仿宋" w:cs="仿宋"/>
          <w:kern w:val="0"/>
          <w:sz w:val="32"/>
          <w:szCs w:val="32"/>
        </w:rPr>
        <w:t>支出</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分类</w:t>
      </w:r>
      <w:r>
        <w:rPr>
          <w:rFonts w:hint="eastAsia" w:ascii="仿宋" w:hAnsi="仿宋" w:eastAsia="仿宋" w:cs="仿宋"/>
          <w:kern w:val="0"/>
          <w:sz w:val="32"/>
          <w:szCs w:val="32"/>
          <w:lang w:eastAsia="zh-CN"/>
        </w:rPr>
        <w:t>汇总</w:t>
      </w:r>
      <w:r>
        <w:rPr>
          <w:rFonts w:hint="eastAsia" w:ascii="仿宋" w:hAnsi="仿宋" w:eastAsia="仿宋" w:cs="仿宋"/>
          <w:kern w:val="0"/>
          <w:sz w:val="32"/>
          <w:szCs w:val="32"/>
        </w:rPr>
        <w:t>表</w:t>
      </w:r>
    </w:p>
    <w:p>
      <w:pPr>
        <w:pStyle w:val="1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七、一般公共预算“三公”经费支出情况表</w:t>
      </w:r>
    </w:p>
    <w:p>
      <w:pPr>
        <w:pStyle w:val="1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八、政府性基金预算支出情况表</w:t>
      </w:r>
    </w:p>
    <w:p>
      <w:pPr>
        <w:pStyle w:val="10"/>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bCs/>
          <w:sz w:val="32"/>
          <w:szCs w:val="32"/>
        </w:rPr>
        <w:t>部门（单位）整体绩效目标表</w:t>
      </w:r>
    </w:p>
    <w:p>
      <w:pPr>
        <w:ind w:firstLine="320" w:firstLineChars="100"/>
        <w:rPr>
          <w:rFonts w:ascii="宋体" w:hAnsi="宋体" w:cs="宋体"/>
          <w:bCs/>
          <w:kern w:val="0"/>
          <w:sz w:val="27"/>
          <w:szCs w:val="36"/>
        </w:rPr>
      </w:pPr>
      <w:r>
        <w:rPr>
          <w:rFonts w:hint="eastAsia" w:ascii="仿宋_GB2312" w:hAnsi="仿宋_GB2312" w:eastAsia="仿宋_GB2312" w:cs="仿宋_GB2312"/>
          <w:bCs/>
          <w:kern w:val="0"/>
          <w:sz w:val="32"/>
          <w:szCs w:val="32"/>
        </w:rPr>
        <w:t>十、部门预算项目绩效目标</w:t>
      </w:r>
      <w:r>
        <w:rPr>
          <w:rFonts w:hint="eastAsia" w:ascii="仿宋_GB2312" w:hAnsi="仿宋_GB2312" w:eastAsia="仿宋_GB2312" w:cs="仿宋_GB2312"/>
          <w:bCs/>
          <w:kern w:val="0"/>
          <w:sz w:val="32"/>
          <w:szCs w:val="32"/>
          <w:lang w:eastAsia="zh-CN"/>
        </w:rPr>
        <w:t>汇总</w:t>
      </w:r>
      <w:r>
        <w:rPr>
          <w:rFonts w:hint="eastAsia" w:ascii="仿宋_GB2312" w:hAnsi="仿宋_GB2312" w:eastAsia="仿宋_GB2312" w:cs="仿宋_GB2312"/>
          <w:bCs/>
          <w:kern w:val="0"/>
          <w:sz w:val="32"/>
          <w:szCs w:val="32"/>
        </w:rPr>
        <w:t>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第一部分</w:t>
      </w: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平顶山市卫东区住房和城乡建设局概况</w:t>
      </w:r>
    </w:p>
    <w:p>
      <w:pPr>
        <w:spacing w:line="560" w:lineRule="exact"/>
        <w:jc w:val="center"/>
        <w:rPr>
          <w:rFonts w:ascii="宋体" w:hAnsi="宋体" w:cs="宋体"/>
          <w:b/>
          <w:bCs/>
          <w:kern w:val="0"/>
          <w:sz w:val="32"/>
          <w:szCs w:val="32"/>
        </w:rPr>
      </w:pPr>
    </w:p>
    <w:p>
      <w:pPr>
        <w:snapToGrid w:val="0"/>
        <w:spacing w:line="560" w:lineRule="exact"/>
        <w:rPr>
          <w:rFonts w:ascii="宋体" w:hAnsi="宋体" w:cs="仿宋"/>
          <w:b/>
          <w:sz w:val="32"/>
          <w:szCs w:val="32"/>
        </w:rPr>
      </w:pPr>
      <w:r>
        <w:rPr>
          <w:rFonts w:hint="eastAsia" w:ascii="仿宋_GB2312" w:hAnsi="仿宋" w:eastAsia="仿宋_GB2312" w:cs="仿宋"/>
          <w:sz w:val="32"/>
          <w:szCs w:val="32"/>
        </w:rPr>
        <w:t xml:space="preserve"> </w:t>
      </w:r>
      <w:r>
        <w:rPr>
          <w:rFonts w:hint="eastAsia" w:ascii="宋体" w:hAnsi="宋体" w:cs="仿宋"/>
          <w:sz w:val="32"/>
          <w:szCs w:val="32"/>
        </w:rPr>
        <w:t xml:space="preserve">  </w:t>
      </w:r>
      <w:r>
        <w:rPr>
          <w:rFonts w:hint="eastAsia" w:ascii="宋体" w:hAnsi="宋体" w:cs="仿宋"/>
          <w:b/>
          <w:sz w:val="32"/>
          <w:szCs w:val="32"/>
        </w:rPr>
        <w:t xml:space="preserve"> 一、</w:t>
      </w:r>
      <w:r>
        <w:rPr>
          <w:rFonts w:hint="eastAsia" w:ascii="宋体" w:hAnsi="宋体" w:cs="宋体"/>
          <w:b/>
          <w:bCs/>
          <w:kern w:val="0"/>
          <w:sz w:val="32"/>
          <w:szCs w:val="32"/>
        </w:rPr>
        <w:t>平顶山市卫东区住房和城乡建设局</w:t>
      </w:r>
      <w:r>
        <w:rPr>
          <w:rFonts w:hint="eastAsia" w:ascii="宋体" w:hAnsi="宋体" w:cs="仿宋"/>
          <w:b/>
          <w:sz w:val="32"/>
          <w:szCs w:val="32"/>
        </w:rPr>
        <w:t>主要职能</w:t>
      </w:r>
      <w:r>
        <w:rPr>
          <w:rFonts w:hint="eastAsia" w:ascii="宋体" w:hAnsi="宋体" w:cs="仿宋"/>
          <w:b/>
          <w:sz w:val="32"/>
          <w:szCs w:val="32"/>
        </w:rPr>
        <w:tab/>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办公室（行政审批服务股）：负责机关政务工作的组织协调、文电处理和对外联络工作；负责局大型会议和重要活动的组织协调；组织政策调研，草单位重要文稿；对局机关各股室及局属单位以局名义印发的文件进行审查把关；负责局系统信息宣传工作等工作。</w:t>
      </w:r>
    </w:p>
    <w:p>
      <w:pPr>
        <w:spacing w:line="560" w:lineRule="exact"/>
        <w:ind w:firstLine="640" w:firstLineChars="200"/>
        <w:rPr>
          <w:rFonts w:ascii="仿宋_GB2312" w:eastAsia="仿宋_GB2312" w:cs="Times New Roman"/>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房地产和物业管理办公室:</w:t>
      </w:r>
      <w:r>
        <w:rPr>
          <w:rFonts w:hint="eastAsia" w:ascii="仿宋_GB2312" w:eastAsia="仿宋_GB2312" w:cs="Times New Roman"/>
          <w:sz w:val="32"/>
          <w:szCs w:val="32"/>
        </w:rPr>
        <w:t>负责全区物业服务企业管理和房地产开发企业资质审查工作；审查报批房地产开发企业的资质并监督管理；负责房地产开发企业资质初审工作；负责指导辖区内物业管理项目备案和成立物业小区业主委员会工作。</w:t>
      </w:r>
    </w:p>
    <w:p>
      <w:pPr>
        <w:spacing w:line="560" w:lineRule="exact"/>
        <w:ind w:firstLine="640" w:firstLineChars="200"/>
        <w:rPr>
          <w:rFonts w:ascii="仿宋_GB2312" w:eastAsia="仿宋_GB2312" w:cs="Times New Roman"/>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工程管理股:</w:t>
      </w:r>
      <w:r>
        <w:rPr>
          <w:rFonts w:hint="eastAsia" w:ascii="仿宋_GB2312" w:eastAsia="仿宋_GB2312" w:cs="Times New Roman"/>
          <w:sz w:val="32"/>
          <w:szCs w:val="32"/>
        </w:rPr>
        <w:t>负责指导、协调辖区省、市级园林单位（小区）的创建工作；负责贯彻执行国家关于市政基础设施建设方面的方针、政策和法律法规；负责全区安置点建设，全区城市建成区河流支沟治理、黑臭水体整治、市政道路、游园绿地、公厕等基础设施建设工作，并做好各项基础设施建设工程档案管理和建设信息公开工作；负责辖区开发改造项目城市基础设施及公共服务配套设施工程的进度审核；负责城市基础设施工程建设及区管道路的维修养护工作；组织城市基础设施工程的竣工验收和后评工作。</w:t>
      </w:r>
    </w:p>
    <w:p>
      <w:pPr>
        <w:spacing w:line="560" w:lineRule="exact"/>
        <w:ind w:firstLine="640" w:firstLineChars="200"/>
        <w:rPr>
          <w:rFonts w:ascii="仿宋_GB2312" w:eastAsia="仿宋_GB2312" w:cs="Times New Roman"/>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人民防空办公室:</w:t>
      </w:r>
      <w:r>
        <w:rPr>
          <w:rFonts w:hint="eastAsia" w:ascii="仿宋_GB2312" w:eastAsia="仿宋_GB2312" w:cs="Times New Roman"/>
          <w:sz w:val="32"/>
          <w:szCs w:val="32"/>
        </w:rPr>
        <w:t>负责拟定全区人民防空建设规划、计划；负责人民防空组织指挥；参与拟定和制定城市防空预警预案及各种保障方案；协助有关部门拟定防灾救灾应急救援方案；协助上级人防部门做好人民防空工程建设与维护管理；组织制定区城市防空袭方案和各种保障计划，适时组织防空袭演练；依法征缴区财政投资项目人民防空工程易地建设费。</w:t>
      </w:r>
    </w:p>
    <w:p>
      <w:pPr>
        <w:pStyle w:val="9"/>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平顶山市卫东区建设工程招投标事务服务中心:</w:t>
      </w:r>
      <w:r>
        <w:rPr>
          <w:rFonts w:hint="eastAsia" w:ascii="仿宋_GB2312" w:eastAsia="仿宋_GB2312"/>
          <w:sz w:val="32"/>
          <w:szCs w:val="32"/>
        </w:rPr>
        <w:t>根据国家相关法律、法规对招投标工作依法进行管理；负责招投标备案工作；查处招投标活动中的违规违法行为。</w:t>
      </w:r>
    </w:p>
    <w:p>
      <w:pPr>
        <w:pStyle w:val="9"/>
        <w:spacing w:line="560" w:lineRule="exact"/>
        <w:ind w:firstLine="640"/>
        <w:rPr>
          <w:rFonts w:ascii="仿宋_GB2312" w:eastAsia="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平顶山市卫东区房屋征收事务服务中心</w:t>
      </w:r>
      <w:r>
        <w:rPr>
          <w:rFonts w:hint="eastAsia" w:ascii="仿宋_GB2312" w:eastAsia="仿宋_GB2312"/>
          <w:sz w:val="32"/>
          <w:szCs w:val="32"/>
        </w:rPr>
        <w:t>：负责编制全区房屋征收年度计划及近期拟征收计划；委托和指导房屋征收实施单位承担房屋征收与补偿的具体工作，并对委托实施的房屋征收与补偿行为进行监督；组织房屋征收实施单位对征收范围内的房屋权属、土地性质、建筑附属物等进行调查统计，并拟定征收补偿方案；组织相关部门对征收补偿方案进行论证，并报区政府审核后向社会公布，征求公众意见。</w:t>
      </w:r>
    </w:p>
    <w:p>
      <w:pPr>
        <w:pStyle w:val="9"/>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平顶山市卫东区城镇（美丽乡村）建设服务中心</w:t>
      </w:r>
      <w:r>
        <w:rPr>
          <w:rFonts w:hint="eastAsia" w:ascii="仿宋_GB2312" w:eastAsia="仿宋_GB2312"/>
          <w:sz w:val="32"/>
          <w:szCs w:val="32"/>
        </w:rPr>
        <w:t>：把握城镇（乡村）发展的定位、定性、定向，科学规划设计，凸显城镇（乡村）的个性内涵和品位；按有关要求，完善总体规划，科学编制控制性详规和修建性详规；确定城镇（乡村）建设的重点项目，确保重点项目建一片、成一片、收益一片。</w:t>
      </w:r>
    </w:p>
    <w:p>
      <w:pPr>
        <w:snapToGrid w:val="0"/>
        <w:spacing w:line="560" w:lineRule="exact"/>
        <w:rPr>
          <w:rFonts w:ascii="宋体" w:hAnsi="宋体" w:cs="仿宋"/>
          <w:b/>
          <w:sz w:val="32"/>
          <w:szCs w:val="32"/>
          <w:highlight w:val="green"/>
        </w:rPr>
      </w:pPr>
      <w:r>
        <w:rPr>
          <w:rFonts w:hint="eastAsia" w:ascii="仿宋_GB2312" w:hAnsi="仿宋" w:eastAsia="仿宋_GB2312" w:cs="仿宋"/>
          <w:sz w:val="32"/>
          <w:szCs w:val="32"/>
        </w:rPr>
        <w:t xml:space="preserve">    </w:t>
      </w:r>
      <w:r>
        <w:rPr>
          <w:rFonts w:hint="eastAsia" w:ascii="宋体" w:hAnsi="宋体" w:cs="仿宋"/>
          <w:b/>
          <w:sz w:val="32"/>
          <w:szCs w:val="32"/>
        </w:rPr>
        <w:t>二、</w:t>
      </w:r>
      <w:r>
        <w:rPr>
          <w:rFonts w:hint="eastAsia" w:ascii="宋体" w:hAnsi="宋体" w:cs="宋体"/>
          <w:b/>
          <w:bCs/>
          <w:kern w:val="0"/>
          <w:sz w:val="32"/>
          <w:szCs w:val="32"/>
        </w:rPr>
        <w:t>平顶山市卫东区住房和城乡建设局</w:t>
      </w:r>
      <w:r>
        <w:rPr>
          <w:rFonts w:hint="eastAsia" w:ascii="宋体" w:hAnsi="宋体" w:cs="仿宋"/>
          <w:b/>
          <w:sz w:val="32"/>
          <w:szCs w:val="32"/>
        </w:rPr>
        <w:t>预算单位构成</w:t>
      </w:r>
    </w:p>
    <w:p>
      <w:pPr>
        <w:spacing w:line="560" w:lineRule="exact"/>
        <w:ind w:firstLine="645"/>
        <w:jc w:val="center"/>
        <w:rPr>
          <w:rFonts w:ascii="仿宋_GB2312" w:hAnsi="仿宋" w:eastAsia="仿宋_GB2312" w:cs="仿宋"/>
          <w:sz w:val="32"/>
          <w:szCs w:val="32"/>
        </w:rPr>
      </w:pPr>
      <w:r>
        <w:rPr>
          <w:rFonts w:hint="eastAsia" w:ascii="仿宋_GB2312" w:hAnsi="仿宋" w:eastAsia="仿宋_GB2312" w:cs="仿宋"/>
          <w:sz w:val="32"/>
          <w:szCs w:val="32"/>
        </w:rPr>
        <w:t>本部门预算仅包含本级预算，无所属单位预算。纳入平顶山</w:t>
      </w: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市卫东区住房和城乡建设局2021年度部门预算编制范围的单位括:平顶山市卫东区住房和城乡建设局本级。</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平顶山市卫东区住房和城乡建设局设4个内设机构，所属事业单位3个。</w:t>
      </w:r>
    </w:p>
    <w:p>
      <w:pPr>
        <w:snapToGrid w:val="0"/>
        <w:spacing w:line="560" w:lineRule="exact"/>
        <w:rPr>
          <w:rFonts w:ascii="仿宋_GB2312" w:hAnsi="仿宋" w:eastAsia="仿宋_GB2312" w:cs="仿宋"/>
          <w:sz w:val="32"/>
          <w:szCs w:val="32"/>
        </w:rPr>
      </w:pPr>
    </w:p>
    <w:p>
      <w:pPr>
        <w:snapToGrid w:val="0"/>
        <w:spacing w:line="560" w:lineRule="exact"/>
        <w:jc w:val="center"/>
        <w:rPr>
          <w:rFonts w:ascii="宋体" w:hAnsi="宋体" w:cs="仿宋"/>
          <w:b/>
          <w:sz w:val="32"/>
          <w:szCs w:val="32"/>
        </w:rPr>
      </w:pPr>
      <w:r>
        <w:rPr>
          <w:rFonts w:hint="eastAsia" w:ascii="宋体" w:hAnsi="宋体" w:cs="仿宋"/>
          <w:b/>
          <w:sz w:val="32"/>
          <w:szCs w:val="32"/>
        </w:rPr>
        <w:t>第二部分</w:t>
      </w:r>
    </w:p>
    <w:p>
      <w:pPr>
        <w:snapToGrid w:val="0"/>
        <w:spacing w:line="560" w:lineRule="exact"/>
        <w:jc w:val="center"/>
        <w:rPr>
          <w:rFonts w:ascii="宋体" w:hAnsi="宋体" w:cs="仿宋"/>
          <w:b/>
          <w:sz w:val="32"/>
          <w:szCs w:val="32"/>
        </w:rPr>
      </w:pPr>
      <w:r>
        <w:rPr>
          <w:rFonts w:hint="eastAsia" w:ascii="宋体" w:hAnsi="宋体" w:cs="仿宋"/>
          <w:b/>
          <w:sz w:val="32"/>
          <w:szCs w:val="32"/>
        </w:rPr>
        <w:t>平顶山市卫东区住房和城乡建设局</w:t>
      </w:r>
      <w:r>
        <w:rPr>
          <w:rFonts w:hint="eastAsia" w:ascii="宋体" w:hAnsi="宋体" w:cs="仿宋"/>
          <w:b/>
          <w:sz w:val="32"/>
          <w:szCs w:val="32"/>
          <w:lang w:val="en-US" w:eastAsia="zh-CN"/>
        </w:rPr>
        <w:t>2021年</w:t>
      </w:r>
      <w:r>
        <w:rPr>
          <w:rFonts w:hint="eastAsia" w:ascii="宋体" w:hAnsi="宋体" w:cs="仿宋"/>
          <w:b/>
          <w:sz w:val="32"/>
          <w:szCs w:val="32"/>
        </w:rPr>
        <w:t>部门预算情况说明</w:t>
      </w:r>
    </w:p>
    <w:p>
      <w:pPr>
        <w:snapToGrid w:val="0"/>
        <w:spacing w:line="560" w:lineRule="exact"/>
        <w:rPr>
          <w:rFonts w:hint="eastAsia" w:ascii="宋体" w:hAnsi="宋体" w:cs="仿宋"/>
          <w:b/>
          <w:sz w:val="32"/>
          <w:szCs w:val="32"/>
        </w:rPr>
      </w:pP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宋体" w:hAnsi="宋体" w:cs="仿宋"/>
          <w:b/>
          <w:sz w:val="32"/>
          <w:szCs w:val="32"/>
        </w:rPr>
      </w:pPr>
      <w:r>
        <w:rPr>
          <w:rFonts w:hint="eastAsia" w:ascii="宋体" w:hAnsi="宋体" w:cs="仿宋"/>
          <w:b/>
          <w:sz w:val="32"/>
          <w:szCs w:val="32"/>
        </w:rPr>
        <w:t>一、收入支出预算总体情况说明</w:t>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r>
        <w:rPr>
          <w:rFonts w:hint="eastAsia" w:ascii="宋体" w:hAnsi="宋体" w:cs="仿宋"/>
          <w:b/>
          <w:sz w:val="32"/>
          <w:szCs w:val="32"/>
        </w:rPr>
        <w:tab/>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_GB2312" w:eastAsia="仿宋_GB2312" w:cs="仿宋_GB2312"/>
          <w:sz w:val="32"/>
          <w:szCs w:val="32"/>
        </w:rPr>
        <w:t>2021年收、支总计均为4763.06万元，与2020年相比，收、支总计均增加4073.94万元。主要原因：本年度增加老旧小区改造工程，人员经费等较上年有增加。</w:t>
      </w: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ind w:firstLine="643" w:firstLineChars="200"/>
        <w:textAlignment w:val="auto"/>
        <w:outlineLvl w:val="9"/>
        <w:rPr>
          <w:rFonts w:hint="eastAsia" w:ascii="宋体" w:hAnsi="宋体" w:eastAsia="宋体" w:cs="宋体"/>
          <w:b/>
          <w:bCs w:val="0"/>
          <w:kern w:val="0"/>
          <w:sz w:val="32"/>
          <w:szCs w:val="32"/>
        </w:rPr>
      </w:pPr>
      <w:r>
        <w:rPr>
          <w:rFonts w:hint="eastAsia" w:ascii="宋体" w:hAnsi="宋体" w:eastAsia="宋体" w:cs="宋体"/>
          <w:b/>
          <w:bCs w:val="0"/>
          <w:kern w:val="0"/>
          <w:sz w:val="32"/>
          <w:szCs w:val="32"/>
        </w:rPr>
        <w:t>二、收入预算总体情况说明</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2021年收入预算</w:t>
      </w:r>
      <w:r>
        <w:rPr>
          <w:rFonts w:hint="eastAsia" w:ascii="仿宋_GB2312" w:hAnsi="仿宋_GB2312" w:eastAsia="仿宋_GB2312" w:cs="仿宋_GB2312"/>
          <w:sz w:val="32"/>
          <w:szCs w:val="32"/>
        </w:rPr>
        <w:t>4763.06</w:t>
      </w:r>
      <w:r>
        <w:rPr>
          <w:rFonts w:hint="eastAsia" w:ascii="仿宋_GB2312" w:hAnsi="仿宋" w:eastAsia="仿宋_GB2312" w:cs="仿宋"/>
          <w:sz w:val="32"/>
          <w:szCs w:val="32"/>
        </w:rPr>
        <w:t>万元，其中：一般公共预算</w:t>
      </w:r>
      <w:r>
        <w:rPr>
          <w:rFonts w:hint="eastAsia" w:ascii="仿宋_GB2312" w:hAnsi="仿宋_GB2312" w:eastAsia="仿宋_GB2312" w:cs="仿宋_GB2312"/>
          <w:sz w:val="32"/>
          <w:szCs w:val="32"/>
        </w:rPr>
        <w:t>4763.06</w:t>
      </w:r>
      <w:r>
        <w:rPr>
          <w:rFonts w:hint="eastAsia" w:ascii="仿宋_GB2312" w:hAnsi="仿宋" w:eastAsia="仿宋_GB2312" w:cs="仿宋"/>
          <w:sz w:val="32"/>
          <w:szCs w:val="32"/>
        </w:rPr>
        <w:t>万元。</w:t>
      </w:r>
    </w:p>
    <w:p>
      <w:pPr>
        <w:keepNext w:val="0"/>
        <w:keepLines w:val="0"/>
        <w:pageBreakBefore w:val="0"/>
        <w:kinsoku/>
        <w:wordWrap/>
        <w:overflowPunct/>
        <w:topLinePunct w:val="0"/>
        <w:autoSpaceDE/>
        <w:autoSpaceDN/>
        <w:bidi w:val="0"/>
        <w:adjustRightInd/>
        <w:ind w:firstLine="643" w:firstLineChars="200"/>
        <w:textAlignment w:val="auto"/>
        <w:outlineLvl w:val="9"/>
        <w:rPr>
          <w:rFonts w:ascii="仿宋_GB2312" w:hAnsi="仿宋" w:eastAsia="仿宋_GB2312" w:cs="仿宋"/>
          <w:sz w:val="32"/>
          <w:szCs w:val="32"/>
        </w:rPr>
      </w:pPr>
      <w:r>
        <w:rPr>
          <w:rFonts w:hint="eastAsia" w:ascii="宋体" w:hAnsi="宋体" w:eastAsia="宋体" w:cs="宋体"/>
          <w:b/>
          <w:bCs w:val="0"/>
          <w:kern w:val="0"/>
          <w:sz w:val="32"/>
          <w:szCs w:val="32"/>
        </w:rPr>
        <w:t>三、支出预算总体情况说明</w:t>
      </w:r>
      <w:r>
        <w:rPr>
          <w:rFonts w:hint="eastAsia" w:ascii="宋体" w:hAnsi="宋体" w:cs="仿宋"/>
          <w:b/>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2021年支出预算</w:t>
      </w:r>
      <w:r>
        <w:rPr>
          <w:rFonts w:hint="eastAsia" w:ascii="仿宋_GB2312" w:hAnsi="仿宋_GB2312" w:eastAsia="仿宋_GB2312" w:cs="仿宋_GB2312"/>
          <w:sz w:val="32"/>
          <w:szCs w:val="32"/>
        </w:rPr>
        <w:t>4763.06</w:t>
      </w:r>
      <w:r>
        <w:rPr>
          <w:rFonts w:hint="eastAsia" w:ascii="仿宋_GB2312" w:hAnsi="仿宋" w:eastAsia="仿宋_GB2312" w:cs="仿宋"/>
          <w:sz w:val="32"/>
          <w:szCs w:val="32"/>
        </w:rPr>
        <w:t>万元，按用途划分为：基本支出</w:t>
      </w:r>
      <w:r>
        <w:rPr>
          <w:rFonts w:hint="eastAsia" w:ascii="仿宋_GB2312" w:hAnsi="仿宋_GB2312" w:eastAsia="仿宋_GB2312" w:cs="仿宋_GB2312"/>
          <w:sz w:val="32"/>
          <w:szCs w:val="32"/>
        </w:rPr>
        <w:t>675.96</w:t>
      </w:r>
      <w:r>
        <w:rPr>
          <w:rFonts w:hint="eastAsia" w:ascii="仿宋_GB2312" w:hAnsi="仿宋" w:eastAsia="仿宋_GB2312" w:cs="仿宋"/>
          <w:sz w:val="32"/>
          <w:szCs w:val="32"/>
        </w:rPr>
        <w:t>万元,占</w:t>
      </w:r>
      <w:r>
        <w:rPr>
          <w:rFonts w:hint="eastAsia" w:ascii="仿宋_GB2312" w:hAnsi="仿宋_GB2312" w:eastAsia="仿宋_GB2312" w:cs="仿宋_GB2312"/>
          <w:sz w:val="32"/>
          <w:szCs w:val="32"/>
        </w:rPr>
        <w:t>14.19</w:t>
      </w:r>
      <w:r>
        <w:rPr>
          <w:rFonts w:hint="eastAsia" w:ascii="仿宋_GB2312" w:hAnsi="仿宋" w:eastAsia="仿宋_GB2312" w:cs="仿宋"/>
          <w:sz w:val="32"/>
          <w:szCs w:val="32"/>
        </w:rPr>
        <w:t>%；项目支出</w:t>
      </w:r>
      <w:r>
        <w:rPr>
          <w:rFonts w:hint="eastAsia" w:ascii="仿宋_GB2312" w:hAnsi="仿宋_GB2312" w:eastAsia="仿宋_GB2312" w:cs="仿宋_GB2312"/>
          <w:sz w:val="32"/>
          <w:szCs w:val="32"/>
        </w:rPr>
        <w:t>4087.10</w:t>
      </w:r>
      <w:r>
        <w:rPr>
          <w:rFonts w:hint="eastAsia" w:ascii="仿宋_GB2312" w:hAnsi="仿宋" w:eastAsia="仿宋_GB2312" w:cs="仿宋"/>
          <w:sz w:val="32"/>
          <w:szCs w:val="32"/>
        </w:rPr>
        <w:t>万元，占</w:t>
      </w:r>
      <w:r>
        <w:rPr>
          <w:rFonts w:hint="eastAsia" w:ascii="仿宋_GB2312" w:hAnsi="仿宋_GB2312" w:eastAsia="仿宋_GB2312" w:cs="仿宋_GB2312"/>
          <w:sz w:val="32"/>
          <w:szCs w:val="32"/>
        </w:rPr>
        <w:t>85.81</w:t>
      </w:r>
      <w:r>
        <w:rPr>
          <w:rFonts w:hint="eastAsia" w:ascii="仿宋_GB2312" w:hAnsi="仿宋" w:eastAsia="仿宋_GB2312" w:cs="仿宋"/>
          <w:sz w:val="32"/>
          <w:szCs w:val="32"/>
        </w:rPr>
        <w:t>%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sz w:val="32"/>
          <w:szCs w:val="32"/>
        </w:rPr>
      </w:pPr>
      <w:r>
        <w:rPr>
          <w:rFonts w:hint="eastAsia" w:ascii="宋体" w:hAnsi="宋体" w:cs="仿宋"/>
          <w:b/>
          <w:sz w:val="32"/>
          <w:szCs w:val="32"/>
        </w:rPr>
        <w:t>四、财政拨款收入支出预算总体情况说明</w:t>
      </w:r>
      <w:r>
        <w:rPr>
          <w:rFonts w:hint="eastAsia" w:ascii="宋体" w:hAnsi="宋体" w:cs="仿宋"/>
          <w:b/>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_GB2312" w:eastAsia="仿宋_GB2312" w:cs="仿宋_GB2312"/>
          <w:sz w:val="32"/>
          <w:szCs w:val="32"/>
        </w:rPr>
        <w:t>2021年一般公共预算收支预算4763.06万元，与2020年相比，一般公共预算收支预算增加4073.94万元，主要原因：本年度增加老旧小区改造工程，人员经费等较上年有增加。</w:t>
      </w: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sz w:val="32"/>
          <w:szCs w:val="32"/>
        </w:rPr>
      </w:pPr>
      <w:r>
        <w:rPr>
          <w:rFonts w:hint="eastAsia" w:ascii="宋体" w:hAnsi="宋体" w:cs="仿宋"/>
          <w:b/>
          <w:sz w:val="32"/>
          <w:szCs w:val="32"/>
        </w:rPr>
        <w:t>五、一般公共预算支出预算情况说明</w:t>
      </w:r>
      <w:r>
        <w:rPr>
          <w:rFonts w:hint="eastAsia" w:ascii="宋体" w:hAnsi="宋体" w:cs="仿宋"/>
          <w:b/>
          <w:sz w:val="32"/>
          <w:szCs w:val="32"/>
        </w:rPr>
        <w:tab/>
      </w:r>
      <w:r>
        <w:rPr>
          <w:rFonts w:hint="eastAsia" w:ascii="宋体" w:hAnsi="宋体" w:cs="仿宋"/>
          <w:b/>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2021年一般公共预算支出年初预算为4763.06万元。主要用于以下方面：</w:t>
      </w:r>
      <w:r>
        <w:rPr>
          <w:rFonts w:hint="eastAsia" w:ascii="仿宋_GB2312" w:hAnsi="仿宋_GB2312" w:eastAsia="仿宋_GB2312" w:cs="仿宋_GB2312"/>
          <w:bCs/>
          <w:color w:val="000000"/>
          <w:kern w:val="0"/>
          <w:sz w:val="32"/>
          <w:szCs w:val="32"/>
        </w:rPr>
        <w:t>城乡社区管理事务（类）支出565.17万元，</w:t>
      </w:r>
      <w:r>
        <w:rPr>
          <w:rFonts w:hint="eastAsia" w:ascii="仿宋_GB2312" w:hAnsi="仿宋_GB2312" w:eastAsia="仿宋_GB2312" w:cs="仿宋_GB2312"/>
          <w:bCs/>
          <w:kern w:val="0"/>
          <w:sz w:val="32"/>
          <w:szCs w:val="32"/>
        </w:rPr>
        <w:t>占11.87%；社会保障和就业（类）支出36.21万元，占0.76%；</w:t>
      </w:r>
      <w:r>
        <w:rPr>
          <w:rFonts w:hint="eastAsia" w:ascii="仿宋_GB2312" w:hAnsi="仿宋_GB2312" w:eastAsia="仿宋_GB2312" w:cs="仿宋_GB2312"/>
          <w:bCs/>
          <w:kern w:val="0"/>
          <w:sz w:val="32"/>
          <w:szCs w:val="32"/>
          <w:lang w:eastAsia="zh-CN"/>
        </w:rPr>
        <w:t>医疗卫生支出</w:t>
      </w:r>
      <w:r>
        <w:rPr>
          <w:rFonts w:hint="eastAsia" w:ascii="仿宋_GB2312" w:hAnsi="仿宋_GB2312" w:eastAsia="仿宋_GB2312" w:cs="仿宋_GB2312"/>
          <w:bCs/>
          <w:kern w:val="0"/>
          <w:sz w:val="32"/>
          <w:szCs w:val="32"/>
          <w:lang w:val="en-US" w:eastAsia="zh-CN"/>
        </w:rPr>
        <w:t>50.88</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1.07</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住房保障支出</w:t>
      </w:r>
      <w:r>
        <w:rPr>
          <w:rFonts w:hint="eastAsia" w:ascii="仿宋_GB2312" w:hAnsi="仿宋_GB2312" w:eastAsia="仿宋_GB2312" w:cs="仿宋_GB2312"/>
          <w:bCs/>
          <w:kern w:val="0"/>
          <w:sz w:val="32"/>
          <w:szCs w:val="32"/>
          <w:lang w:val="en-US" w:eastAsia="zh-CN"/>
        </w:rPr>
        <w:t>4110.8</w:t>
      </w:r>
      <w:r>
        <w:rPr>
          <w:rFonts w:hint="eastAsia" w:ascii="仿宋_GB2312" w:hAnsi="仿宋_GB2312" w:eastAsia="仿宋_GB2312" w:cs="仿宋_GB2312"/>
          <w:bCs/>
          <w:kern w:val="0"/>
          <w:sz w:val="32"/>
          <w:szCs w:val="32"/>
        </w:rPr>
        <w:t>万元，占</w:t>
      </w:r>
      <w:r>
        <w:rPr>
          <w:rFonts w:hint="eastAsia" w:ascii="仿宋_GB2312" w:hAnsi="仿宋_GB2312" w:eastAsia="仿宋_GB2312" w:cs="仿宋_GB2312"/>
          <w:bCs/>
          <w:kern w:val="0"/>
          <w:sz w:val="32"/>
          <w:szCs w:val="32"/>
          <w:lang w:val="en-US" w:eastAsia="zh-CN"/>
        </w:rPr>
        <w:t>86.30</w:t>
      </w:r>
      <w:r>
        <w:rPr>
          <w:rFonts w:hint="eastAsia" w:ascii="仿宋_GB2312" w:hAnsi="仿宋_GB2312" w:eastAsia="仿宋_GB2312" w:cs="仿宋_GB2312"/>
          <w:bCs/>
          <w:kern w:val="0"/>
          <w:sz w:val="32"/>
          <w:szCs w:val="32"/>
        </w:rPr>
        <w:t>%。</w:t>
      </w:r>
    </w:p>
    <w:p>
      <w:pPr>
        <w:keepNext w:val="0"/>
        <w:keepLines w:val="0"/>
        <w:pageBreakBefore w:val="0"/>
        <w:numPr>
          <w:numId w:val="0"/>
        </w:numPr>
        <w:kinsoku/>
        <w:wordWrap/>
        <w:overflowPunct/>
        <w:topLinePunct w:val="0"/>
        <w:autoSpaceDE/>
        <w:autoSpaceDN/>
        <w:bidi w:val="0"/>
        <w:adjustRightInd/>
        <w:snapToGrid w:val="0"/>
        <w:spacing w:line="560" w:lineRule="exact"/>
        <w:ind w:firstLine="643" w:firstLineChars="200"/>
        <w:textAlignment w:val="auto"/>
        <w:outlineLvl w:val="9"/>
        <w:rPr>
          <w:rFonts w:hint="eastAsia" w:ascii="宋体" w:hAnsi="宋体" w:cs="仿宋"/>
          <w:b/>
          <w:sz w:val="32"/>
          <w:szCs w:val="32"/>
        </w:rPr>
      </w:pPr>
      <w:r>
        <w:rPr>
          <w:rFonts w:hint="eastAsia" w:ascii="宋体" w:hAnsi="宋体" w:cs="仿宋"/>
          <w:b/>
          <w:sz w:val="32"/>
          <w:szCs w:val="32"/>
          <w:lang w:val="en-US" w:eastAsia="zh-CN"/>
        </w:rPr>
        <w:t>六、</w:t>
      </w:r>
      <w:r>
        <w:rPr>
          <w:rFonts w:hint="eastAsia" w:ascii="宋体" w:hAnsi="宋体" w:cs="仿宋"/>
          <w:b/>
          <w:sz w:val="32"/>
          <w:szCs w:val="32"/>
        </w:rPr>
        <w:t xml:space="preserve">支出预算经济分类情况说明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2021年预算支出4763.06万元，其中：</w:t>
      </w:r>
      <w:r>
        <w:rPr>
          <w:rFonts w:hint="eastAsia" w:ascii="仿宋_GB2312" w:hAnsi="仿宋_GB2312" w:eastAsia="仿宋_GB2312" w:cs="仿宋_GB2312"/>
          <w:bCs/>
          <w:color w:val="000000"/>
          <w:kern w:val="0"/>
          <w:sz w:val="32"/>
          <w:szCs w:val="32"/>
        </w:rPr>
        <w:t>基本支出675.96万元</w:t>
      </w:r>
      <w:r>
        <w:rPr>
          <w:rFonts w:hint="eastAsia" w:ascii="仿宋_GB2312" w:hAnsi="仿宋_GB2312" w:eastAsia="仿宋_GB2312" w:cs="仿宋_GB2312"/>
          <w:bCs/>
          <w:kern w:val="0"/>
          <w:sz w:val="32"/>
          <w:szCs w:val="32"/>
        </w:rPr>
        <w:t>，主要包括：基本工资、津贴补贴、奖金、绩效工资、机关事业单位基本养老保险缴费、职业年金缴费、医疗保险缴费、其他社会保障缴费、住房公积金、其他工资福利支出、退休费、其他对个人和家庭的补助支出；</w:t>
      </w:r>
      <w:r>
        <w:rPr>
          <w:rFonts w:hint="eastAsia" w:ascii="仿宋_GB2312" w:hAnsi="仿宋_GB2312" w:eastAsia="仿宋_GB2312" w:cs="仿宋_GB2312"/>
          <w:bCs/>
          <w:color w:val="000000"/>
          <w:kern w:val="0"/>
          <w:sz w:val="32"/>
          <w:szCs w:val="32"/>
        </w:rPr>
        <w:t>项目支出4087.10万元，</w:t>
      </w:r>
      <w:r>
        <w:rPr>
          <w:rFonts w:hint="eastAsia" w:ascii="仿宋_GB2312" w:hAnsi="仿宋_GB2312" w:eastAsia="仿宋_GB2312" w:cs="仿宋_GB2312"/>
          <w:bCs/>
          <w:kern w:val="0"/>
          <w:sz w:val="32"/>
          <w:szCs w:val="32"/>
        </w:rPr>
        <w:t>主要包括：办公费、印刷费、邮电费、差旅费、维修（护）费、租赁费、会议费、培训费、公务接待费、劳务费、福利费、公务用车运行维护费、其他交通费用、其他商品和服务支出、新冠肺炎疫情防控经费、办公设备购置、信息网络及软件购置更新和其他支出。</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_GB2312" w:eastAsia="仿宋_GB2312" w:cs="仿宋_GB2312"/>
          <w:bCs/>
          <w:kern w:val="0"/>
          <w:sz w:val="32"/>
          <w:szCs w:val="32"/>
        </w:rPr>
      </w:pPr>
      <w:r>
        <w:rPr>
          <w:rFonts w:hint="eastAsia" w:ascii="宋体" w:hAnsi="宋体" w:cs="仿宋"/>
          <w:b/>
          <w:sz w:val="32"/>
          <w:szCs w:val="32"/>
        </w:rPr>
        <w:t>七、“三公”经费支出预算情况说明</w:t>
      </w:r>
      <w:r>
        <w:rPr>
          <w:rFonts w:hint="eastAsia" w:ascii="宋体" w:hAnsi="宋体" w:cs="仿宋"/>
          <w:b/>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2021年“三公”经费公共预算1万元。2021年“三公”经费支出预算数比上年减少4万元，主要原因是认真贯彻落实中央八项规定精神，坚持厉行勤俭节约，其中：</w:t>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sz w:val="32"/>
          <w:szCs w:val="32"/>
        </w:rPr>
      </w:pPr>
      <w:r>
        <w:rPr>
          <w:rFonts w:hint="eastAsia" w:ascii="仿宋_GB2312" w:hAnsi="仿宋" w:eastAsia="仿宋_GB2312" w:cs="仿宋"/>
          <w:b/>
          <w:sz w:val="32"/>
          <w:szCs w:val="32"/>
        </w:rPr>
        <w:t>（一）因公出国（境）费</w:t>
      </w:r>
      <w:r>
        <w:rPr>
          <w:rFonts w:hint="eastAsia" w:ascii="仿宋_GB2312" w:hAnsi="仿宋" w:eastAsia="仿宋_GB2312" w:cs="仿宋"/>
          <w:sz w:val="32"/>
          <w:szCs w:val="32"/>
        </w:rPr>
        <w:t>预算0万元，预算数与上年持平。预算数与 2020 年持平，主要原因是我单位2021年无因公出国境任务。</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b/>
          <w:sz w:val="32"/>
          <w:szCs w:val="32"/>
        </w:rPr>
        <w:t>（二）公务用车购置及运行费</w:t>
      </w:r>
      <w:r>
        <w:rPr>
          <w:rFonts w:hint="eastAsia" w:ascii="仿宋_GB2312" w:hAnsi="仿宋" w:eastAsia="仿宋_GB2312" w:cs="仿宋"/>
          <w:sz w:val="32"/>
          <w:szCs w:val="32"/>
        </w:rPr>
        <w:t>预算1万元，与上年相比减少   4万元，占“三公”经费总额的100%。其中，公务用车运行费1万元，与上年相比减少4万元，占“三公”经费总额的100%。主要原因是继续贯彻落实中央八项规定精神，坚持厉行勤俭节约，进一步规范公务用车制度，严格控制公务用车范围，主要用于日常公务发生的燃料费、维修费、过路过桥费、保险费等支出；公务用车购置预算为0万元，预算数与上年持平。占“三公”经费总额的0%，主要原因是落实公车改革政策、加强公务用车管理，严控公务用车支出。</w:t>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                     </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（三）公务接待费</w:t>
      </w:r>
      <w:r>
        <w:rPr>
          <w:rFonts w:hint="eastAsia" w:ascii="仿宋_GB2312" w:hAnsi="仿宋" w:eastAsia="仿宋_GB2312" w:cs="仿宋"/>
          <w:sz w:val="32"/>
          <w:szCs w:val="32"/>
        </w:rPr>
        <w:t>预算0万元，与上年相比减少1万元。</w:t>
      </w:r>
      <w:r>
        <w:rPr>
          <w:rFonts w:hint="eastAsia" w:ascii="仿宋_GB2312" w:hAnsi="仿宋" w:eastAsia="仿宋_GB2312" w:cs="仿宋"/>
          <w:bCs/>
          <w:kern w:val="0"/>
          <w:sz w:val="32"/>
          <w:szCs w:val="32"/>
        </w:rPr>
        <w:t>主要原因是严格执行《党政机关国内公务接待管理规定》等办法，不断规范公务接待管理，严格接待审批控制，厉行勤俭节约，不断压缩公务接待费支出等。</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sz w:val="32"/>
          <w:szCs w:val="32"/>
        </w:rPr>
      </w:pPr>
      <w:r>
        <w:rPr>
          <w:rFonts w:hint="eastAsia" w:ascii="宋体" w:hAnsi="宋体" w:cs="仿宋"/>
          <w:b/>
          <w:sz w:val="32"/>
          <w:szCs w:val="32"/>
        </w:rPr>
        <w:t>八、政府性基金预算支出预算情况说明</w:t>
      </w:r>
      <w:r>
        <w:rPr>
          <w:rFonts w:hint="eastAsia" w:ascii="宋体" w:hAnsi="宋体" w:cs="仿宋"/>
          <w:b/>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部门2021年政府性基金预算支出</w:t>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0.00 </w:t>
      </w:r>
      <w:r>
        <w:rPr>
          <w:rFonts w:hint="eastAsia" w:ascii="仿宋_GB2312" w:hAnsi="仿宋" w:eastAsia="仿宋_GB2312" w:cs="仿宋"/>
          <w:sz w:val="32"/>
          <w:szCs w:val="32"/>
        </w:rPr>
        <w:tab/>
      </w:r>
      <w:r>
        <w:rPr>
          <w:rFonts w:hint="eastAsia" w:ascii="仿宋_GB2312" w:hAnsi="仿宋" w:eastAsia="仿宋_GB2312" w:cs="仿宋"/>
          <w:sz w:val="32"/>
          <w:szCs w:val="32"/>
        </w:rPr>
        <w:t>万元，预算数与上年持平。</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numPr>
          <w:numId w:val="0"/>
        </w:numPr>
        <w:kinsoku/>
        <w:wordWrap/>
        <w:overflowPunct/>
        <w:topLinePunct w:val="0"/>
        <w:autoSpaceDE/>
        <w:autoSpaceDN/>
        <w:bidi w:val="0"/>
        <w:adjustRightInd/>
        <w:snapToGrid w:val="0"/>
        <w:spacing w:line="560" w:lineRule="exact"/>
        <w:ind w:firstLine="643" w:firstLineChars="200"/>
        <w:textAlignment w:val="auto"/>
        <w:outlineLvl w:val="9"/>
        <w:rPr>
          <w:rFonts w:hint="eastAsia" w:ascii="仿宋_GB2312" w:hAnsi="仿宋" w:eastAsia="仿宋_GB2312" w:cs="仿宋"/>
          <w:sz w:val="32"/>
          <w:szCs w:val="32"/>
        </w:rPr>
      </w:pPr>
      <w:bookmarkStart w:id="0" w:name="_GoBack"/>
      <w:bookmarkEnd w:id="0"/>
      <w:r>
        <w:rPr>
          <w:rFonts w:hint="eastAsia" w:ascii="宋体" w:hAnsi="宋体" w:cs="仿宋"/>
          <w:b/>
          <w:sz w:val="32"/>
          <w:szCs w:val="32"/>
          <w:lang w:eastAsia="zh-CN"/>
        </w:rPr>
        <w:t>九、</w:t>
      </w:r>
      <w:r>
        <w:rPr>
          <w:rFonts w:hint="eastAsia" w:ascii="宋体" w:hAnsi="宋体" w:cs="仿宋"/>
          <w:b/>
          <w:sz w:val="32"/>
          <w:szCs w:val="32"/>
        </w:rPr>
        <w:t>其他重要事项的情况说明</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p>
    <w:p>
      <w:pPr>
        <w:keepNext w:val="0"/>
        <w:keepLines w:val="0"/>
        <w:pageBreakBefore w:val="0"/>
        <w:numPr>
          <w:numId w:val="0"/>
        </w:numPr>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b/>
          <w:sz w:val="32"/>
          <w:szCs w:val="32"/>
        </w:rPr>
      </w:pPr>
      <w:r>
        <w:rPr>
          <w:rFonts w:hint="eastAsia" w:ascii="仿宋_GB2312" w:hAnsi="仿宋" w:eastAsia="仿宋_GB2312" w:cs="仿宋"/>
          <w:b/>
          <w:sz w:val="32"/>
          <w:szCs w:val="32"/>
        </w:rPr>
        <w:t>（一）机关运行经费预算</w:t>
      </w:r>
      <w:r>
        <w:rPr>
          <w:rFonts w:hint="eastAsia" w:ascii="仿宋_GB2312" w:hAnsi="仿宋" w:eastAsia="仿宋_GB2312" w:cs="仿宋"/>
          <w:b/>
          <w:sz w:val="32"/>
          <w:szCs w:val="32"/>
        </w:rPr>
        <w:tab/>
      </w:r>
      <w:r>
        <w:rPr>
          <w:rFonts w:hint="eastAsia" w:ascii="仿宋_GB2312" w:hAnsi="仿宋" w:eastAsia="仿宋_GB2312" w:cs="仿宋"/>
          <w:b/>
          <w:sz w:val="32"/>
          <w:szCs w:val="32"/>
        </w:rPr>
        <w:tab/>
      </w:r>
      <w:r>
        <w:rPr>
          <w:rFonts w:hint="eastAsia" w:ascii="仿宋_GB2312" w:hAnsi="仿宋" w:eastAsia="仿宋_GB2312" w:cs="仿宋"/>
          <w:b/>
          <w:sz w:val="32"/>
          <w:szCs w:val="32"/>
        </w:rPr>
        <w:tab/>
      </w:r>
      <w:r>
        <w:rPr>
          <w:rFonts w:hint="eastAsia" w:ascii="仿宋_GB2312" w:hAnsi="仿宋" w:eastAsia="仿宋_GB2312" w:cs="仿宋"/>
          <w:b/>
          <w:sz w:val="32"/>
          <w:szCs w:val="32"/>
        </w:rPr>
        <w:tab/>
      </w:r>
      <w:r>
        <w:rPr>
          <w:rFonts w:hint="eastAsia" w:ascii="仿宋_GB2312" w:hAnsi="仿宋" w:eastAsia="仿宋_GB2312" w:cs="仿宋"/>
          <w:b/>
          <w:sz w:val="32"/>
          <w:szCs w:val="32"/>
        </w:rPr>
        <w:tab/>
      </w:r>
      <w:r>
        <w:rPr>
          <w:rFonts w:hint="eastAsia" w:ascii="仿宋_GB2312" w:hAnsi="仿宋" w:eastAsia="仿宋_GB2312" w:cs="仿宋"/>
          <w:b/>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2021年，机关运行经费支出预算34.9万元，主要用于办公及印刷费、邮电费、差旅费、会议费、水、电、暖、物业管理等运行维护费、公务用车运行维护费以及其他费用。</w:t>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b/>
          <w:sz w:val="32"/>
          <w:szCs w:val="32"/>
        </w:rPr>
      </w:pPr>
      <w:r>
        <w:rPr>
          <w:rFonts w:hint="eastAsia" w:ascii="仿宋_GB2312" w:hAnsi="仿宋" w:eastAsia="仿宋_GB2312" w:cs="仿宋"/>
          <w:b/>
          <w:sz w:val="32"/>
          <w:szCs w:val="32"/>
        </w:rPr>
        <w:t>（二）政府采购支出情况</w:t>
      </w:r>
    </w:p>
    <w:p>
      <w:pPr>
        <w:pStyle w:val="6"/>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2021年，政府采购预算安排6.5万元，其中：政府采购货物预算1.2万元 ，政府采购工程预算0万元，政府采购服务预算5.3万元。主要用于保安服务及办公用品购置。预算数与 2020 年相比增加6.5万元。</w:t>
      </w:r>
      <w:r>
        <w:rPr>
          <w:rFonts w:hint="eastAsia" w:ascii="仿宋_GB2312" w:hAnsi="仿宋" w:eastAsia="仿宋_GB2312" w:cs="仿宋"/>
          <w:color w:val="FF0000"/>
          <w:sz w:val="32"/>
          <w:szCs w:val="32"/>
        </w:rPr>
        <w:t xml:space="preserve"> </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b/>
          <w:sz w:val="32"/>
          <w:szCs w:val="32"/>
        </w:rPr>
      </w:pPr>
      <w:r>
        <w:rPr>
          <w:rFonts w:hint="eastAsia" w:ascii="仿宋_GB2312" w:hAnsi="仿宋" w:eastAsia="仿宋_GB2312" w:cs="仿宋"/>
          <w:b/>
          <w:sz w:val="32"/>
          <w:szCs w:val="32"/>
        </w:rPr>
        <w:t>（三）绩效目标设置情况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2021年，我单位按要求编制了绩效目标，从项目产出、项目效益、满意度等方面设置了绩效指标，综合反映项目预期完成的数量、实效、质量，预期达到的社会经济效益、可持续影响以及服务对象满意度等情况。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9"/>
        <w:rPr>
          <w:rFonts w:ascii="仿宋_GB2312" w:hAnsi="仿宋" w:eastAsia="仿宋_GB2312" w:cs="仿宋"/>
          <w:b/>
          <w:sz w:val="32"/>
          <w:szCs w:val="32"/>
        </w:rPr>
      </w:pPr>
      <w:r>
        <w:rPr>
          <w:rFonts w:hint="eastAsia" w:ascii="仿宋_GB2312" w:hAnsi="仿宋" w:eastAsia="仿宋_GB2312" w:cs="仿宋"/>
          <w:b/>
          <w:sz w:val="32"/>
          <w:szCs w:val="32"/>
        </w:rPr>
        <w:t>（四）国有资产占用情况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0</w:t>
      </w:r>
      <w:r>
        <w:rPr>
          <w:rFonts w:hint="eastAsia" w:ascii="仿宋_GB2312" w:hAnsi="仿宋_GB2312" w:eastAsia="仿宋_GB2312" w:cs="仿宋_GB2312"/>
          <w:bCs/>
          <w:kern w:val="0"/>
          <w:sz w:val="32"/>
          <w:szCs w:val="32"/>
        </w:rPr>
        <w:t>年期末，我单位共有车辆3辆。其中：一般公务用车1辆。环卫用车2辆，已过户环卫局，未进行资产调拨。由于工作需要，借用卫东区人大车辆1辆、卫东区执法局车辆3辆；棚改办租用公务用车1辆。</w:t>
      </w:r>
      <w:r>
        <w:rPr>
          <w:rFonts w:hint="eastAsia" w:ascii="仿宋_GB2312" w:hAnsi="仿宋" w:eastAsia="仿宋_GB2312" w:cs="仿宋"/>
          <w:sz w:val="32"/>
          <w:szCs w:val="32"/>
        </w:rPr>
        <w:t>单位价值50万元以上通用设备0套，单位价值100万元以上专用设备0套。</w:t>
      </w:r>
    </w:p>
    <w:p>
      <w:pPr>
        <w:keepNext w:val="0"/>
        <w:keepLines w:val="0"/>
        <w:pageBreakBefore w:val="0"/>
        <w:kinsoku/>
        <w:wordWrap/>
        <w:overflowPunct/>
        <w:topLinePunct w:val="0"/>
        <w:autoSpaceDE/>
        <w:autoSpaceDN/>
        <w:bidi w:val="0"/>
        <w:adjustRightInd/>
        <w:spacing w:line="560" w:lineRule="exact"/>
        <w:ind w:firstLine="643" w:firstLineChars="200"/>
        <w:textAlignment w:val="auto"/>
        <w:outlineLvl w:val="9"/>
        <w:rPr>
          <w:rFonts w:ascii="仿宋_GB2312" w:hAnsi="宋体" w:eastAsia="仿宋_GB2312" w:cs="宋体"/>
          <w:b/>
          <w:kern w:val="0"/>
          <w:sz w:val="32"/>
          <w:szCs w:val="32"/>
        </w:rPr>
      </w:pPr>
      <w:r>
        <w:rPr>
          <w:rFonts w:hint="eastAsia" w:ascii="仿宋_GB2312" w:hAnsi="宋体" w:eastAsia="仿宋_GB2312" w:cs="宋体"/>
          <w:b/>
          <w:kern w:val="0"/>
          <w:sz w:val="32"/>
          <w:szCs w:val="32"/>
        </w:rPr>
        <w:t>（五）专项转移支付项目情况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我单位2021年没有专项转移支付项目。</w:t>
      </w:r>
    </w:p>
    <w:p>
      <w:pPr>
        <w:snapToGrid w:val="0"/>
        <w:spacing w:line="560" w:lineRule="exact"/>
        <w:jc w:val="both"/>
        <w:rPr>
          <w:rFonts w:hint="eastAsia" w:ascii="宋体" w:hAnsi="宋体" w:cs="仿宋"/>
          <w:b/>
          <w:sz w:val="32"/>
          <w:szCs w:val="32"/>
        </w:rPr>
      </w:pPr>
    </w:p>
    <w:p>
      <w:pPr>
        <w:snapToGrid w:val="0"/>
        <w:spacing w:line="560" w:lineRule="exact"/>
        <w:ind w:firstLine="3534" w:firstLineChars="1100"/>
        <w:jc w:val="both"/>
        <w:rPr>
          <w:rFonts w:ascii="宋体" w:hAnsi="宋体" w:cs="仿宋"/>
          <w:b/>
          <w:sz w:val="32"/>
          <w:szCs w:val="32"/>
        </w:rPr>
      </w:pPr>
      <w:r>
        <w:rPr>
          <w:rFonts w:hint="eastAsia" w:ascii="宋体" w:hAnsi="宋体" w:cs="仿宋"/>
          <w:b/>
          <w:sz w:val="32"/>
          <w:szCs w:val="32"/>
        </w:rPr>
        <w:t xml:space="preserve">第三部分 </w:t>
      </w:r>
    </w:p>
    <w:p>
      <w:pPr>
        <w:snapToGrid w:val="0"/>
        <w:spacing w:line="560" w:lineRule="exact"/>
        <w:ind w:firstLine="3534" w:firstLineChars="1100"/>
        <w:jc w:val="both"/>
        <w:rPr>
          <w:rFonts w:ascii="仿宋_GB2312" w:hAnsi="仿宋" w:eastAsia="仿宋_GB2312" w:cs="仿宋"/>
          <w:sz w:val="32"/>
          <w:szCs w:val="32"/>
        </w:rPr>
      </w:pPr>
      <w:r>
        <w:rPr>
          <w:rFonts w:hint="eastAsia" w:ascii="宋体" w:hAnsi="宋体" w:cs="仿宋"/>
          <w:b/>
          <w:sz w:val="32"/>
          <w:szCs w:val="32"/>
        </w:rPr>
        <w:t>名词解释</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一、财政拨款收入：是指省级财政当年拨付的资金。</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二、事业收入：是指事业单位开展专业活动及辅助活动所取得的收入。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三、其他收入：是指部门取得的除“财政拨款”、“事业收入”、“事业单位经营收入”等以外的收入。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五、基本支出：是指为保障机构正常运转、完成日常工作任务所必需的开支，其内容包括人员经费和日常公用经费两部分。</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六、项目支出：是指在基本支出之外，为完成特定的行政工作任务或事业发展目标所发生的支出。</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仿宋" w:eastAsia="仿宋_GB2312" w:cs="仿宋"/>
          <w:sz w:val="32"/>
          <w:szCs w:val="32"/>
        </w:rPr>
        <w:tab/>
      </w:r>
    </w:p>
    <w:p>
      <w:pPr>
        <w:snapToGrid w:val="0"/>
        <w:spacing w:line="560" w:lineRule="exact"/>
        <w:ind w:firstLine="640" w:firstLineChars="200"/>
        <w:rPr>
          <w:rFonts w:ascii="仿宋_GB2312" w:hAnsi="仿宋" w:eastAsia="仿宋_GB2312" w:cs="仿宋"/>
          <w:sz w:val="32"/>
          <w:szCs w:val="32"/>
        </w:rPr>
      </w:pPr>
    </w:p>
    <w:p>
      <w:pPr>
        <w:snapToGrid w:val="0"/>
        <w:spacing w:line="560" w:lineRule="exact"/>
        <w:ind w:firstLine="640" w:firstLineChars="200"/>
        <w:rPr>
          <w:rFonts w:ascii="仿宋_GB2312" w:hAnsi="仿宋" w:eastAsia="仿宋_GB2312" w:cs="仿宋"/>
          <w:sz w:val="32"/>
          <w:szCs w:val="32"/>
        </w:rPr>
      </w:pPr>
    </w:p>
    <w:p>
      <w:pPr>
        <w:rPr>
          <w:rFonts w:ascii="宋体" w:hAnsi="宋体" w:cs="宋体"/>
          <w:b/>
          <w:kern w:val="0"/>
          <w:sz w:val="32"/>
          <w:szCs w:val="32"/>
        </w:rPr>
      </w:pPr>
      <w:r>
        <w:rPr>
          <w:rFonts w:hint="eastAsia" w:ascii="宋体" w:hAnsi="宋体" w:cs="宋体"/>
          <w:b/>
          <w:kern w:val="0"/>
          <w:sz w:val="32"/>
          <w:szCs w:val="32"/>
        </w:rPr>
        <w:t>附件：</w:t>
      </w:r>
    </w:p>
    <w:p>
      <w:pPr>
        <w:ind w:firstLine="1285" w:firstLineChars="400"/>
        <w:rPr>
          <w:rFonts w:ascii="仿宋_GB2312" w:hAnsi="宋体" w:eastAsia="仿宋_GB2312" w:cs="宋体"/>
          <w:bCs/>
          <w:kern w:val="0"/>
          <w:sz w:val="32"/>
          <w:szCs w:val="32"/>
        </w:rPr>
      </w:pPr>
      <w:r>
        <w:rPr>
          <w:rFonts w:hint="eastAsia" w:ascii="宋体" w:hAnsi="宋体" w:cs="宋体"/>
          <w:b/>
          <w:kern w:val="0"/>
          <w:sz w:val="32"/>
          <w:szCs w:val="32"/>
        </w:rPr>
        <w:t>平顶山市卫东区住房和城乡建设局2021年部门预算表</w:t>
      </w:r>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44CD"/>
    <w:rsid w:val="00002A51"/>
    <w:rsid w:val="0008154C"/>
    <w:rsid w:val="000A7AD7"/>
    <w:rsid w:val="000E44CD"/>
    <w:rsid w:val="00135836"/>
    <w:rsid w:val="00184A5B"/>
    <w:rsid w:val="001E60BC"/>
    <w:rsid w:val="002758CD"/>
    <w:rsid w:val="00275F4D"/>
    <w:rsid w:val="002A5972"/>
    <w:rsid w:val="002E3166"/>
    <w:rsid w:val="002E4548"/>
    <w:rsid w:val="003D7DD4"/>
    <w:rsid w:val="00437912"/>
    <w:rsid w:val="004B0813"/>
    <w:rsid w:val="004B3B5F"/>
    <w:rsid w:val="004C0DFE"/>
    <w:rsid w:val="00510432"/>
    <w:rsid w:val="005153D6"/>
    <w:rsid w:val="00590F12"/>
    <w:rsid w:val="005F756D"/>
    <w:rsid w:val="00642819"/>
    <w:rsid w:val="006958EE"/>
    <w:rsid w:val="006B4F6A"/>
    <w:rsid w:val="007400B3"/>
    <w:rsid w:val="007C12D6"/>
    <w:rsid w:val="007C3FEF"/>
    <w:rsid w:val="00801928"/>
    <w:rsid w:val="00846C8F"/>
    <w:rsid w:val="008C509C"/>
    <w:rsid w:val="008D3A25"/>
    <w:rsid w:val="00912914"/>
    <w:rsid w:val="009708F4"/>
    <w:rsid w:val="0098054B"/>
    <w:rsid w:val="00993D02"/>
    <w:rsid w:val="009C76E1"/>
    <w:rsid w:val="00A45CEA"/>
    <w:rsid w:val="00A727C5"/>
    <w:rsid w:val="00B50CA3"/>
    <w:rsid w:val="00BD6658"/>
    <w:rsid w:val="00C87074"/>
    <w:rsid w:val="00C97DCF"/>
    <w:rsid w:val="00EC0288"/>
    <w:rsid w:val="00F40985"/>
    <w:rsid w:val="00FD6324"/>
    <w:rsid w:val="00FE7506"/>
    <w:rsid w:val="00FF77C2"/>
    <w:rsid w:val="00FF7A25"/>
    <w:rsid w:val="04F449D7"/>
    <w:rsid w:val="09C427C9"/>
    <w:rsid w:val="0EE44E47"/>
    <w:rsid w:val="19672A69"/>
    <w:rsid w:val="1FCC3452"/>
    <w:rsid w:val="27771EA7"/>
    <w:rsid w:val="2C431DBC"/>
    <w:rsid w:val="2FEE1039"/>
    <w:rsid w:val="331D14D0"/>
    <w:rsid w:val="351076CD"/>
    <w:rsid w:val="35EA560D"/>
    <w:rsid w:val="3AE5115B"/>
    <w:rsid w:val="43DC347B"/>
    <w:rsid w:val="53D44892"/>
    <w:rsid w:val="56EE3037"/>
    <w:rsid w:val="5E0A6266"/>
    <w:rsid w:val="5E962EDD"/>
    <w:rsid w:val="5F914B6A"/>
    <w:rsid w:val="62B43365"/>
    <w:rsid w:val="65382F87"/>
    <w:rsid w:val="75292030"/>
    <w:rsid w:val="7824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普通(网站)1"/>
    <w:basedOn w:val="1"/>
    <w:qFormat/>
    <w:uiPriority w:val="0"/>
    <w:pPr>
      <w:spacing w:beforeAutospacing="1" w:afterAutospacing="1"/>
      <w:jc w:val="left"/>
    </w:pPr>
    <w:rPr>
      <w:kern w:val="0"/>
      <w:sz w:val="24"/>
    </w:rPr>
  </w:style>
  <w:style w:type="character" w:customStyle="1" w:styleId="7">
    <w:name w:val="页眉 Char"/>
    <w:basedOn w:val="4"/>
    <w:link w:val="3"/>
    <w:semiHidden/>
    <w:qFormat/>
    <w:uiPriority w:val="99"/>
    <w:rPr>
      <w:rFonts w:ascii="Calibri" w:hAnsi="Calibri" w:cs="黑体"/>
      <w:kern w:val="2"/>
      <w:sz w:val="18"/>
      <w:szCs w:val="18"/>
    </w:rPr>
  </w:style>
  <w:style w:type="character" w:customStyle="1" w:styleId="8">
    <w:name w:val="页脚 Char"/>
    <w:basedOn w:val="4"/>
    <w:link w:val="2"/>
    <w:semiHidden/>
    <w:qFormat/>
    <w:uiPriority w:val="99"/>
    <w:rPr>
      <w:rFonts w:ascii="Calibri" w:hAnsi="Calibri" w:cs="黑体"/>
      <w:kern w:val="2"/>
      <w:sz w:val="18"/>
      <w:szCs w:val="18"/>
    </w:rPr>
  </w:style>
  <w:style w:type="paragraph" w:styleId="9">
    <w:name w:val="List Paragraph"/>
    <w:basedOn w:val="1"/>
    <w:qFormat/>
    <w:uiPriority w:val="34"/>
    <w:pPr>
      <w:ind w:firstLine="420" w:firstLineChars="200"/>
    </w:pPr>
    <w:rPr>
      <w:rFonts w:cs="Times New Roman"/>
      <w:szCs w:val="22"/>
    </w:rPr>
  </w:style>
  <w:style w:type="paragraph" w:customStyle="1" w:styleId="10">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A22B3-16C4-45CB-93DD-C4E2FF25BF4D}">
  <ds:schemaRefs/>
</ds:datastoreItem>
</file>

<file path=docProps/app.xml><?xml version="1.0" encoding="utf-8"?>
<Properties xmlns="http://schemas.openxmlformats.org/officeDocument/2006/extended-properties" xmlns:vt="http://schemas.openxmlformats.org/officeDocument/2006/docPropsVTypes">
  <Template>Normal</Template>
  <Pages>1</Pages>
  <Words>637</Words>
  <Characters>3634</Characters>
  <Lines>30</Lines>
  <Paragraphs>8</Paragraphs>
  <TotalTime>17</TotalTime>
  <ScaleCrop>false</ScaleCrop>
  <LinksUpToDate>false</LinksUpToDate>
  <CharactersWithSpaces>4263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2021-03-23T02:46:00Z</dcterms:created>
  <dc:creator>翾1367974113</dc:creator>
  <cp:lastModifiedBy>Administrator</cp:lastModifiedBy>
  <dcterms:modified xsi:type="dcterms:W3CDTF">2021-06-15T09:44:52Z</dcterms:modified>
  <dc:title>mac</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78A8CBBFD2B94E29B593AFA90FB20142</vt:lpwstr>
  </property>
</Properties>
</file>