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hAnsi="宋体" w:cs="宋体"/>
          <w:b/>
          <w:bCs/>
          <w:sz w:val="44"/>
          <w:szCs w:val="44"/>
        </w:rPr>
      </w:pPr>
      <w:r>
        <w:rPr>
          <w:rFonts w:hint="eastAsia" w:ascii="宋体" w:hAnsi="宋体" w:cs="宋体"/>
          <w:b/>
          <w:bCs/>
          <w:sz w:val="44"/>
          <w:szCs w:val="44"/>
        </w:rPr>
        <w:t>2021年平顶山市卫东区应急管理局</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hAnsi="宋体" w:cs="宋体"/>
          <w:b/>
          <w:bCs/>
          <w:sz w:val="44"/>
          <w:szCs w:val="44"/>
        </w:rPr>
      </w:pPr>
      <w:r>
        <w:rPr>
          <w:rFonts w:hint="eastAsia" w:ascii="宋体" w:hAnsi="宋体" w:cs="宋体"/>
          <w:b/>
          <w:bCs/>
          <w:sz w:val="44"/>
          <w:szCs w:val="44"/>
        </w:rPr>
        <w:t>部门预算说明</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宋体" w:hAnsi="宋体" w:cs="仿宋"/>
          <w:b/>
          <w:sz w:val="44"/>
          <w:szCs w:val="44"/>
        </w:rPr>
      </w:pPr>
      <w:r>
        <w:rPr>
          <w:rFonts w:hint="eastAsia" w:ascii="宋体" w:hAnsi="宋体" w:cs="仿宋"/>
          <w:b/>
          <w:sz w:val="44"/>
          <w:szCs w:val="44"/>
        </w:rPr>
        <w:t>目  录</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宋体" w:hAnsi="宋体" w:cs="仿宋"/>
          <w:b/>
          <w:sz w:val="32"/>
          <w:szCs w:val="32"/>
        </w:rPr>
        <w:t xml:space="preserve"> 第一部分　平</w:t>
      </w:r>
      <w:r>
        <w:rPr>
          <w:rFonts w:ascii="宋体" w:hAnsi="宋体" w:cs="仿宋"/>
          <w:b/>
          <w:sz w:val="32"/>
          <w:szCs w:val="32"/>
        </w:rPr>
        <w:t>顶山市卫东区应急管理局</w:t>
      </w:r>
      <w:r>
        <w:rPr>
          <w:rFonts w:hint="eastAsia" w:ascii="宋体" w:hAnsi="宋体" w:cs="仿宋"/>
          <w:b/>
          <w:sz w:val="32"/>
          <w:szCs w:val="32"/>
        </w:rPr>
        <w:t xml:space="preserve">概况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27"/>
          <w:szCs w:val="32"/>
        </w:rPr>
        <w:t xml:space="preserve"> </w:t>
      </w:r>
      <w:r>
        <w:rPr>
          <w:rFonts w:hint="eastAsia" w:ascii="仿宋_GB2312" w:hAnsi="仿宋_GB2312" w:eastAsia="仿宋_GB2312" w:cs="仿宋_GB2312"/>
          <w:sz w:val="32"/>
          <w:szCs w:val="32"/>
        </w:rPr>
        <w:t>一、主要职</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sz w:val="27"/>
          <w:szCs w:val="32"/>
        </w:rPr>
      </w:pPr>
      <w:r>
        <w:rPr>
          <w:rFonts w:hint="eastAsia" w:ascii="仿宋_GB2312" w:hAnsi="仿宋_GB2312" w:eastAsia="仿宋_GB2312" w:cs="仿宋_GB2312"/>
          <w:sz w:val="32"/>
          <w:szCs w:val="32"/>
        </w:rPr>
        <w:t xml:space="preserve">   二、部门预算单位构成 </w:t>
      </w:r>
      <w:r>
        <w:rPr>
          <w:rFonts w:hint="eastAsia" w:ascii="宋体" w:hAnsi="仿宋" w:cs="仿宋"/>
          <w:sz w:val="27"/>
          <w:szCs w:val="32"/>
        </w:rPr>
        <w:t xml:space="preserve">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b/>
          <w:sz w:val="32"/>
          <w:szCs w:val="32"/>
        </w:rPr>
      </w:pPr>
      <w:r>
        <w:rPr>
          <w:rFonts w:hint="eastAsia" w:ascii="仿宋" w:hAnsi="仿宋" w:eastAsia="仿宋" w:cs="仿宋"/>
          <w:sz w:val="32"/>
          <w:szCs w:val="32"/>
        </w:rPr>
        <w:t xml:space="preserve"> </w:t>
      </w:r>
      <w:r>
        <w:rPr>
          <w:rFonts w:hint="eastAsia" w:ascii="宋体" w:hAnsi="仿宋" w:cs="仿宋"/>
          <w:b/>
          <w:sz w:val="32"/>
          <w:szCs w:val="32"/>
        </w:rPr>
        <w:t>第二部分　平顶山市卫东区应急管理</w:t>
      </w:r>
      <w:r>
        <w:rPr>
          <w:rFonts w:ascii="宋体" w:hAnsi="仿宋" w:cs="仿宋"/>
          <w:b/>
          <w:sz w:val="32"/>
          <w:szCs w:val="32"/>
        </w:rPr>
        <w:t>局</w:t>
      </w:r>
      <w:r>
        <w:rPr>
          <w:rFonts w:hint="eastAsia" w:ascii="宋体" w:hAnsi="仿宋" w:cs="仿宋"/>
          <w:b/>
          <w:sz w:val="32"/>
          <w:szCs w:val="32"/>
        </w:rPr>
        <w:t xml:space="preserve">2021年部门预算情况说明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b/>
          <w:sz w:val="32"/>
          <w:szCs w:val="32"/>
        </w:rPr>
      </w:pPr>
      <w:r>
        <w:rPr>
          <w:rFonts w:hint="eastAsia" w:ascii="仿宋" w:hAnsi="仿宋" w:eastAsia="仿宋" w:cs="仿宋"/>
          <w:sz w:val="32"/>
          <w:szCs w:val="32"/>
        </w:rPr>
        <w:t xml:space="preserve"> </w:t>
      </w:r>
      <w:r>
        <w:rPr>
          <w:rFonts w:hint="eastAsia" w:ascii="宋体" w:hAnsi="仿宋" w:cs="仿宋"/>
          <w:b/>
          <w:sz w:val="32"/>
          <w:szCs w:val="32"/>
        </w:rPr>
        <w:t xml:space="preserve">第三部分　名词解释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b/>
          <w:sz w:val="32"/>
          <w:szCs w:val="32"/>
        </w:rPr>
      </w:pPr>
      <w:r>
        <w:rPr>
          <w:rFonts w:hint="eastAsia" w:ascii="仿宋" w:hAnsi="仿宋" w:eastAsia="仿宋" w:cs="仿宋"/>
          <w:sz w:val="32"/>
          <w:szCs w:val="32"/>
        </w:rPr>
        <w:t xml:space="preserve"> </w:t>
      </w:r>
      <w:r>
        <w:rPr>
          <w:rFonts w:hint="eastAsia" w:ascii="宋体" w:hAnsi="仿宋" w:cs="仿宋"/>
          <w:b/>
          <w:sz w:val="32"/>
          <w:szCs w:val="32"/>
        </w:rPr>
        <w:t xml:space="preserve">附件：平顶山市卫东区应急管理局2021年部门预算表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一、部门收支总体情况表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二、部门收入总体情况表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三、部门支出总体情况表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四、财政拨款收支总体情况表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五、一般公共预算支出情况表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分类汇总表</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七、一般公共预算“三公”经费支出情况表</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八、政府性基金预算支出情况表</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九、部门（单位）整体绩效目标表</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sz w:val="27"/>
          <w:szCs w:val="32"/>
        </w:rPr>
      </w:pPr>
      <w:r>
        <w:rPr>
          <w:rFonts w:hint="eastAsia" w:ascii="仿宋_GB2312" w:hAnsi="仿宋_GB2312" w:eastAsia="仿宋_GB2312" w:cs="仿宋_GB2312"/>
          <w:sz w:val="32"/>
          <w:szCs w:val="32"/>
        </w:rPr>
        <w:t xml:space="preserve">   十、部门预算项目绩效目标</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宋体" w:hAnsi="仿宋" w:cs="仿宋"/>
          <w:sz w:val="27"/>
          <w:szCs w:val="32"/>
        </w:rPr>
        <w:tab/>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宋体" w:hAnsi="仿宋" w:cs="仿宋"/>
          <w:b/>
          <w:bCs/>
          <w:sz w:val="32"/>
          <w:szCs w:val="32"/>
        </w:rPr>
      </w:pPr>
      <w:r>
        <w:rPr>
          <w:rFonts w:hint="eastAsia" w:ascii="宋体" w:hAnsi="仿宋" w:cs="仿宋"/>
          <w:b/>
          <w:bCs/>
          <w:sz w:val="32"/>
          <w:szCs w:val="32"/>
        </w:rPr>
        <w:t xml:space="preserve">第一部分 </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宋体" w:hAnsi="仿宋" w:cs="仿宋"/>
          <w:b/>
          <w:bCs/>
          <w:sz w:val="32"/>
          <w:szCs w:val="32"/>
        </w:rPr>
      </w:pPr>
      <w:r>
        <w:rPr>
          <w:rFonts w:hint="eastAsia" w:ascii="宋体" w:hAnsi="仿宋" w:cs="仿宋"/>
          <w:b/>
          <w:bCs/>
          <w:sz w:val="32"/>
          <w:szCs w:val="32"/>
        </w:rPr>
        <w:t>平</w:t>
      </w:r>
      <w:r>
        <w:rPr>
          <w:rFonts w:ascii="宋体" w:hAnsi="仿宋" w:cs="仿宋"/>
          <w:b/>
          <w:bCs/>
          <w:sz w:val="32"/>
          <w:szCs w:val="32"/>
        </w:rPr>
        <w:t>顶山市卫东区应急管理局</w:t>
      </w:r>
      <w:r>
        <w:rPr>
          <w:rFonts w:hint="eastAsia" w:ascii="宋体" w:hAnsi="仿宋" w:cs="仿宋"/>
          <w:b/>
          <w:bCs/>
          <w:sz w:val="32"/>
          <w:szCs w:val="32"/>
        </w:rPr>
        <w:t>概况</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hint="eastAsia" w:ascii="宋体" w:hAnsi="仿宋" w:cs="仿宋"/>
          <w:sz w:val="32"/>
          <w:szCs w:val="32"/>
        </w:rPr>
      </w:pP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cs="仿宋"/>
          <w:sz w:val="32"/>
          <w:szCs w:val="32"/>
        </w:rPr>
      </w:pPr>
      <w:r>
        <w:rPr>
          <w:rFonts w:hint="eastAsia" w:ascii="仿宋" w:hAnsi="仿宋" w:cs="仿宋"/>
          <w:b/>
          <w:bCs/>
          <w:sz w:val="32"/>
          <w:szCs w:val="32"/>
        </w:rPr>
        <w:t>一、</w:t>
      </w:r>
      <w:r>
        <w:rPr>
          <w:rFonts w:hint="eastAsia" w:ascii="宋体" w:hAnsi="仿宋" w:cs="仿宋"/>
          <w:b/>
          <w:bCs/>
          <w:sz w:val="32"/>
          <w:szCs w:val="32"/>
        </w:rPr>
        <w:t>平</w:t>
      </w:r>
      <w:r>
        <w:rPr>
          <w:rFonts w:ascii="宋体" w:hAnsi="仿宋" w:cs="仿宋"/>
          <w:b/>
          <w:bCs/>
          <w:sz w:val="32"/>
          <w:szCs w:val="32"/>
        </w:rPr>
        <w:t>顶山市卫东区应急管理局</w:t>
      </w:r>
      <w:r>
        <w:rPr>
          <w:rFonts w:hint="eastAsia" w:ascii="仿宋" w:hAnsi="仿宋" w:cs="仿宋"/>
          <w:b/>
          <w:bCs/>
          <w:sz w:val="32"/>
          <w:szCs w:val="32"/>
        </w:rPr>
        <w:t>主要职能</w:t>
      </w:r>
      <w:r>
        <w:rPr>
          <w:rFonts w:hint="eastAsia" w:ascii="仿宋" w:hAnsi="仿宋" w:cs="仿宋"/>
          <w:b/>
          <w:bCs/>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平顶山市卫东区应急管理局单位是区政府组成部门，为正科级。其主要职</w:t>
      </w:r>
      <w:r>
        <w:rPr>
          <w:rFonts w:hint="eastAsia" w:ascii="仿宋_GB2312" w:hAnsi="仿宋" w:eastAsia="仿宋_GB2312"/>
          <w:sz w:val="32"/>
          <w:szCs w:val="32"/>
          <w:lang w:eastAsia="zh-CN"/>
        </w:rPr>
        <w:t>能</w:t>
      </w:r>
      <w:r>
        <w:rPr>
          <w:rFonts w:hint="eastAsia" w:ascii="仿宋_GB2312" w:hAnsi="仿宋" w:eastAsia="仿宋_GB2312"/>
          <w:sz w:val="32"/>
          <w:szCs w:val="32"/>
        </w:rPr>
        <w:t xml:space="preserve">： </w:t>
      </w:r>
    </w:p>
    <w:p>
      <w:pPr>
        <w:pStyle w:val="7"/>
        <w:keepNext w:val="0"/>
        <w:keepLines w:val="0"/>
        <w:pageBreakBefore w:val="0"/>
        <w:kinsoku/>
        <w:wordWrap/>
        <w:overflowPunct/>
        <w:topLinePunct w:val="0"/>
        <w:autoSpaceDE/>
        <w:autoSpaceDN/>
        <w:bidi w:val="0"/>
        <w:adjustRightInd/>
        <w:spacing w:line="580" w:lineRule="exact"/>
        <w:ind w:firstLine="640" w:firstLineChars="200"/>
        <w:jc w:val="left"/>
        <w:textAlignment w:val="auto"/>
        <w:outlineLvl w:val="9"/>
        <w:rPr>
          <w:rFonts w:ascii="仿宋_GB2312" w:hAnsi="仿宋" w:eastAsia="仿宋_GB2312"/>
          <w:sz w:val="32"/>
          <w:szCs w:val="32"/>
        </w:rPr>
      </w:pPr>
      <w:r>
        <w:rPr>
          <w:rFonts w:hint="eastAsia" w:ascii="仿宋_GB2312" w:hAnsi="仿宋" w:eastAsia="仿宋_GB2312"/>
          <w:sz w:val="32"/>
          <w:szCs w:val="32"/>
        </w:rPr>
        <w:t>(一)负责全区应急管理工作，指导各部门应对安全生产类、自然灾害类等突发事件和综合防灾减灾救灾工作;负责全区安全生产综合监督管理和工矿商贸行业安全生产监督管理工作。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(二)拟订全区应急管理、安全生产的方案和措施，组织编制全区应急体系建设、安全生产和综合防灾减灾规划，起草相关规范性文件，组织制定相关规程和标准并监督实施。</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三)指导全区应急预案体系建设，建立完善事故灾难和自然灾害分级应对制度，组织编制全区总体应急预案和安全生产类、自然灾害类专项预案，综合协调应急预案衔接工作，组织开展预案演练，推动应急避难设施建设。</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(四)牵头建立统一的全区应急管理信息系统，负责信息传输和共享，建立监测预警和灾情报告制度，健全自然灾害信息资源获取和共享机制，依法统一发布灾情。</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五)组织指导协调安全生产类、自然灾害类等突发事件应急救援，承担全区应对重大灾害指挥机构工作，综合研判突发事件发展态势并提出应对建议，协助区委、区政府指定的负责同志组织重大灾害应急处置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(六)统一协调指毕各类应急专业队伍，建立应急协调联动机制，推进指挥平台对接，街接驻平解放军和武警部队参与应急救援工作。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(七)统筹应急救援力量建设，负责森林和草原火灾扑救、抗洪抢险、地震和地质灾害教授、生产安全事故牧援等专业应急救援力量建设，指导全区综合性应急救援队伍建设及社会应急救援力量建设。</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(八)组织指导消防工作，指导消防监督、火灾预防、火灾扑救等工作。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(九)指导协调全区森林和草原火灾、水旱灾害、地震和地质灾害等防治工作，负责自然灾害综合监测预警工作，指导开展自然灾害综合风险评估工作。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(十)组织协调全区灾害救助工作，组织指导灾情核查、损失评估、救灾捐赠工作，按权限管理、分配救灾款物并监督使用。</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一)依法行使安全生产综合监督管理职权，指导协调、监督检查区政府有关部门和各街道办事处安全生产工作，督促、指导安全生产责任落实。组织开展安全生产巡查、考核工作;承担平顶山市卫东区安全生产委员会办公室日常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二）按照分级、属地原则，依法监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三)依法组织指导生产安全事故调查处理，监督事故查处和责任追究落实情况。组织开展自然灾害类突发事件的调查评估工作;协助国家、省、市调查处理较大以上事故;综合管理全区生产安全伤亡事故、事故隐患排查治理、安全生产统计分析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(十四)制定应急物资储备和应急救援装备规划并组织实施，会同相关部门建立健全应急物资信息平台和调拨制度，在救灾时统一调度。</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五)负责应急管理、安全生产宣传教育和培训工作，组织指导应急管理、安全生产的科学技术研究、推广应用和信息化建设工作;依法组织、指导并监督特种作业人员操作资格考核工作和工矿商贸生产经营单位主要负责人、安全生产管理人员安全生产知识和管理能力考核工作，监督检查工矿商贸生产经营单位安全培训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六)负责指导各行业主管部门依法承担相关行业的灾害监测、预警、防治及保障工作;指导各负有安全生产监督管理职责的部门按照“管行业必须管安全，管业务必须管安全，管生产经营必须管安全”的安全生产贵任体系要求，依法具体负责本行业领域的安全生产监督管理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(十七)负责监督指导和组织协调全区安全生产行政执法工作。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(十八)开展应急管理方面的交流与合作，组织参与安全生产类、自然灾害类等突发事件的跨区域救援工作。</w:t>
      </w:r>
    </w:p>
    <w:p>
      <w:pPr>
        <w:pStyle w:val="7"/>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hint="eastAsia" w:ascii="仿宋_GB2312" w:hAnsi="仿宋" w:eastAsia="仿宋_GB2312"/>
          <w:sz w:val="32"/>
          <w:szCs w:val="32"/>
        </w:rPr>
        <w:t>(十九)完成区委、区政府交办的其他事项。</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cs="仿宋"/>
          <w:b/>
          <w:bCs/>
          <w:sz w:val="32"/>
          <w:szCs w:val="32"/>
          <w:highlight w:val="green"/>
        </w:rPr>
      </w:pPr>
      <w:r>
        <w:rPr>
          <w:rFonts w:hint="eastAsia" w:ascii="仿宋" w:hAnsi="仿宋" w:eastAsia="仿宋" w:cs="仿宋"/>
          <w:sz w:val="32"/>
          <w:szCs w:val="32"/>
        </w:rPr>
        <w:t xml:space="preserve">    </w:t>
      </w:r>
      <w:r>
        <w:rPr>
          <w:rFonts w:hint="eastAsia" w:ascii="仿宋" w:hAnsi="仿宋" w:cs="仿宋"/>
          <w:b/>
          <w:bCs/>
          <w:sz w:val="32"/>
          <w:szCs w:val="32"/>
        </w:rPr>
        <w:t>二、</w:t>
      </w:r>
      <w:r>
        <w:rPr>
          <w:rFonts w:hint="eastAsia" w:ascii="宋体" w:hAnsi="仿宋" w:cs="仿宋"/>
          <w:b/>
          <w:bCs/>
          <w:sz w:val="32"/>
          <w:szCs w:val="32"/>
        </w:rPr>
        <w:t>平</w:t>
      </w:r>
      <w:r>
        <w:rPr>
          <w:rFonts w:ascii="宋体" w:hAnsi="仿宋" w:cs="仿宋"/>
          <w:b/>
          <w:bCs/>
          <w:sz w:val="32"/>
          <w:szCs w:val="32"/>
        </w:rPr>
        <w:t>顶山市卫东区应急管理局</w:t>
      </w:r>
      <w:r>
        <w:rPr>
          <w:rFonts w:hint="eastAsia" w:ascii="仿宋" w:hAnsi="仿宋" w:cs="仿宋"/>
          <w:b/>
          <w:bCs/>
          <w:sz w:val="32"/>
          <w:szCs w:val="32"/>
        </w:rPr>
        <w:t>预算单位构成</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_GB2312" w:hAnsi="仿宋_GB2312" w:eastAsia="仿宋_GB2312" w:cs="仿宋_GB2312"/>
          <w:sz w:val="32"/>
          <w:szCs w:val="32"/>
        </w:rPr>
        <w:t>本部门预算仅包含本级预算，无所属单位预算。纳入卫东区应急管理局2021 年度部门预算编制范围的单位包括:卫东区应急管理局本级。</w:t>
      </w:r>
    </w:p>
    <w:p>
      <w:pPr>
        <w:pStyle w:val="7"/>
        <w:keepNext w:val="0"/>
        <w:keepLines w:val="0"/>
        <w:pageBreakBefore w:val="0"/>
        <w:kinsoku/>
        <w:wordWrap/>
        <w:overflowPunct/>
        <w:topLinePunct w:val="0"/>
        <w:autoSpaceDE/>
        <w:autoSpaceDN/>
        <w:bidi w:val="0"/>
        <w:adjustRightIn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应急局设4个内设机构：4个所属事业单位。平顶山市卫东区防灾减灾服务中心、平顶山市卫东区安全生产宣传教育服务中心、平顶山市卫东区应急事务保障服务中心、平顶山市卫东区安全生产执法监察大队。</w:t>
      </w:r>
    </w:p>
    <w:p>
      <w:pPr>
        <w:pStyle w:val="7"/>
        <w:keepNext w:val="0"/>
        <w:keepLines w:val="0"/>
        <w:pageBreakBefore w:val="0"/>
        <w:kinsoku/>
        <w:wordWrap/>
        <w:overflowPunct/>
        <w:topLinePunct w:val="0"/>
        <w:autoSpaceDE/>
        <w:autoSpaceDN/>
        <w:bidi w:val="0"/>
        <w:adjustRightIn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宋体" w:hAnsi="仿宋" w:cs="仿宋"/>
          <w:b/>
          <w:bCs/>
          <w:sz w:val="32"/>
          <w:szCs w:val="32"/>
        </w:rPr>
      </w:pPr>
      <w:r>
        <w:rPr>
          <w:rFonts w:hint="eastAsia" w:ascii="宋体" w:hAnsi="仿宋" w:cs="仿宋"/>
          <w:b/>
          <w:bCs/>
          <w:sz w:val="32"/>
          <w:szCs w:val="32"/>
        </w:rPr>
        <w:t>第二部分</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宋体" w:hAnsi="仿宋" w:cs="仿宋"/>
          <w:b/>
          <w:bCs/>
          <w:sz w:val="32"/>
          <w:szCs w:val="32"/>
        </w:rPr>
      </w:pPr>
      <w:r>
        <w:rPr>
          <w:rFonts w:hint="eastAsia" w:ascii="宋体" w:hAnsi="仿宋" w:cs="仿宋"/>
          <w:b/>
          <w:bCs/>
          <w:sz w:val="32"/>
          <w:szCs w:val="32"/>
        </w:rPr>
        <w:t>平</w:t>
      </w:r>
      <w:r>
        <w:rPr>
          <w:rFonts w:ascii="宋体" w:hAnsi="仿宋" w:cs="仿宋"/>
          <w:b/>
          <w:bCs/>
          <w:sz w:val="32"/>
          <w:szCs w:val="32"/>
        </w:rPr>
        <w:t>顶山市卫东区</w:t>
      </w:r>
      <w:r>
        <w:rPr>
          <w:rFonts w:hint="eastAsia" w:ascii="宋体" w:hAnsi="仿宋" w:cs="仿宋"/>
          <w:b/>
          <w:bCs/>
          <w:sz w:val="32"/>
          <w:szCs w:val="32"/>
        </w:rPr>
        <w:t>应急管理局2021年部门预算情况说明</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sz w:val="32"/>
          <w:szCs w:val="32"/>
        </w:rPr>
      </w:pPr>
      <w:r>
        <w:rPr>
          <w:rFonts w:hint="eastAsia" w:ascii="仿宋" w:hAnsi="仿宋" w:eastAsia="仿宋" w:cs="仿宋"/>
          <w:sz w:val="32"/>
          <w:szCs w:val="32"/>
        </w:rPr>
        <w:t xml:space="preserve">    </w:t>
      </w:r>
      <w:r>
        <w:rPr>
          <w:rFonts w:hint="eastAsia" w:ascii="宋体" w:hAnsi="仿宋" w:cs="仿宋"/>
          <w:b/>
          <w:bCs/>
          <w:sz w:val="32"/>
          <w:szCs w:val="32"/>
        </w:rPr>
        <w:t>一、收入支出预算总体情况说明</w:t>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2021年收、支总计均为670.91万元,与上年相比，收、支总计均增加108.17万元, 增长19.22%。主要原因：人员增加</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宋体" w:hAnsi="仿宋" w:cs="仿宋"/>
          <w:sz w:val="32"/>
          <w:szCs w:val="32"/>
          <w:highlight w:val="yellow"/>
        </w:rPr>
      </w:pPr>
      <w:r>
        <w:rPr>
          <w:rFonts w:hint="eastAsia" w:ascii="宋体" w:hAnsi="宋体" w:eastAsia="宋体" w:cs="宋体"/>
          <w:b/>
          <w:bCs w:val="0"/>
          <w:kern w:val="0"/>
          <w:sz w:val="32"/>
          <w:szCs w:val="32"/>
        </w:rPr>
        <w:t>二、收入预算总体情况说明</w:t>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2021年收入预算670.91万元，其中：一般公共预算670.91万元。</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宋体" w:hAnsi="宋体" w:eastAsia="宋体" w:cs="宋体"/>
          <w:b/>
          <w:bCs w:val="0"/>
          <w:kern w:val="0"/>
          <w:sz w:val="32"/>
          <w:szCs w:val="32"/>
        </w:rPr>
        <w:t>三、支出预算总体情况说明</w:t>
      </w:r>
      <w:r>
        <w:rPr>
          <w:rFonts w:hint="eastAsia" w:ascii="宋体" w:hAnsi="仿宋" w:cs="仿宋"/>
          <w:b/>
          <w:bCs/>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r>
        <w:rPr>
          <w:rFonts w:hint="eastAsia" w:ascii="宋体" w:hAnsi="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2021年支出预算670.91万元，按用途划分为：基本支出</w:t>
      </w:r>
      <w:r>
        <w:rPr>
          <w:rFonts w:hint="eastAsia" w:ascii="仿宋" w:hAnsi="仿宋" w:eastAsia="仿宋" w:cs="仿宋"/>
          <w:sz w:val="32"/>
          <w:szCs w:val="32"/>
        </w:rPr>
        <w:tab/>
      </w:r>
      <w:r>
        <w:rPr>
          <w:rFonts w:hint="eastAsia" w:ascii="仿宋" w:hAnsi="仿宋" w:eastAsia="仿宋" w:cs="仿宋"/>
          <w:sz w:val="32"/>
          <w:szCs w:val="32"/>
        </w:rPr>
        <w:t>668.63 万元,占99.66%；项目支出2.28万元，占0.34%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宋体" w:hAnsi="仿宋" w:cs="仿宋"/>
          <w:b/>
          <w:bCs/>
          <w:sz w:val="32"/>
          <w:szCs w:val="32"/>
        </w:rPr>
        <w:t>四、财政拨款收入支出预算总体情况说明</w:t>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2021年一般公共预算收支预算670.91万元，与上年相比，一般公共预算收支预算增加108.17万元，增长19.22</w:t>
      </w:r>
      <w:r>
        <w:rPr>
          <w:rFonts w:hint="eastAsia" w:ascii="仿宋" w:hAnsi="仿宋" w:eastAsia="仿宋" w:cs="仿宋"/>
          <w:sz w:val="32"/>
          <w:szCs w:val="32"/>
        </w:rPr>
        <w:tab/>
      </w:r>
      <w:r>
        <w:rPr>
          <w:rFonts w:hint="eastAsia" w:ascii="仿宋" w:hAnsi="仿宋" w:eastAsia="仿宋" w:cs="仿宋"/>
          <w:sz w:val="32"/>
          <w:szCs w:val="32"/>
        </w:rPr>
        <w:t>%,主要原因：人员增加。</w:t>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宋体" w:hAnsi="仿宋" w:cs="仿宋"/>
          <w:b/>
          <w:bCs/>
          <w:sz w:val="32"/>
          <w:szCs w:val="32"/>
        </w:rPr>
        <w:t>五、一般公共预算支出预算情况说明</w:t>
      </w:r>
      <w:r>
        <w:rPr>
          <w:rFonts w:hint="eastAsia" w:ascii="仿宋" w:hAnsi="仿宋" w:eastAsia="仿宋" w:cs="仿宋"/>
          <w:b/>
          <w:bCs/>
          <w:sz w:val="32"/>
          <w:szCs w:val="32"/>
        </w:rPr>
        <w:tab/>
      </w:r>
      <w:r>
        <w:rPr>
          <w:rFonts w:hint="eastAsia" w:ascii="仿宋" w:hAnsi="仿宋" w:eastAsia="仿宋" w:cs="仿宋"/>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_GB2312" w:hAnsi="宋体" w:eastAsia="仿宋_GB2312"/>
          <w:kern w:val="0"/>
          <w:sz w:val="32"/>
          <w:lang w:val="en-US" w:eastAsia="zh-CN"/>
        </w:rPr>
      </w:pPr>
      <w:r>
        <w:rPr>
          <w:rFonts w:hint="eastAsia" w:ascii="仿宋" w:hAnsi="仿宋" w:eastAsia="仿宋" w:cs="仿宋"/>
          <w:sz w:val="32"/>
          <w:szCs w:val="32"/>
        </w:rPr>
        <w:t xml:space="preserve">    2021年一般公共预算支出年初预算为670.91万元。主要用于以下方面：</w:t>
      </w:r>
      <w:r>
        <w:rPr>
          <w:rFonts w:hint="eastAsia" w:ascii="仿宋_GB2312" w:hAnsi="宋体" w:eastAsia="仿宋_GB2312"/>
          <w:kern w:val="0"/>
          <w:sz w:val="32"/>
        </w:rPr>
        <w:t>社会保障和就业（类）支出63.56万元，占9.47%；医疗卫生（类）支出48.47万元，占7.2</w:t>
      </w:r>
      <w:r>
        <w:rPr>
          <w:rFonts w:hint="eastAsia" w:ascii="仿宋_GB2312" w:hAnsi="宋体" w:eastAsia="仿宋_GB2312"/>
          <w:kern w:val="0"/>
          <w:sz w:val="32"/>
          <w:lang w:val="en-US" w:eastAsia="zh-CN"/>
        </w:rPr>
        <w:t>2</w:t>
      </w:r>
      <w:r>
        <w:rPr>
          <w:rFonts w:hint="eastAsia" w:ascii="仿宋_GB2312" w:hAnsi="宋体" w:eastAsia="仿宋_GB2312"/>
          <w:kern w:val="0"/>
          <w:sz w:val="32"/>
        </w:rPr>
        <w:t>%；住房保障（类）支出42.71万元，占6.37%</w:t>
      </w:r>
      <w:r>
        <w:rPr>
          <w:rFonts w:hint="eastAsia" w:ascii="仿宋_GB2312" w:hAnsi="宋体" w:eastAsia="仿宋_GB2312"/>
          <w:kern w:val="0"/>
          <w:sz w:val="32"/>
          <w:lang w:eastAsia="zh-CN"/>
        </w:rPr>
        <w:t>，灾害防治及应急管理支出</w:t>
      </w:r>
      <w:r>
        <w:rPr>
          <w:rFonts w:hint="eastAsia" w:ascii="仿宋_GB2312" w:hAnsi="宋体" w:eastAsia="仿宋_GB2312"/>
          <w:kern w:val="0"/>
          <w:sz w:val="32"/>
          <w:lang w:val="en-US" w:eastAsia="zh-CN"/>
        </w:rPr>
        <w:t>516.16万元，占76.94</w:t>
      </w:r>
      <w:r>
        <w:rPr>
          <w:rFonts w:hint="eastAsia" w:ascii="仿宋_GB2312" w:hAnsi="宋体" w:eastAsia="仿宋_GB2312"/>
          <w:kern w:val="0"/>
          <w:sz w:val="32"/>
        </w:rPr>
        <w:t>%</w:t>
      </w:r>
      <w:r>
        <w:rPr>
          <w:rFonts w:hint="eastAsia" w:ascii="仿宋_GB2312" w:hAnsi="宋体" w:eastAsia="仿宋_GB2312"/>
          <w:kern w:val="0"/>
          <w:sz w:val="32"/>
          <w:lang w:eastAsia="zh-CN"/>
        </w:rPr>
        <w:t>。</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宋体" w:hAnsi="仿宋" w:cs="仿宋"/>
          <w:b/>
          <w:bCs/>
          <w:sz w:val="32"/>
          <w:szCs w:val="32"/>
        </w:rPr>
        <w:t xml:space="preserve">六、支出预算经济分类情况说明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2021年预算支出670.91万元。其中：基本支出668.63万元，主要包括：基本工资、津贴补贴、奖金、绩效工资、机关事业单位基本养老保险缴费、职业年金缴费、医疗保险缴费、其他社会保障缴费、住房公积金、其他工资福利支出、退休费、其他对个人和家庭的补助支出；项目支出2.28万元，主要包括：办公费、印刷费、邮电费、差旅</w:t>
      </w:r>
      <w:r>
        <w:rPr>
          <w:rFonts w:hint="eastAsia"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hint="eastAsia"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宋体" w:hAnsi="仿宋" w:cs="仿宋"/>
          <w:b/>
          <w:bCs/>
          <w:sz w:val="32"/>
          <w:szCs w:val="32"/>
          <w:lang w:eastAsia="zh-CN"/>
        </w:rPr>
        <w:t>七</w:t>
      </w:r>
      <w:r>
        <w:rPr>
          <w:rFonts w:hint="eastAsia" w:ascii="宋体" w:hAnsi="仿宋" w:cs="仿宋"/>
          <w:b/>
          <w:bCs/>
          <w:sz w:val="32"/>
          <w:szCs w:val="32"/>
        </w:rPr>
        <w:t>、“三公”经费支出预算</w:t>
      </w:r>
      <w:r>
        <w:rPr>
          <w:rFonts w:ascii="宋体" w:hAnsi="仿宋" w:cs="仿宋"/>
          <w:b/>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2021年“三公”经费公共预算5万元。2021年“三公”经费支出预算数比上年增加0万元，主要原因是认真贯彻落实中央八项规定精神，坚持厉行勤俭节约，其中：</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（一）因公出国（境）费</w:t>
      </w:r>
      <w:r>
        <w:rPr>
          <w:rFonts w:hint="eastAsia" w:ascii="仿宋" w:hAnsi="仿宋" w:eastAsia="仿宋" w:cs="仿宋"/>
          <w:sz w:val="32"/>
          <w:szCs w:val="32"/>
        </w:rPr>
        <w:t>预算0万元，预算数与上年持平。预算数与 2020 年持平，主要原因是我单位</w:t>
      </w:r>
      <w:r>
        <w:rPr>
          <w:rFonts w:ascii="仿宋" w:hAnsi="仿宋" w:eastAsia="仿宋" w:cs="仿宋"/>
          <w:sz w:val="32"/>
          <w:szCs w:val="32"/>
        </w:rPr>
        <w:t>2021</w:t>
      </w:r>
      <w:r>
        <w:rPr>
          <w:rFonts w:hint="eastAsia" w:ascii="仿宋" w:hAnsi="仿宋" w:eastAsia="仿宋" w:cs="仿宋"/>
          <w:sz w:val="32"/>
          <w:szCs w:val="32"/>
        </w:rPr>
        <w:t>年无因公出国境任务。</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（二）公务用车购置及运行费</w:t>
      </w:r>
      <w:r>
        <w:rPr>
          <w:rFonts w:hint="eastAsia" w:ascii="仿宋" w:hAnsi="仿宋" w:eastAsia="仿宋" w:cs="仿宋"/>
          <w:sz w:val="32"/>
          <w:szCs w:val="32"/>
        </w:rPr>
        <w:t>预算4万元，预算数与上年持平，占“三公”经费总额的80%。其中，公务用车运行费4万元，预算数与上年持平，占“三公”经费总额的80%。主要原因是继续贯彻落实中央八项规定精神，坚持厉行勤俭节约，进一步规范公务用车制度，严格控制公务用车范围，主要用于日常公务发生的燃料费、维修费、过路过桥费、保险费等支出；公务用车购置预算为 0万元，主要原因是落实公车改革政策、加强公务用车管理，严控公务用车支出。</w:t>
      </w:r>
      <w:r>
        <w:rPr>
          <w:rFonts w:hint="eastAsia" w:ascii="仿宋" w:hAnsi="仿宋" w:eastAsia="仿宋" w:cs="仿宋"/>
          <w:sz w:val="32"/>
          <w:szCs w:val="32"/>
        </w:rPr>
        <w:tab/>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（三）公务接待费</w:t>
      </w:r>
      <w:r>
        <w:rPr>
          <w:rFonts w:hint="eastAsia" w:ascii="仿宋" w:hAnsi="仿宋" w:eastAsia="仿宋" w:cs="仿宋"/>
          <w:sz w:val="32"/>
          <w:szCs w:val="32"/>
        </w:rPr>
        <w:t>预算1万元，预算数与上年持平。</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kinsoku/>
        <w:wordWrap/>
        <w:overflowPunct/>
        <w:topLinePunct w:val="0"/>
        <w:autoSpaceDE/>
        <w:autoSpaceDN/>
        <w:bidi w:val="0"/>
        <w:adjustRightInd/>
        <w:snapToGrid w:val="0"/>
        <w:spacing w:line="580" w:lineRule="exact"/>
        <w:ind w:firstLine="640"/>
        <w:textAlignment w:val="auto"/>
        <w:outlineLvl w:val="9"/>
        <w:rPr>
          <w:rFonts w:ascii="仿宋" w:hAnsi="仿宋" w:eastAsia="仿宋" w:cs="仿宋"/>
          <w:sz w:val="32"/>
          <w:szCs w:val="32"/>
        </w:rPr>
      </w:pPr>
      <w:r>
        <w:rPr>
          <w:rFonts w:hint="eastAsia" w:ascii="宋体" w:hAnsi="仿宋" w:cs="仿宋"/>
          <w:b/>
          <w:bCs/>
          <w:sz w:val="32"/>
          <w:szCs w:val="32"/>
          <w:lang w:eastAsia="zh-CN"/>
        </w:rPr>
        <w:t>八</w:t>
      </w:r>
      <w:r>
        <w:rPr>
          <w:rFonts w:hint="eastAsia" w:ascii="宋体" w:hAnsi="仿宋" w:cs="仿宋"/>
          <w:b/>
          <w:bCs/>
          <w:sz w:val="32"/>
          <w:szCs w:val="32"/>
        </w:rPr>
        <w:t>、政府性基金预算支出预算情况说明</w:t>
      </w:r>
      <w:r>
        <w:rPr>
          <w:rFonts w:hint="eastAsia" w:ascii="仿宋" w:hAnsi="仿宋" w:eastAsia="仿宋" w:cs="仿宋"/>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b/>
          <w:bCs/>
          <w:sz w:val="32"/>
          <w:szCs w:val="32"/>
        </w:rPr>
      </w:pPr>
      <w:r>
        <w:rPr>
          <w:rFonts w:hint="eastAsia" w:ascii="仿宋" w:hAnsi="仿宋" w:eastAsia="仿宋" w:cs="仿宋"/>
          <w:sz w:val="32"/>
          <w:szCs w:val="32"/>
        </w:rPr>
        <w:t>部门2021年政府性基金预算支出</w:t>
      </w:r>
      <w:r>
        <w:rPr>
          <w:rFonts w:hint="eastAsia" w:ascii="仿宋" w:hAnsi="仿宋" w:eastAsia="仿宋" w:cs="仿宋"/>
          <w:sz w:val="32"/>
          <w:szCs w:val="32"/>
        </w:rPr>
        <w:tab/>
      </w:r>
      <w:r>
        <w:rPr>
          <w:rFonts w:hint="eastAsia" w:ascii="仿宋" w:hAnsi="仿宋" w:eastAsia="仿宋" w:cs="仿宋"/>
          <w:sz w:val="32"/>
          <w:szCs w:val="32"/>
        </w:rPr>
        <w:t xml:space="preserve">0.00 </w:t>
      </w:r>
      <w:r>
        <w:rPr>
          <w:rFonts w:hint="eastAsia" w:ascii="仿宋" w:hAnsi="仿宋" w:eastAsia="仿宋" w:cs="仿宋"/>
          <w:sz w:val="32"/>
          <w:szCs w:val="32"/>
        </w:rPr>
        <w:tab/>
      </w:r>
      <w:r>
        <w:rPr>
          <w:rFonts w:hint="eastAsia" w:ascii="仿宋" w:hAnsi="仿宋" w:eastAsia="仿宋" w:cs="仿宋"/>
          <w:sz w:val="32"/>
          <w:szCs w:val="32"/>
        </w:rPr>
        <w:t>万元，预算数与上年持平。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b/>
          <w:bCs/>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宋体" w:hAnsi="仿宋" w:cs="仿宋"/>
          <w:b/>
          <w:bCs/>
          <w:sz w:val="32"/>
          <w:szCs w:val="32"/>
        </w:rPr>
      </w:pPr>
      <w:r>
        <w:rPr>
          <w:rFonts w:hint="eastAsia" w:ascii="宋体" w:hAnsi="仿宋" w:cs="仿宋"/>
          <w:b/>
          <w:bCs/>
          <w:sz w:val="32"/>
          <w:szCs w:val="32"/>
        </w:rPr>
        <w:t>九、其他</w:t>
      </w:r>
      <w:r>
        <w:rPr>
          <w:rFonts w:ascii="宋体" w:hAnsi="仿宋" w:cs="仿宋"/>
          <w:b/>
          <w:bCs/>
          <w:sz w:val="32"/>
          <w:szCs w:val="32"/>
        </w:rPr>
        <w:t>重要事项情况说明</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（一）机关运行经费预算</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2021年，机关运行经费支出预算19.12万元，主要用于办公及印刷费、邮电费、差旅费、会议费、水、电、暖、物业管理等运行维护费、公务用车运行维护费以及其他费用。</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（二）政府采购情况说明</w:t>
      </w:r>
      <w:r>
        <w:rPr>
          <w:rFonts w:hint="eastAsia" w:ascii="仿宋" w:hAnsi="仿宋" w:eastAsia="仿宋" w:cs="仿宋"/>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pStyle w:val="6"/>
        <w:keepNext w:val="0"/>
        <w:keepLines w:val="0"/>
        <w:pageBreakBefore w:val="0"/>
        <w:widowControl/>
        <w:kinsoku/>
        <w:wordWrap/>
        <w:overflowPunct/>
        <w:topLinePunct w:val="0"/>
        <w:autoSpaceDE/>
        <w:autoSpaceDN/>
        <w:bidi w:val="0"/>
        <w:adjustRightInd/>
        <w:spacing w:beforeAutospacing="0" w:afterAutospacing="0"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2021年，政府采购预算安排30万元，其中：政府采购货物预算20万元、政府采购工程预算0万元、政府采购服务预算10万元 。主要用于办公设备、办公用品购置及印刷品。</w:t>
      </w:r>
      <w:r>
        <w:rPr>
          <w:rFonts w:hint="eastAsia" w:ascii="仿宋" w:hAnsi="仿宋" w:eastAsia="仿宋" w:cs="仿宋"/>
          <w:sz w:val="32"/>
          <w:szCs w:val="32"/>
        </w:rPr>
        <w:tab/>
      </w:r>
      <w:r>
        <w:rPr>
          <w:rFonts w:hint="eastAsia" w:ascii="仿宋" w:hAnsi="仿宋" w:eastAsia="仿宋" w:cs="仿宋"/>
          <w:sz w:val="32"/>
          <w:szCs w:val="32"/>
        </w:rPr>
        <w:t xml:space="preserve">预算数与 2020 年相比增加30万元。 </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b/>
          <w:bCs/>
          <w:sz w:val="32"/>
          <w:szCs w:val="32"/>
        </w:rPr>
      </w:pPr>
      <w:r>
        <w:rPr>
          <w:rFonts w:hint="eastAsia" w:ascii="仿宋" w:hAnsi="仿宋" w:eastAsia="仿宋" w:cs="仿宋"/>
          <w:b/>
          <w:bCs/>
          <w:sz w:val="32"/>
          <w:szCs w:val="32"/>
        </w:rPr>
        <w:t>（三）绩效目标设置情况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2021年，我单位按要求编制了绩效目标，从项目产出、项目效益、满意度等方面设置了绩效指标，综合反映项目预期完成的数量、实效、质量，预期达到的社会经济效益、可持续影响以及服务对象满意度等情况。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b/>
          <w:sz w:val="32"/>
          <w:szCs w:val="32"/>
        </w:rPr>
      </w:pPr>
      <w:r>
        <w:rPr>
          <w:rFonts w:hint="eastAsia" w:ascii="仿宋" w:hAnsi="仿宋" w:eastAsia="仿宋" w:cs="仿宋"/>
          <w:b/>
          <w:sz w:val="32"/>
          <w:szCs w:val="32"/>
        </w:rPr>
        <w:t>（四）国有资产占用情况</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期末</w:t>
      </w:r>
      <w:r>
        <w:rPr>
          <w:rFonts w:hint="eastAsia" w:ascii="仿宋" w:hAnsi="仿宋" w:eastAsia="仿宋" w:cs="仿宋"/>
          <w:sz w:val="32"/>
          <w:szCs w:val="32"/>
        </w:rPr>
        <w:t>，我单位实有车辆3辆，为公务用车改革后从其他单位调入，现在正在履行过户手续。其中：一般公务用车3辆,一般执法执勤用车0辆、特种专业技术用车0辆，其他用车0辆；单价50万元以上通用设备1套，单位价值100万元以上专用设备0套。</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b/>
          <w:sz w:val="32"/>
          <w:szCs w:val="32"/>
        </w:rPr>
      </w:pPr>
      <w:r>
        <w:rPr>
          <w:rFonts w:hint="eastAsia" w:ascii="仿宋" w:hAnsi="仿宋" w:eastAsia="仿宋" w:cs="仿宋"/>
          <w:b/>
          <w:sz w:val="32"/>
          <w:szCs w:val="32"/>
        </w:rPr>
        <w:t xml:space="preserve">    </w:t>
      </w:r>
      <w:r>
        <w:rPr>
          <w:rFonts w:ascii="仿宋" w:hAnsi="仿宋" w:eastAsia="仿宋" w:cs="仿宋"/>
          <w:b/>
          <w:sz w:val="32"/>
          <w:szCs w:val="32"/>
        </w:rPr>
        <w:t xml:space="preserve"> </w:t>
      </w:r>
      <w:r>
        <w:rPr>
          <w:rFonts w:hint="eastAsia" w:ascii="仿宋" w:hAnsi="仿宋" w:eastAsia="仿宋" w:cs="仿宋"/>
          <w:b/>
          <w:sz w:val="32"/>
          <w:szCs w:val="32"/>
        </w:rPr>
        <w:t>（五）专项转移支付项目情况</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我单位2021年没有专项转移支付项目。</w:t>
      </w:r>
    </w:p>
    <w:p>
      <w:pPr>
        <w:keepNext w:val="0"/>
        <w:keepLines w:val="0"/>
        <w:pageBreakBefore w:val="0"/>
        <w:kinsoku/>
        <w:wordWrap/>
        <w:overflowPunct/>
        <w:topLinePunct w:val="0"/>
        <w:autoSpaceDE/>
        <w:autoSpaceDN/>
        <w:bidi w:val="0"/>
        <w:adjustRightInd/>
        <w:snapToGrid w:val="0"/>
        <w:spacing w:line="580" w:lineRule="exact"/>
        <w:jc w:val="both"/>
        <w:textAlignment w:val="auto"/>
        <w:outlineLvl w:val="9"/>
        <w:rPr>
          <w:rFonts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val="0"/>
        <w:spacing w:line="580" w:lineRule="exact"/>
        <w:ind w:firstLine="3213" w:firstLineChars="1000"/>
        <w:jc w:val="both"/>
        <w:textAlignment w:val="auto"/>
        <w:outlineLvl w:val="9"/>
        <w:rPr>
          <w:rFonts w:ascii="宋体" w:hAnsi="仿宋" w:cs="仿宋"/>
          <w:b/>
          <w:bCs/>
          <w:sz w:val="32"/>
          <w:szCs w:val="32"/>
        </w:rPr>
      </w:pPr>
      <w:r>
        <w:rPr>
          <w:rFonts w:hint="eastAsia" w:ascii="宋体" w:hAnsi="仿宋" w:cs="仿宋"/>
          <w:b/>
          <w:bCs/>
          <w:sz w:val="32"/>
          <w:szCs w:val="32"/>
        </w:rPr>
        <w:t xml:space="preserve">第三部分 </w:t>
      </w:r>
    </w:p>
    <w:p>
      <w:pPr>
        <w:keepNext w:val="0"/>
        <w:keepLines w:val="0"/>
        <w:pageBreakBefore w:val="0"/>
        <w:kinsoku/>
        <w:wordWrap/>
        <w:overflowPunct/>
        <w:topLinePunct w:val="0"/>
        <w:autoSpaceDE/>
        <w:autoSpaceDN/>
        <w:bidi w:val="0"/>
        <w:adjustRightInd/>
        <w:snapToGrid w:val="0"/>
        <w:spacing w:line="580" w:lineRule="exact"/>
        <w:ind w:firstLine="3213" w:firstLineChars="1000"/>
        <w:jc w:val="both"/>
        <w:textAlignment w:val="auto"/>
        <w:outlineLvl w:val="9"/>
        <w:rPr>
          <w:rFonts w:hint="eastAsia" w:ascii="宋体" w:hAnsi="仿宋" w:cs="仿宋"/>
          <w:b/>
          <w:bCs/>
          <w:sz w:val="32"/>
          <w:szCs w:val="32"/>
        </w:rPr>
      </w:pPr>
      <w:r>
        <w:rPr>
          <w:rFonts w:hint="eastAsia" w:ascii="宋体" w:hAnsi="仿宋" w:cs="仿宋"/>
          <w:b/>
          <w:bCs/>
          <w:sz w:val="32"/>
          <w:szCs w:val="32"/>
        </w:rPr>
        <w:t>名词解释</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一、财政拨款收入：是指省级财政当年拨付的资金。</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宋体" w:hAnsi="仿宋" w:cs="仿宋"/>
          <w:b/>
          <w:sz w:val="32"/>
          <w:szCs w:val="32"/>
        </w:rPr>
      </w:pPr>
      <w:r>
        <w:rPr>
          <w:rFonts w:hint="eastAsia" w:ascii="宋体" w:hAnsi="仿宋" w:cs="仿宋"/>
          <w:b/>
          <w:sz w:val="32"/>
          <w:szCs w:val="32"/>
        </w:rPr>
        <w:t>附件：</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宋体" w:hAnsi="仿宋" w:cs="仿宋"/>
          <w:b/>
          <w:sz w:val="32"/>
          <w:szCs w:val="32"/>
        </w:rPr>
        <w:t xml:space="preserve">     </w:t>
      </w:r>
      <w:r>
        <w:rPr>
          <w:rFonts w:ascii="宋体" w:hAnsi="仿宋" w:cs="仿宋"/>
          <w:b/>
          <w:sz w:val="32"/>
          <w:szCs w:val="32"/>
        </w:rPr>
        <w:t xml:space="preserve"> </w:t>
      </w:r>
      <w:r>
        <w:rPr>
          <w:rFonts w:hint="eastAsia" w:ascii="宋体" w:hAnsi="仿宋" w:cs="仿宋"/>
          <w:b/>
          <w:sz w:val="32"/>
          <w:szCs w:val="32"/>
        </w:rPr>
        <w:t>平</w:t>
      </w:r>
      <w:r>
        <w:rPr>
          <w:rFonts w:ascii="宋体" w:hAnsi="仿宋" w:cs="仿宋"/>
          <w:b/>
          <w:sz w:val="32"/>
          <w:szCs w:val="32"/>
        </w:rPr>
        <w:t>顶山市卫东区应急</w:t>
      </w:r>
      <w:r>
        <w:rPr>
          <w:rFonts w:hint="eastAsia" w:ascii="宋体" w:hAnsi="仿宋" w:cs="仿宋"/>
          <w:b/>
          <w:sz w:val="32"/>
          <w:szCs w:val="32"/>
        </w:rPr>
        <w:t>管理局2021年部门</w:t>
      </w:r>
      <w:r>
        <w:rPr>
          <w:rFonts w:ascii="宋体" w:hAnsi="仿宋" w:cs="仿宋"/>
          <w:b/>
          <w:sz w:val="32"/>
          <w:szCs w:val="32"/>
        </w:rPr>
        <w:t>预算表</w:t>
      </w:r>
      <w:r>
        <w:rPr>
          <w:rFonts w:hint="eastAsia" w:ascii="宋体" w:hAnsi="仿宋" w:cs="仿宋"/>
          <w:b/>
          <w:sz w:val="32"/>
          <w:szCs w:val="32"/>
        </w:rPr>
        <w:tab/>
      </w:r>
      <w:r>
        <w:rPr>
          <w:rFonts w:hint="eastAsia" w:ascii="宋体" w:hAnsi="仿宋" w:cs="仿宋"/>
          <w:b/>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D7"/>
    <w:rsid w:val="003D51E1"/>
    <w:rsid w:val="00551058"/>
    <w:rsid w:val="00584523"/>
    <w:rsid w:val="00805ED7"/>
    <w:rsid w:val="00A520FA"/>
    <w:rsid w:val="00B63517"/>
    <w:rsid w:val="00CB6C12"/>
    <w:rsid w:val="00D4457A"/>
    <w:rsid w:val="00E45ABC"/>
    <w:rsid w:val="0E5B2F40"/>
    <w:rsid w:val="2015170F"/>
    <w:rsid w:val="24DD59A7"/>
    <w:rsid w:val="5DCE1B67"/>
    <w:rsid w:val="5E1F5D72"/>
    <w:rsid w:val="68416BC9"/>
    <w:rsid w:val="6B1118D9"/>
    <w:rsid w:val="6BD34353"/>
    <w:rsid w:val="6C6362D6"/>
    <w:rsid w:val="7B95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qFormat/>
    <w:uiPriority w:val="0"/>
    <w:pPr>
      <w:spacing w:beforeAutospacing="1" w:afterAutospacing="1"/>
      <w:jc w:val="left"/>
    </w:pPr>
    <w:rPr>
      <w:kern w:val="0"/>
      <w:sz w:val="24"/>
    </w:rPr>
  </w:style>
  <w:style w:type="paragraph" w:customStyle="1" w:styleId="7">
    <w:name w:val="p0"/>
    <w:basedOn w:val="1"/>
    <w:qFormat/>
    <w:uiPriority w:val="0"/>
    <w:pPr>
      <w:widowControl/>
    </w:pPr>
    <w:rPr>
      <w:rFonts w:ascii="等线" w:hAnsi="等线"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758</Words>
  <Characters>4322</Characters>
  <Lines>36</Lines>
  <Paragraphs>10</Paragraphs>
  <TotalTime>2</TotalTime>
  <ScaleCrop>false</ScaleCrop>
  <LinksUpToDate>false</LinksUpToDate>
  <CharactersWithSpaces>5070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2021-03-05T16:17:00Z</dcterms:created>
  <dc:creator>翾1367974113</dc:creator>
  <cp:lastModifiedBy>Administrator</cp:lastModifiedBy>
  <dcterms:modified xsi:type="dcterms:W3CDTF">2021-06-15T09:11:40Z</dcterms:modified>
  <dc:title>mac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03EB4BEA00F0442887187E98D1C9DFA7</vt:lpwstr>
  </property>
</Properties>
</file>