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2021年</w:t>
      </w:r>
      <w:r>
        <w:rPr>
          <w:rFonts w:hint="eastAsia" w:ascii="宋体" w:hAnsi="宋体" w:eastAsia="宋体" w:cs="宋体"/>
          <w:b/>
          <w:bCs/>
          <w:kern w:val="0"/>
          <w:sz w:val="44"/>
          <w:szCs w:val="44"/>
          <w:lang w:val="en-US" w:eastAsia="zh-CN" w:bidi="ar-SA"/>
        </w:rPr>
        <w:t>平顶山市卫东区科学技术局</w:t>
      </w:r>
    </w:p>
    <w:p>
      <w:pPr>
        <w:widowControl w:val="0"/>
        <w:wordWrap/>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部门预算说明</w:t>
      </w:r>
    </w:p>
    <w:p>
      <w:pPr>
        <w:widowControl w:val="0"/>
        <w:wordWrap/>
        <w:adjustRightInd/>
        <w:snapToGrid w:val="0"/>
        <w:spacing w:line="560" w:lineRule="exact"/>
        <w:jc w:val="center"/>
        <w:textAlignment w:val="auto"/>
        <w:rPr>
          <w:rFonts w:hint="eastAsia" w:ascii="仿宋" w:hAnsi="仿宋" w:eastAsia="仿宋" w:cs="仿宋"/>
          <w:sz w:val="32"/>
          <w:szCs w:val="32"/>
        </w:rPr>
      </w:pPr>
    </w:p>
    <w:p>
      <w:pPr>
        <w:widowControl w:val="0"/>
        <w:wordWrap/>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第一部分　平顶山市卫东区科学技术局概况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一、主要职能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二、部门预算单位构成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第二部分　平顶山市卫东区科学技术局2021年部门预算情况说明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第三部分　名词解释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附件：平顶山市卫东区科学技术局2021年部门预算表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一、部门收支总体情况表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二、部门收入总体情况表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三、部门支出总体情况表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四、财政拨款收支总体情况表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五、一般公共预算支出情况表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六、</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九、部门</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单位</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整体绩效目标表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widowControl w:val="0"/>
        <w:numPr>
          <w:numId w:val="0"/>
        </w:numPr>
        <w:wordWrap/>
        <w:adjustRightInd/>
        <w:spacing w:line="56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第一部分</w:t>
      </w:r>
    </w:p>
    <w:p>
      <w:pPr>
        <w:widowControl w:val="0"/>
        <w:numPr>
          <w:numId w:val="0"/>
        </w:numPr>
        <w:wordWrap/>
        <w:adjustRightInd/>
        <w:spacing w:line="560" w:lineRule="exact"/>
        <w:jc w:val="center"/>
        <w:textAlignment w:val="auto"/>
        <w:rPr>
          <w:rFonts w:hint="eastAsia" w:ascii="宋体" w:hAnsi="宋体" w:cs="宋体"/>
          <w:b/>
          <w:bCs/>
          <w:kern w:val="0"/>
          <w:sz w:val="32"/>
          <w:szCs w:val="32"/>
        </w:rPr>
      </w:pPr>
      <w:r>
        <w:rPr>
          <w:rFonts w:hint="eastAsia" w:ascii="宋体" w:hAnsi="宋体" w:cs="宋体"/>
          <w:b/>
          <w:bCs/>
          <w:kern w:val="0"/>
          <w:sz w:val="32"/>
          <w:szCs w:val="32"/>
          <w:lang w:eastAsia="zh-CN"/>
        </w:rPr>
        <w:t>平顶山市卫东区科学技术局</w:t>
      </w:r>
      <w:r>
        <w:rPr>
          <w:rFonts w:hint="eastAsia" w:ascii="宋体" w:hAnsi="宋体" w:cs="宋体"/>
          <w:b/>
          <w:bCs/>
          <w:kern w:val="0"/>
          <w:sz w:val="32"/>
          <w:szCs w:val="32"/>
        </w:rPr>
        <w:t>概况</w:t>
      </w:r>
    </w:p>
    <w:p>
      <w:pPr>
        <w:widowControl w:val="0"/>
        <w:numPr>
          <w:numId w:val="0"/>
        </w:numPr>
        <w:wordWrap/>
        <w:adjustRightInd/>
        <w:spacing w:line="560" w:lineRule="exact"/>
        <w:jc w:val="center"/>
        <w:textAlignment w:val="auto"/>
        <w:rPr>
          <w:rFonts w:hint="eastAsia" w:ascii="宋体" w:hAnsi="宋体" w:cs="宋体"/>
          <w:b/>
          <w:bCs/>
          <w:kern w:val="0"/>
          <w:sz w:val="32"/>
          <w:szCs w:val="32"/>
        </w:rPr>
      </w:pP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kern w:val="0"/>
          <w:sz w:val="32"/>
          <w:szCs w:val="32"/>
          <w:lang w:eastAsia="zh-CN"/>
        </w:rPr>
        <w:t>平顶山市卫东区科学技术局</w:t>
      </w:r>
      <w:r>
        <w:rPr>
          <w:rFonts w:hint="eastAsia" w:ascii="宋体" w:hAnsi="宋体" w:eastAsia="宋体" w:cs="宋体"/>
          <w:b/>
          <w:bCs/>
          <w:sz w:val="32"/>
          <w:szCs w:val="32"/>
        </w:rPr>
        <w:t>主要职能</w:t>
      </w:r>
      <w:r>
        <w:rPr>
          <w:rFonts w:hint="eastAsia" w:ascii="宋体" w:hAnsi="宋体" w:eastAsia="宋体" w:cs="宋体"/>
          <w:b/>
          <w:bCs/>
          <w:sz w:val="32"/>
          <w:szCs w:val="32"/>
        </w:rPr>
        <w:tab/>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（一）贯彻执行国家、省、市科技工作法律、法规和方针、政策，牵头拟订、落实创新驱动发展、科技发展、引进国外智力的地方性政策和措施，并组织实施。</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（二）统筹推进自主创新体系建设和科技体制改革，会同有关部门健全技术创新激励奖励机制，优化科研体系建设，推动企业科技创新能力建设，承担推进科技军民融合发展相关工作。</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三）建立统一的区级科技管理信息系统和科研项目资金协调、评价、监管机制；会同有关部门提出优化配置科技资源的政策措施建议，推动多元化科技投入体系建设；会同有关部门统筹管理区级财政科技计划并监督实施；促进科技金融紧密结合。</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四）拟定全区基础研究规划并组织实施，组织协调重大基础研究和应用基础研究；统筹关键共性技术、前沿引领技术、现代工程技术研发和创新，协同推进重大技术成果应用示范；支持安全生产领域的科学技术研究。</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五）组织拟订高新技术发展及产业化、科技促进农业农村和社会发展的措施，组织开展重点领域技术发展需求分析，提出关键核心技术需求并监督实施；协同推荐科技型中小企业、高新技术企业申报工作，促进全区高新技术企业和高新技术产业发展。</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（六）牵头全区技术转移体系建设，拟订科技成果转移转化和促进产学研结合的相关政策措施并监督实施；指导科技创新创业载体平台建设，做好技术市场工作；推进科技评价机制改革，统筹科研诚信建设。</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（七）组织实施科技人才计划，做好外国专家服务和招才引智工作。</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（八）推进全区科普宣传工作，组织落实国家、省、市举办的大型科普、法规宣传活动;组织、参加科技下乡活动。</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（九）承办区委、区政府交办的其他事项。</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kern w:val="0"/>
          <w:sz w:val="32"/>
          <w:szCs w:val="32"/>
          <w:lang w:eastAsia="zh-CN"/>
        </w:rPr>
        <w:t>平顶山市卫东区科学技术局</w:t>
      </w:r>
      <w:r>
        <w:rPr>
          <w:rFonts w:hint="eastAsia" w:ascii="宋体" w:hAnsi="宋体" w:eastAsia="宋体" w:cs="宋体"/>
          <w:b/>
          <w:bCs/>
          <w:sz w:val="32"/>
          <w:szCs w:val="32"/>
          <w:lang w:eastAsia="zh-CN"/>
        </w:rPr>
        <w:t>预算单位构成</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本部门预算仅包含本级预算，无所属单位预算。纳入平顶山市卫东区科学技术局2021年度部门预算编制范围的单位包括:平顶山市卫东区科学技术局本级。</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平顶山市卫东区科学技术局设4个内设机构：分别是综合办公室、发展规划股、高新技术股和开放合作股(外国专家股、卫东区技术市场管理办公室)；2个所属事业单位，分别是平顶山市卫东区促进科技成果储备转化服务中心和平顶山市卫东区科技创新服务中心。</w:t>
      </w: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第二部分</w:t>
      </w: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平顶山市卫东区科学技术局202</w:t>
      </w:r>
      <w:r>
        <w:rPr>
          <w:rFonts w:hint="eastAsia" w:ascii="宋体" w:hAnsi="宋体" w:cs="宋体"/>
          <w:b/>
          <w:bCs/>
          <w:kern w:val="0"/>
          <w:sz w:val="32"/>
          <w:szCs w:val="32"/>
          <w:lang w:val="en-US" w:eastAsia="zh-CN"/>
        </w:rPr>
        <w:t>1</w:t>
      </w:r>
      <w:r>
        <w:rPr>
          <w:rFonts w:hint="eastAsia" w:ascii="宋体" w:hAnsi="宋体" w:cs="宋体"/>
          <w:b/>
          <w:bCs/>
          <w:kern w:val="0"/>
          <w:sz w:val="32"/>
          <w:szCs w:val="32"/>
          <w:lang w:eastAsia="zh-CN"/>
        </w:rPr>
        <w:t>年部门预算情况说明</w:t>
      </w:r>
    </w:p>
    <w:p>
      <w:pPr>
        <w:widowControl w:val="0"/>
        <w:wordWrap/>
        <w:adjustRightInd/>
        <w:snapToGrid w:val="0"/>
        <w:spacing w:line="560" w:lineRule="exact"/>
        <w:jc w:val="center"/>
        <w:textAlignment w:val="auto"/>
        <w:rPr>
          <w:rFonts w:hint="eastAsia" w:ascii="宋体" w:hAnsi="宋体" w:cs="宋体"/>
          <w:b/>
          <w:bCs/>
          <w:kern w:val="0"/>
          <w:sz w:val="32"/>
          <w:szCs w:val="32"/>
          <w:lang w:eastAsia="zh-CN"/>
        </w:rPr>
      </w:pP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一、收入支出预算总体情况说明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2021年收、支总计均为190.15万元，与2020年相比，收、支总计均减少29万元。主要原因是厉行节约，压缩支出。</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2021年收入预算190.15万元，其中财政拨款收入190.15万元。</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2021年支出预算190.15万元，其中财政拨款支出190.15万元。2021年支出预算按用途划分：工资福利支出180.71万元，占95.03%；商品服务支出5.3万元，占2.79%；对个人和家庭的补助4.14万元，占2.18%。</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四、财政拨款收入支出预算总体情况说明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2021年一般公共预算收支预算190.15万元，与2020年相比，一般公共预算收支预算减少29万元，主要原因是厉行节约，压缩支出。</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五、一般公共预算支出预算情况说明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2021年一般公共预算支出年初预算为190.15万元。主要用于以下方面：科学技术（类）支出146.46万元，占77.02%；社会保障和就业（类）支出19.34万元，占10.17%；医疗卫生（类）支出12.98万元，占6.83%；住房保障（类）支出11.37万元，占5.98%。</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六、支出预算经济分类情况说明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widowControl w:val="0"/>
        <w:wordWrap/>
        <w:adjustRightInd/>
        <w:snapToGrid w:val="0"/>
        <w:spacing w:line="560" w:lineRule="exact"/>
        <w:ind w:firstLine="640" w:firstLineChars="200"/>
        <w:textAlignment w:val="auto"/>
        <w:rPr>
          <w:rFonts w:hint="eastAsia" w:ascii="宋体" w:hAnsi="宋体" w:eastAsia="宋体" w:cs="宋体"/>
          <w:b/>
          <w:bCs/>
          <w:sz w:val="32"/>
          <w:szCs w:val="32"/>
          <w:lang w:val="en-US" w:eastAsia="zh-CN"/>
        </w:rPr>
      </w:pPr>
      <w:r>
        <w:rPr>
          <w:rFonts w:hint="eastAsia" w:ascii="仿宋_GB2312" w:hAnsi="宋体" w:eastAsia="仿宋_GB2312" w:cs="宋体"/>
          <w:bCs/>
          <w:kern w:val="0"/>
          <w:sz w:val="32"/>
          <w:szCs w:val="32"/>
          <w:u w:val="none"/>
          <w:shd w:val="clear" w:color="auto" w:fill="auto"/>
          <w:lang w:val="en-US" w:eastAsia="zh-CN" w:bidi="zh-TW"/>
        </w:rPr>
        <w:t xml:space="preserve"> 2021年预算支出190.15万元。其中：基本支出184.85万元，主要包括：基本工资、津贴补贴、奖金、职业年金缴费、医疗保险缴费、其他社会保障缴费、住房公积金、其他对个人和家庭的补助支出；项目支出5.3万元，主要包括：办公费、印刷费、邮电费、差旅</w:t>
      </w:r>
      <w:r>
        <w:rPr>
          <w:rFonts w:hint="eastAsia" w:ascii="仿宋_GB2312" w:hAnsi="宋体" w:eastAsia="仿宋_GB2312" w:cs="宋体"/>
          <w:bCs/>
          <w:kern w:val="0"/>
          <w:sz w:val="32"/>
          <w:szCs w:val="32"/>
          <w:u w:val="none"/>
          <w:shd w:val="clear" w:color="auto" w:fill="auto"/>
          <w:lang w:val="en-US" w:eastAsia="zh-CN" w:bidi="zh-TW"/>
        </w:rPr>
        <w:tab/>
      </w:r>
      <w:r>
        <w:rPr>
          <w:rFonts w:hint="eastAsia" w:ascii="仿宋_GB2312" w:hAnsi="宋体" w:eastAsia="仿宋_GB2312" w:cs="宋体"/>
          <w:bCs/>
          <w:kern w:val="0"/>
          <w:sz w:val="32"/>
          <w:szCs w:val="32"/>
          <w:u w:val="none"/>
          <w:shd w:val="clear" w:color="auto" w:fill="auto"/>
          <w:lang w:val="en-US" w:eastAsia="zh-CN" w:bidi="zh-TW"/>
        </w:rPr>
        <w:t>费、维修（护）费、租赁费、会议费、培训费、公务接待费、劳务费、公务用车运行维护费、工会经费、其他商品和服务支出。</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、“三公”经费支出预算情况说明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2021年“三公”经费公共预算0.43万元。2021年“三公”经费支出预算数比上年减少0.07万元，主要原因是认真贯彻落实中央八项规定精神，坚持厉行勤俭节约，其中：</w:t>
      </w:r>
      <w:r>
        <w:rPr>
          <w:rFonts w:hint="eastAsia" w:ascii="仿宋_GB2312" w:hAnsi="宋体" w:eastAsia="仿宋_GB2312" w:cs="宋体"/>
          <w:bCs/>
          <w:kern w:val="0"/>
          <w:sz w:val="32"/>
          <w:szCs w:val="32"/>
          <w:u w:val="none"/>
          <w:shd w:val="clear" w:color="auto" w:fill="auto"/>
          <w:lang w:val="en-US" w:eastAsia="zh-CN" w:bidi="zh-TW"/>
        </w:rPr>
        <w:tab/>
      </w:r>
      <w:r>
        <w:rPr>
          <w:rFonts w:hint="eastAsia" w:ascii="仿宋_GB2312" w:hAnsi="宋体" w:eastAsia="仿宋_GB2312" w:cs="宋体"/>
          <w:bCs/>
          <w:kern w:val="0"/>
          <w:sz w:val="32"/>
          <w:szCs w:val="32"/>
          <w:u w:val="none"/>
          <w:shd w:val="clear" w:color="auto" w:fill="auto"/>
          <w:lang w:val="en-US" w:eastAsia="zh-CN" w:bidi="zh-TW"/>
        </w:rPr>
        <w:tab/>
      </w:r>
    </w:p>
    <w:p>
      <w:pPr>
        <w:widowControl w:val="0"/>
        <w:wordWrap/>
        <w:adjustRightInd/>
        <w:snapToGrid w:val="0"/>
        <w:spacing w:line="560" w:lineRule="exact"/>
        <w:ind w:firstLine="643"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b/>
          <w:bCs/>
          <w:sz w:val="32"/>
          <w:szCs w:val="32"/>
          <w:highlight w:val="none"/>
          <w:lang w:val="en-US" w:eastAsia="zh-CN"/>
        </w:rPr>
        <w:t>（一）因公出国（境）费</w:t>
      </w:r>
      <w:r>
        <w:rPr>
          <w:rFonts w:hint="eastAsia" w:ascii="仿宋_GB2312" w:hAnsi="仿宋" w:eastAsia="仿宋_GB2312" w:cs="仿宋"/>
          <w:b w:val="0"/>
          <w:bCs w:val="0"/>
          <w:sz w:val="32"/>
          <w:szCs w:val="32"/>
          <w:highlight w:val="none"/>
          <w:lang w:val="en-US" w:eastAsia="zh-CN"/>
        </w:rPr>
        <w:t>预算0万元，</w:t>
      </w:r>
      <w:r>
        <w:rPr>
          <w:rFonts w:hint="eastAsia" w:ascii="仿宋_GB2312" w:hAnsi="宋体" w:eastAsia="仿宋_GB2312" w:cs="宋体"/>
          <w:bCs/>
          <w:kern w:val="0"/>
          <w:sz w:val="32"/>
          <w:szCs w:val="32"/>
          <w:u w:val="none"/>
          <w:shd w:val="clear" w:color="auto" w:fill="auto"/>
          <w:lang w:val="en-US" w:eastAsia="zh-CN" w:bidi="zh-TW"/>
        </w:rPr>
        <w:t>预算数与2020年持平，主要原因是我单位</w:t>
      </w:r>
      <w:r>
        <w:rPr>
          <w:rFonts w:hint="default" w:ascii="仿宋_GB2312" w:hAnsi="宋体" w:eastAsia="仿宋_GB2312" w:cs="宋体"/>
          <w:bCs/>
          <w:kern w:val="0"/>
          <w:sz w:val="32"/>
          <w:szCs w:val="32"/>
          <w:u w:val="none"/>
          <w:shd w:val="clear" w:color="auto" w:fill="auto"/>
          <w:lang w:val="en-US" w:eastAsia="zh-CN" w:bidi="zh-TW"/>
        </w:rPr>
        <w:t>2021</w:t>
      </w:r>
      <w:r>
        <w:rPr>
          <w:rFonts w:hint="eastAsia" w:ascii="仿宋_GB2312" w:hAnsi="宋体" w:eastAsia="仿宋_GB2312" w:cs="宋体"/>
          <w:bCs/>
          <w:kern w:val="0"/>
          <w:sz w:val="32"/>
          <w:szCs w:val="32"/>
          <w:u w:val="none"/>
          <w:shd w:val="clear" w:color="auto" w:fill="auto"/>
          <w:lang w:val="en-US" w:eastAsia="zh-CN" w:bidi="zh-TW"/>
        </w:rPr>
        <w:t>年无因公出国境任务。</w:t>
      </w:r>
    </w:p>
    <w:p>
      <w:pPr>
        <w:widowControl w:val="0"/>
        <w:wordWrap/>
        <w:adjustRightInd/>
        <w:snapToGrid w:val="0"/>
        <w:spacing w:line="560" w:lineRule="exact"/>
        <w:ind w:firstLine="643"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b/>
          <w:bCs/>
          <w:sz w:val="32"/>
          <w:szCs w:val="32"/>
          <w:highlight w:val="none"/>
          <w:lang w:val="en-US" w:eastAsia="zh-CN"/>
        </w:rPr>
        <w:t>（二）公务用车购置及运行费</w:t>
      </w:r>
      <w:r>
        <w:rPr>
          <w:rFonts w:hint="eastAsia" w:ascii="仿宋_GB2312" w:hAnsi="仿宋" w:eastAsia="仿宋_GB2312" w:cs="仿宋"/>
          <w:b w:val="0"/>
          <w:bCs w:val="0"/>
          <w:sz w:val="32"/>
          <w:szCs w:val="32"/>
          <w:highlight w:val="none"/>
          <w:lang w:val="en-US" w:eastAsia="zh-CN"/>
        </w:rPr>
        <w:t>预算0万元</w:t>
      </w:r>
      <w:r>
        <w:rPr>
          <w:rFonts w:hint="eastAsia" w:ascii="仿宋_GB2312" w:hAnsi="宋体" w:eastAsia="仿宋_GB2312" w:cs="宋体"/>
          <w:b w:val="0"/>
          <w:bCs w:val="0"/>
          <w:kern w:val="0"/>
          <w:sz w:val="32"/>
          <w:szCs w:val="32"/>
          <w:u w:val="none"/>
          <w:shd w:val="clear" w:color="auto" w:fill="auto"/>
          <w:lang w:val="en-US" w:eastAsia="zh-CN" w:bidi="zh-TW"/>
        </w:rPr>
        <w:t>，</w:t>
      </w:r>
      <w:r>
        <w:rPr>
          <w:rFonts w:hint="eastAsia" w:ascii="仿宋_GB2312" w:hAnsi="宋体" w:eastAsia="仿宋_GB2312" w:cs="宋体"/>
          <w:bCs/>
          <w:kern w:val="0"/>
          <w:sz w:val="32"/>
          <w:szCs w:val="32"/>
          <w:u w:val="none"/>
          <w:shd w:val="clear" w:color="auto" w:fill="auto"/>
          <w:lang w:val="en-US" w:eastAsia="zh-CN" w:bidi="zh-TW"/>
        </w:rPr>
        <w:t>预算数与2020年持平，主要原因是我单位无公务用车。</w:t>
      </w:r>
    </w:p>
    <w:p>
      <w:pPr>
        <w:spacing w:line="560" w:lineRule="exact"/>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b/>
          <w:bCs/>
          <w:sz w:val="32"/>
          <w:szCs w:val="32"/>
          <w:highlight w:val="none"/>
          <w:lang w:val="en-US" w:eastAsia="zh-CN"/>
        </w:rPr>
        <w:t xml:space="preserve">    （三）公务接待费</w:t>
      </w:r>
      <w:r>
        <w:rPr>
          <w:rFonts w:hint="eastAsia" w:ascii="仿宋_GB2312" w:hAnsi="仿宋" w:eastAsia="仿宋_GB2312" w:cs="仿宋"/>
          <w:b w:val="0"/>
          <w:bCs w:val="0"/>
          <w:sz w:val="32"/>
          <w:szCs w:val="32"/>
          <w:highlight w:val="none"/>
          <w:lang w:val="en-US" w:eastAsia="zh-CN"/>
        </w:rPr>
        <w:t>预算0.43万元，</w:t>
      </w:r>
      <w:r>
        <w:rPr>
          <w:rFonts w:hint="eastAsia" w:ascii="仿宋_GB2312" w:hAnsi="宋体" w:eastAsia="仿宋_GB2312" w:cs="宋体"/>
          <w:bCs/>
          <w:kern w:val="0"/>
          <w:sz w:val="32"/>
          <w:szCs w:val="32"/>
          <w:u w:val="none"/>
          <w:shd w:val="clear" w:color="auto" w:fill="auto"/>
          <w:lang w:val="en-US" w:eastAsia="zh-CN" w:bidi="zh-TW"/>
        </w:rPr>
        <w:t>预算数比上年下降0.07万元。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wordWrap/>
        <w:adjustRightInd/>
        <w:spacing w:line="560" w:lineRule="exact"/>
        <w:ind w:firstLine="643" w:firstLineChars="200"/>
        <w:textAlignment w:val="auto"/>
        <w:rPr>
          <w:rFonts w:hint="eastAsia" w:ascii="宋体" w:hAnsi="宋体" w:eastAsia="宋体" w:cs="宋体"/>
          <w:b/>
          <w:bCs w:val="0"/>
          <w:color w:val="1F497D"/>
          <w:kern w:val="0"/>
          <w:sz w:val="18"/>
          <w:szCs w:val="18"/>
          <w:highlight w:val="none"/>
          <w:lang w:eastAsia="zh-CN"/>
        </w:rPr>
      </w:pPr>
      <w:r>
        <w:rPr>
          <w:rFonts w:hint="eastAsia" w:ascii="宋体" w:hAnsi="宋体" w:cs="宋体"/>
          <w:b/>
          <w:bCs w:val="0"/>
          <w:kern w:val="0"/>
          <w:sz w:val="32"/>
          <w:szCs w:val="32"/>
          <w:highlight w:val="none"/>
          <w:lang w:eastAsia="zh-CN"/>
        </w:rPr>
        <w:t>八</w:t>
      </w:r>
      <w:r>
        <w:rPr>
          <w:rFonts w:hint="eastAsia" w:ascii="宋体" w:hAnsi="宋体" w:eastAsia="宋体" w:cs="宋体"/>
          <w:b/>
          <w:bCs w:val="0"/>
          <w:kern w:val="0"/>
          <w:sz w:val="32"/>
          <w:szCs w:val="32"/>
          <w:highlight w:val="none"/>
        </w:rPr>
        <w:t>、政府性基金预算支出预算情况说明</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仿宋" w:eastAsia="仿宋_GB2312" w:cs="仿宋"/>
          <w:sz w:val="32"/>
          <w:szCs w:val="32"/>
        </w:rPr>
        <w:t>部门2021年政府性基金预算支出0万元，预算数与上年持平。</w:t>
      </w:r>
      <w:r>
        <w:rPr>
          <w:rFonts w:hint="eastAsia" w:ascii="仿宋_GB2312" w:hAnsi="仿宋" w:eastAsia="仿宋_GB2312" w:cs="仿宋"/>
          <w:sz w:val="32"/>
          <w:szCs w:val="32"/>
        </w:rPr>
        <w:tab/>
      </w:r>
      <w:r>
        <w:rPr>
          <w:rFonts w:hint="eastAsia" w:ascii="仿宋_GB2312" w:hAnsi="宋体" w:eastAsia="仿宋_GB2312" w:cs="宋体"/>
          <w:bCs/>
          <w:kern w:val="0"/>
          <w:sz w:val="32"/>
          <w:szCs w:val="32"/>
          <w:u w:val="none"/>
          <w:shd w:val="clear" w:color="auto" w:fill="auto"/>
          <w:lang w:val="en-US" w:eastAsia="zh-CN" w:bidi="zh-TW"/>
        </w:rPr>
        <w:tab/>
      </w:r>
    </w:p>
    <w:p>
      <w:pPr>
        <w:pStyle w:val="5"/>
        <w:widowControl/>
        <w:wordWrap/>
        <w:adjustRightInd/>
        <w:spacing w:before="0" w:beforeAutospacing="0" w:after="0" w:afterAutospacing="0" w:line="560" w:lineRule="exact"/>
        <w:ind w:firstLine="643" w:firstLineChars="200"/>
        <w:jc w:val="both"/>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九</w:t>
      </w:r>
      <w:r>
        <w:rPr>
          <w:rFonts w:hint="eastAsia" w:ascii="宋体" w:hAnsi="宋体" w:eastAsia="宋体" w:cs="宋体"/>
          <w:b/>
          <w:bCs/>
          <w:sz w:val="32"/>
          <w:szCs w:val="32"/>
          <w:highlight w:val="none"/>
        </w:rPr>
        <w:t>、其他重要事项情况说明</w:t>
      </w:r>
    </w:p>
    <w:p>
      <w:pPr>
        <w:widowControl w:val="0"/>
        <w:wordWrap/>
        <w:adjustRightInd/>
        <w:snapToGrid w:val="0"/>
        <w:spacing w:line="56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（一）机关运行经费预算</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2021年，机关运行经费支出预算5.3万元，主要用于办公及印刷费、邮电费、差旅费等运行维护费以及其他费用。</w:t>
      </w:r>
    </w:p>
    <w:p>
      <w:pPr>
        <w:widowControl w:val="0"/>
        <w:wordWrap/>
        <w:adjustRightInd/>
        <w:snapToGrid w:val="0"/>
        <w:spacing w:line="56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（二）政府采购支出情况</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2021年，政府采购预算安排3.395万元，其中：政府采购货物预算0.195万元、政府采购服务预算3.2万元。主要用于办公复印纸购置及印刷宣传册。</w:t>
      </w:r>
      <w:r>
        <w:rPr>
          <w:rFonts w:hint="eastAsia" w:ascii="仿宋_GB2312" w:hAnsi="宋体" w:eastAsia="仿宋_GB2312" w:cs="宋体"/>
          <w:bCs/>
          <w:kern w:val="0"/>
          <w:sz w:val="32"/>
          <w:szCs w:val="32"/>
          <w:u w:val="none"/>
          <w:shd w:val="clear" w:color="auto" w:fill="auto"/>
          <w:lang w:val="en-US" w:eastAsia="zh-CN" w:bidi="zh-TW"/>
        </w:rPr>
        <w:tab/>
      </w:r>
      <w:r>
        <w:rPr>
          <w:rFonts w:hint="eastAsia" w:ascii="仿宋_GB2312" w:hAnsi="宋体" w:eastAsia="仿宋_GB2312" w:cs="宋体"/>
          <w:bCs/>
          <w:kern w:val="0"/>
          <w:sz w:val="32"/>
          <w:szCs w:val="32"/>
          <w:u w:val="none"/>
          <w:shd w:val="clear" w:color="auto" w:fill="auto"/>
          <w:lang w:val="en-US" w:eastAsia="zh-CN" w:bidi="zh-TW"/>
        </w:rPr>
        <w:t>预算数与2020年相比增加2.595万元。</w:t>
      </w:r>
    </w:p>
    <w:p>
      <w:pPr>
        <w:widowControl w:val="0"/>
        <w:wordWrap/>
        <w:adjustRightInd/>
        <w:snapToGrid w:val="0"/>
        <w:spacing w:line="56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（三）绩效目标设置情况</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2021年按要求编制了绩效目标，从项目产出、项目效益、满意度等方面设置了绩效指标，综合反映项目预期完成的数量、实效、质量，预期达到的社会经济效益、可持续影响以及服务对象满意度等情况。</w:t>
      </w:r>
    </w:p>
    <w:p>
      <w:pPr>
        <w:widowControl w:val="0"/>
        <w:wordWrap/>
        <w:adjustRightInd/>
        <w:snapToGrid w:val="0"/>
        <w:spacing w:line="56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（四）国有资产占用情况</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2020年期末，我单位共有车辆0辆。</w:t>
      </w:r>
    </w:p>
    <w:p>
      <w:pPr>
        <w:widowControl w:val="0"/>
        <w:wordWrap/>
        <w:adjustRightInd/>
        <w:snapToGrid w:val="0"/>
        <w:spacing w:line="560" w:lineRule="exact"/>
        <w:ind w:firstLine="643" w:firstLineChars="200"/>
        <w:textAlignment w:val="auto"/>
        <w:rPr>
          <w:rFonts w:hint="eastAsia" w:ascii="仿宋_GB2312" w:hAnsi="宋体" w:eastAsia="仿宋_GB2312" w:cs="宋体"/>
          <w:b/>
          <w:bCs w:val="0"/>
          <w:kern w:val="0"/>
          <w:sz w:val="32"/>
          <w:szCs w:val="32"/>
          <w:u w:val="none"/>
          <w:shd w:val="clear" w:color="auto" w:fill="auto"/>
          <w:lang w:val="en-US" w:eastAsia="zh-CN" w:bidi="zh-TW"/>
        </w:rPr>
      </w:pPr>
      <w:r>
        <w:rPr>
          <w:rFonts w:hint="eastAsia" w:ascii="仿宋_GB2312" w:hAnsi="宋体" w:eastAsia="仿宋_GB2312" w:cs="宋体"/>
          <w:b/>
          <w:bCs w:val="0"/>
          <w:kern w:val="0"/>
          <w:sz w:val="32"/>
          <w:szCs w:val="32"/>
          <w:u w:val="none"/>
          <w:shd w:val="clear" w:color="auto" w:fill="auto"/>
          <w:lang w:val="en-US" w:eastAsia="zh-CN" w:bidi="zh-TW"/>
        </w:rPr>
        <w:t>（五）专项转移支付项目情况</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我单位2021年没有专项转移支付项目。</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widowControl w:val="0"/>
        <w:wordWrap/>
        <w:adjustRightInd/>
        <w:snapToGrid w:val="0"/>
        <w:spacing w:line="560" w:lineRule="exact"/>
        <w:ind w:firstLine="640" w:firstLineChars="200"/>
        <w:textAlignment w:val="auto"/>
        <w:rPr>
          <w:rFonts w:hint="eastAsia" w:ascii="宋体" w:hAnsi="宋体" w:eastAsia="宋体" w:cs="宋体"/>
          <w:b/>
          <w:bCs w:val="0"/>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 xml:space="preserve">                    </w:t>
      </w:r>
      <w:r>
        <w:rPr>
          <w:rFonts w:hint="eastAsia" w:ascii="宋体" w:hAnsi="宋体" w:eastAsia="宋体" w:cs="宋体"/>
          <w:b/>
          <w:bCs w:val="0"/>
          <w:kern w:val="0"/>
          <w:sz w:val="32"/>
          <w:szCs w:val="32"/>
          <w:u w:val="none"/>
          <w:shd w:val="clear" w:color="auto" w:fill="auto"/>
          <w:lang w:val="en-US" w:eastAsia="zh-CN" w:bidi="zh-TW"/>
        </w:rPr>
        <w:t>第三部分</w:t>
      </w:r>
    </w:p>
    <w:p>
      <w:pPr>
        <w:widowControl w:val="0"/>
        <w:wordWrap/>
        <w:adjustRightInd/>
        <w:snapToGrid w:val="0"/>
        <w:spacing w:line="560" w:lineRule="exact"/>
        <w:jc w:val="center"/>
        <w:textAlignment w:val="auto"/>
        <w:rPr>
          <w:rFonts w:hint="eastAsia" w:ascii="宋体" w:hAnsi="宋体" w:eastAsia="宋体" w:cs="宋体"/>
          <w:b/>
          <w:bCs w:val="0"/>
          <w:kern w:val="0"/>
          <w:sz w:val="32"/>
          <w:szCs w:val="32"/>
          <w:u w:val="none"/>
          <w:shd w:val="clear" w:color="auto" w:fill="auto"/>
          <w:lang w:val="en-US" w:eastAsia="zh-CN" w:bidi="zh-TW"/>
        </w:rPr>
      </w:pPr>
      <w:r>
        <w:rPr>
          <w:rFonts w:hint="eastAsia" w:ascii="宋体" w:hAnsi="宋体" w:eastAsia="宋体" w:cs="宋体"/>
          <w:b/>
          <w:bCs w:val="0"/>
          <w:kern w:val="0"/>
          <w:sz w:val="32"/>
          <w:szCs w:val="32"/>
          <w:u w:val="none"/>
          <w:shd w:val="clear" w:color="auto" w:fill="auto"/>
          <w:lang w:val="en-US" w:eastAsia="zh-CN" w:bidi="zh-TW"/>
        </w:rPr>
        <w:t>名词解释</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一、财政拨款收入：是指省级财政当年拨付的资金。</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二、事业收入：是指事业单位开展专业活动及辅助活动所取得的收入。</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三、其他收入：是指部门取得的除“财政拨款”、“事业收入”、“事业单位经营收入”等以外的收入。</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五、基本支出：是指为保障机构正常运转、完成日常工作任务所必需的开支，其内容包括人员经费和日常公用经费两部分。</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六、项目支出：是指在基本支出之外，为完成特定的行政工作任务或事业发展目标所发生的支出。</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r>
        <w:rPr>
          <w:rFonts w:hint="eastAsia" w:ascii="仿宋_GB2312" w:hAnsi="宋体" w:eastAsia="仿宋_GB2312" w:cs="宋体"/>
          <w:bCs/>
          <w:kern w:val="0"/>
          <w:sz w:val="32"/>
          <w:szCs w:val="32"/>
          <w:u w:val="none"/>
          <w:shd w:val="clear" w:color="auto" w:fill="auto"/>
          <w:lang w:val="en-US" w:eastAsia="zh-CN" w:bidi="zh-TW"/>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ind w:firstLine="1285" w:firstLineChars="400"/>
        <w:rPr>
          <w:rFonts w:hint="default" w:ascii="仿宋_GB2312" w:hAnsi="宋体" w:eastAsia="仿宋_GB2312" w:cs="宋体"/>
          <w:bCs/>
          <w:kern w:val="0"/>
          <w:sz w:val="32"/>
          <w:szCs w:val="32"/>
          <w:highlight w:val="none"/>
          <w:lang w:val="en-US" w:eastAsia="zh-CN"/>
        </w:rPr>
      </w:pPr>
      <w:r>
        <w:rPr>
          <w:rFonts w:hint="eastAsia" w:ascii="宋体" w:hAnsi="宋体" w:cs="宋体"/>
          <w:b/>
          <w:bCs w:val="0"/>
          <w:kern w:val="0"/>
          <w:sz w:val="32"/>
          <w:szCs w:val="32"/>
          <w:highlight w:val="none"/>
          <w:lang w:val="en-US" w:eastAsia="zh-CN"/>
        </w:rPr>
        <w:t xml:space="preserve"> </w:t>
      </w:r>
      <w:bookmarkStart w:id="0" w:name="_GoBack"/>
      <w:bookmarkEnd w:id="0"/>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eastAsia="zh-CN"/>
        </w:rPr>
        <w:t>科学技术局</w:t>
      </w:r>
      <w:r>
        <w:rPr>
          <w:rFonts w:hint="eastAsia" w:ascii="宋体" w:hAnsi="宋体" w:eastAsia="宋体" w:cs="宋体"/>
          <w:b/>
          <w:bCs w:val="0"/>
          <w:kern w:val="0"/>
          <w:sz w:val="32"/>
          <w:szCs w:val="32"/>
          <w:highlight w:val="none"/>
          <w:lang w:val="en-US" w:eastAsia="zh-CN"/>
        </w:rPr>
        <w:t>2021年部门预算表</w:t>
      </w:r>
    </w:p>
    <w:p>
      <w:pPr>
        <w:widowControl w:val="0"/>
        <w:wordWrap/>
        <w:adjustRightInd/>
        <w:snapToGrid w:val="0"/>
        <w:spacing w:line="560" w:lineRule="exact"/>
        <w:ind w:firstLine="640" w:firstLineChars="200"/>
        <w:textAlignment w:val="auto"/>
        <w:rPr>
          <w:rFonts w:hint="eastAsia" w:ascii="仿宋_GB2312" w:hAnsi="宋体" w:eastAsia="仿宋_GB2312" w:cs="宋体"/>
          <w:bCs/>
          <w:kern w:val="0"/>
          <w:sz w:val="32"/>
          <w:szCs w:val="32"/>
          <w:u w:val="none"/>
          <w:shd w:val="clear" w:color="auto" w:fill="auto"/>
          <w:lang w:val="en-US" w:eastAsia="zh-CN" w:bidi="zh-TW"/>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lang w:eastAsia="zh-CN"/>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lang w:eastAsia="zh-CN"/>
        </w:rPr>
      </w:pPr>
    </w:p>
    <w:sectPr>
      <w:footerReference r:id="rId4" w:type="default"/>
      <w:pgSz w:w="11906" w:h="16838"/>
      <w:pgMar w:top="2098" w:right="1474" w:bottom="1984" w:left="1587"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Normal (Web)"/>
    <w:basedOn w:val="1"/>
    <w:pPr>
      <w:widowControl/>
      <w:spacing w:before="100" w:beforeAutospacing="1" w:after="100" w:afterAutospacing="1"/>
      <w:jc w:val="left"/>
    </w:pPr>
    <w:rPr>
      <w:rFonts w:ascii="宋体" w:hAnsi="宋体" w:cs="宋体"/>
      <w:kern w:val="0"/>
      <w:sz w:val="24"/>
    </w:rPr>
  </w:style>
  <w:style w:type="paragraph" w:customStyle="1" w:styleId="6">
    <w:name w:val="p0"/>
    <w:basedOn w:val="1"/>
    <w:pPr>
      <w:widowControl/>
    </w:pPr>
    <w:rPr>
      <w:rFonts w:ascii="等线" w:hAnsi="等线" w:cs="宋体"/>
      <w:kern w:val="0"/>
      <w:szCs w:val="21"/>
    </w:rPr>
  </w:style>
  <w:style w:type="paragraph" w:customStyle="1" w:styleId="7">
    <w:name w:val="Body text|1"/>
    <w:basedOn w:val="1"/>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468</Words>
  <Characters>2671</Characters>
  <Lines>22</Lines>
  <Paragraphs>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2019-03-20T15:57:00Z</dcterms:created>
  <dc:creator>Administrator</dc:creator>
  <cp:lastPrinted>2021-04-21T09:03:00Z</cp:lastPrinted>
  <dcterms:modified xsi:type="dcterms:W3CDTF">2021-06-10T15:20:56Z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F34440F65C8B437D97CA5A4B070A0ED4</vt:lpwstr>
  </property>
</Properties>
</file>