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平顶山市卫东区交通运输局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 w:val="0"/>
        <w:wordWrap/>
        <w:adjustRightInd/>
        <w:snapToGrid w:val="0"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录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</w:rPr>
        <w:t>第一部分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平顶山市卫东区交通运输局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highlight w:val="none"/>
        </w:rPr>
        <w:t>概况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一、主要职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能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宋体" w:hAnsi="宋体" w:cs="宋体"/>
          <w:bCs/>
          <w:kern w:val="0"/>
          <w:sz w:val="27"/>
          <w:szCs w:val="27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二、部门预算单位构成</w:t>
      </w:r>
      <w:r>
        <w:rPr>
          <w:rFonts w:hint="eastAsia" w:ascii="宋体" w:hAnsi="宋体" w:cs="宋体"/>
          <w:bCs/>
          <w:kern w:val="0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第二部分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平顶山市卫东区交通运输局2021年部门预算情况说明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第三部分　名词解释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附件：平顶山市卫东区交通运输局2021年部门预算表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一、部门收支总体情况表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二、部门收入总体情况表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三、部门支出总体情况表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四、财政拨款收支总体情况表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五、一般公共预算支出情况表</w:t>
      </w:r>
    </w:p>
    <w:p>
      <w:pPr>
        <w:wordWrap/>
        <w:adjustRightInd/>
        <w:snapToGrid w:val="0"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六、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七、一般公共预算“三公”经费支出情况表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八、政府性基金预算支出情况表</w:t>
      </w:r>
    </w:p>
    <w:p>
      <w:pPr>
        <w:pStyle w:val="6"/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九、部门（单位）整体绩效目标表</w:t>
      </w:r>
    </w:p>
    <w:p>
      <w:pPr>
        <w:wordWrap/>
        <w:adjustRightInd/>
        <w:spacing w:before="0" w:after="0" w:line="58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部门预算项目绩效目标汇总表</w:t>
      </w:r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cs="宋体"/>
          <w:bCs/>
          <w:kern w:val="0"/>
          <w:sz w:val="27"/>
          <w:szCs w:val="27"/>
        </w:rPr>
      </w:pP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第一部分</w:t>
      </w:r>
    </w:p>
    <w:p>
      <w:pPr>
        <w:wordWrap/>
        <w:adjustRightInd/>
        <w:spacing w:before="0" w:after="0" w:line="580" w:lineRule="exact"/>
        <w:ind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平顶山市卫东区交通运输局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概况</w:t>
      </w:r>
    </w:p>
    <w:p>
      <w:pPr>
        <w:wordWrap/>
        <w:adjustRightInd/>
        <w:spacing w:before="0" w:after="0" w:line="580" w:lineRule="exact"/>
        <w:ind w:right="0" w:firstLine="3524" w:firstLineChars="1097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ordWrap/>
        <w:adjustRightInd/>
        <w:spacing w:before="0" w:after="0" w:line="580" w:lineRule="exact"/>
        <w:ind w:left="159" w:right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平顶山市卫东区交通运输局主要职能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贯彻执行国家、省、市有关交通运输工作的法律、 法规和方针、政策。承担涉及全区综合运输体系的规划协调工作，会同有关部门组织编制综合运输体系规划，指导全区交通运输规划和管理。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组织拟定全区公路、水路等行业规划、政策和标准并监督实施。参与拟定全市地方铁路、民航产业发展规划。起草相关地方性法规、规章草案。参与拟定全市物流业发展战略和规划、有关政策和标准并监督实施。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指导全区交通运输基础设施建设、管理和养护工 作。负责提出全区公路、水路及其设施建设的投资规模和方向、区财政性资金安排意见，经批准后负责监督实施。拟定全区公路、水路运输和工程建设、维护相关政策、制度并监督实施。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在市交通运输局的指导下做好全区公路、水路运输和建设等行业管理工作。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指导全区公路、水路行业安全生产和应急管理工作。按规定参与协调国家重点物资和紧急客货运输，参与全区重点干线路网运行监测和协调工作。组织协调全区地方交通战备工作，承担国防动员有关工作。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指导全区交通运输信息化建设，检测分析运行情况，开展相关统计工作，发布有关信息。指导全区公路、水路行业环境保护和节能减排工作。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制定全区交通运输行业科技政策并监督实施。组织重大科技开发，推动行业技术进步。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负责全区交通运输行业对外经济技术合作、引进利用资金、开展交流与合作。 </w:t>
      </w:r>
    </w:p>
    <w:p>
      <w:pPr>
        <w:widowControl/>
        <w:wordWrap/>
        <w:adjustRightInd/>
        <w:snapToGrid/>
        <w:spacing w:before="0" w:after="0" w:line="58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承办区政府交办的其他事项。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二、平顶山市卫东区交通运输局预算单位构成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平顶山市卫东区交通运输局2021年部门预算包含本级预算和所属单位预算在内的汇总预算。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平顶山市卫东区交通运输局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2个内设机构：</w:t>
      </w:r>
      <w:r>
        <w:rPr>
          <w:rFonts w:hint="eastAsia" w:ascii="仿宋" w:hAnsi="仿宋" w:eastAsia="仿宋" w:cs="仿宋"/>
          <w:sz w:val="32"/>
          <w:szCs w:val="32"/>
        </w:rPr>
        <w:t>卫东区公路事业发展中心、卫东区道路运输服务中心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平顶山市卫东区交通运输局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部门预算情况说明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2021年收、支总计均为974.08万元,与上年相比，收、支总计均增加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396.89</w:t>
      </w:r>
      <w:r>
        <w:rPr>
          <w:rFonts w:hint="eastAsia" w:ascii="仿宋" w:hAnsi="仿宋" w:eastAsia="仿宋" w:cs="仿宋"/>
          <w:sz w:val="32"/>
          <w:szCs w:val="32"/>
        </w:rPr>
        <w:t>万元, 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68.76</w:t>
      </w:r>
      <w:r>
        <w:rPr>
          <w:rFonts w:hint="eastAsia" w:ascii="仿宋" w:hAnsi="仿宋" w:eastAsia="仿宋" w:cs="仿宋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淘汰国三及以下排放标准营运柴油货车专项补助增加。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ordWrap/>
        <w:adjustRightInd/>
        <w:spacing w:before="0" w:after="0" w:line="580" w:lineRule="exact"/>
        <w:ind w:right="0" w:firstLine="803" w:firstLineChars="25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2021年收入预算974.08万元，其中：一般公共预算894.65万元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ordWrap/>
        <w:adjustRightInd/>
        <w:spacing w:before="0" w:after="0" w:line="580" w:lineRule="exact"/>
        <w:ind w:right="0" w:firstLine="803" w:firstLineChars="2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974.08万元，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按用途划分为：基本</w:t>
      </w:r>
      <w:r>
        <w:rPr>
          <w:rFonts w:hint="eastAsia" w:ascii="仿宋" w:hAnsi="仿宋" w:eastAsia="仿宋" w:cs="仿宋"/>
          <w:sz w:val="32"/>
          <w:szCs w:val="32"/>
        </w:rPr>
        <w:t>支出467.04万元,占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47.95</w:t>
      </w:r>
      <w:r>
        <w:rPr>
          <w:rFonts w:hint="eastAsia" w:ascii="仿宋" w:hAnsi="仿宋" w:eastAsia="仿宋" w:cs="仿宋"/>
          <w:sz w:val="32"/>
          <w:szCs w:val="32"/>
        </w:rPr>
        <w:t>%；项目支出507.04万元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52.05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四、财政拨款收入支出预算总体情况说明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2021年一般公共预算收支预算894.65万元，与上年相比，一般公共预算收支预算增加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317.46</w:t>
      </w:r>
      <w:r>
        <w:rPr>
          <w:rFonts w:hint="eastAsia" w:ascii="仿宋" w:hAnsi="仿宋" w:eastAsia="仿宋" w:cs="仿宋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%,主要原因：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淘汰国三及以下排放标准营运柴油货车专项补助增加。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2021年一般公共预算支出年初预算为894.65万元。主要用于以下方面：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787.17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87.59</w:t>
      </w:r>
      <w:r>
        <w:rPr>
          <w:rFonts w:hint="eastAsia" w:ascii="仿宋" w:hAnsi="仿宋" w:eastAsia="仿宋" w:cs="仿宋"/>
          <w:sz w:val="32"/>
          <w:szCs w:val="32"/>
        </w:rPr>
        <w:t>%；社会保障和就业（类）支出45.9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5.13</w:t>
      </w:r>
      <w:r>
        <w:rPr>
          <w:rFonts w:hint="eastAsia" w:ascii="仿宋" w:hAnsi="仿宋" w:eastAsia="仿宋" w:cs="仿宋"/>
          <w:sz w:val="32"/>
          <w:szCs w:val="32"/>
        </w:rPr>
        <w:t>%；医疗卫生（类）支出32.78万元，占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3.66</w:t>
      </w:r>
      <w:r>
        <w:rPr>
          <w:rFonts w:hint="eastAsia" w:ascii="仿宋" w:hAnsi="仿宋" w:eastAsia="仿宋" w:cs="仿宋"/>
          <w:sz w:val="32"/>
          <w:szCs w:val="32"/>
        </w:rPr>
        <w:t>%；住房保障（类）支出28.79万元，占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3.22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六、支出预算经济分类情况说明  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按照《财政部关于印发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支出经济分类科目改革方案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的通知》（财预[2017]98号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为适应改革要求，</w:t>
      </w:r>
      <w:r>
        <w:rPr>
          <w:rFonts w:hint="eastAsia" w:ascii="仿宋" w:hAnsi="仿宋" w:eastAsia="仿宋" w:cs="仿宋"/>
          <w:sz w:val="32"/>
          <w:szCs w:val="32"/>
        </w:rPr>
        <w:t>我单位《支出经济分类汇总表》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2018年起从仅反映一般公共预算基本支出经济分类项目预算调整为</w:t>
      </w:r>
      <w:r>
        <w:rPr>
          <w:rFonts w:hint="eastAsia" w:ascii="仿宋" w:hAnsi="仿宋" w:eastAsia="仿宋" w:cs="仿宋"/>
          <w:sz w:val="32"/>
          <w:szCs w:val="32"/>
        </w:rPr>
        <w:t>按两套经济分类科目分别反应不同资金来源的全部预算支出。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年预算支出974.08万元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基本支出467.04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507.04万元，主要包括：办公费、印刷费、邮电费、差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费、维修（护）费、租赁费、会议费、培训费、公务接待费、劳务费、福利费、公务用车运行维护费、其他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交通费用、其他商品和服务支出、办公设备购置、信息网络及软件购置更新和其他支出。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“三公”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经费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支出预算情况说明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2021年“三公”经费公共预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算2.3</w:t>
      </w:r>
      <w:r>
        <w:rPr>
          <w:rFonts w:hint="eastAsia" w:ascii="仿宋" w:hAnsi="仿宋" w:eastAsia="仿宋" w:cs="仿宋"/>
          <w:sz w:val="32"/>
          <w:szCs w:val="32"/>
        </w:rPr>
        <w:t>万元。2021年“三公”经费支出预算数比上年减少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"/>
          <w:sz w:val="32"/>
          <w:szCs w:val="32"/>
        </w:rPr>
        <w:t>万元，主要原因是认真贯彻落实中央八项规定精神，坚持厉行勤俭节约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（一）因公出国（境）费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万元，预算数与上年持平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主要原因是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我单位</w:t>
      </w:r>
      <w:r>
        <w:rPr>
          <w:rFonts w:hint="default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年无因公出国境任务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（二）公务用车购置及运行费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与上年相比减少3.4万元，占“三公”经费总额的69.57%。</w:t>
      </w:r>
      <w:r>
        <w:rPr>
          <w:rFonts w:hint="eastAsia" w:ascii="仿宋" w:hAnsi="仿宋" w:eastAsia="仿宋" w:cs="仿宋"/>
          <w:sz w:val="32"/>
          <w:szCs w:val="32"/>
        </w:rPr>
        <w:t>其中，公务用车运行费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万元，与上年相比减少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占“三公”经费总额的69.57%</w:t>
      </w:r>
      <w:r>
        <w:rPr>
          <w:rFonts w:hint="eastAsia" w:ascii="仿宋" w:hAnsi="仿宋" w:eastAsia="仿宋" w:cs="仿宋"/>
          <w:sz w:val="32"/>
          <w:szCs w:val="32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万元，预算数与上年持平，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占“三公”经费总额的0%，</w:t>
      </w:r>
      <w:r>
        <w:rPr>
          <w:rFonts w:hint="eastAsia" w:ascii="仿宋" w:hAnsi="仿宋" w:eastAsia="仿宋" w:cs="仿宋"/>
          <w:sz w:val="32"/>
          <w:szCs w:val="32"/>
        </w:rPr>
        <w:t>主要原因是落实公车改革政策、加强公务用车管理，严控公务用车支出。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  <w:szCs w:val="32"/>
        </w:rPr>
        <w:t>万元，预算数比上年下降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八、政府性基金预算支出预算情况说明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部门2021年政府性基金预算支出79.43万元，预算数比上年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79.43万元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pStyle w:val="5"/>
        <w:widowControl/>
        <w:wordWrap/>
        <w:adjustRightInd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、其他重要事项情况说明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（一）机关运行经费预算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2021年，机关运行经费支出预算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41.71</w:t>
      </w:r>
      <w:r>
        <w:rPr>
          <w:rFonts w:hint="eastAsia" w:ascii="仿宋" w:hAnsi="仿宋" w:eastAsia="仿宋" w:cs="仿宋"/>
          <w:sz w:val="32"/>
          <w:szCs w:val="32"/>
        </w:rPr>
        <w:t>万元，主要用于办公及印刷费、邮电费、差旅费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会议费、水、电、暖、物业管理等运行维护费、公务用车运行维护费以及其他费用。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</w:rPr>
        <w:t>）政府采购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</w:rPr>
        <w:t>情况</w:t>
      </w:r>
    </w:p>
    <w:p>
      <w:pPr>
        <w:pStyle w:val="5"/>
        <w:widowControl/>
        <w:wordWrap/>
        <w:adjustRightInd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2021年，政府采购预算安排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2168.4</w:t>
      </w:r>
      <w:r>
        <w:rPr>
          <w:rFonts w:hint="eastAsia" w:ascii="仿宋" w:hAnsi="仿宋" w:eastAsia="仿宋" w:cs="仿宋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</w:t>
      </w:r>
      <w:r>
        <w:rPr>
          <w:rFonts w:hint="eastAsia" w:ascii="仿宋" w:hAnsi="仿宋" w:eastAsia="仿宋" w:cs="仿宋"/>
          <w:sz w:val="32"/>
          <w:szCs w:val="32"/>
        </w:rPr>
        <w:t>万元、政府采购工程预算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2160</w:t>
      </w:r>
      <w:r>
        <w:rPr>
          <w:rFonts w:hint="eastAsia" w:ascii="仿宋" w:hAnsi="仿宋" w:eastAsia="仿宋" w:cs="仿宋"/>
          <w:sz w:val="32"/>
          <w:szCs w:val="32"/>
        </w:rPr>
        <w:t>万元、政府采购服务预算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 。主要用于办公设备、办公用品购置及印刷品。预算数与2020年相比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增加2165.14</w:t>
      </w:r>
      <w:r>
        <w:rPr>
          <w:rFonts w:hint="eastAsia" w:ascii="仿宋" w:hAnsi="仿宋" w:eastAsia="仿宋" w:cs="仿宋"/>
          <w:sz w:val="32"/>
          <w:szCs w:val="32"/>
        </w:rPr>
        <w:t xml:space="preserve">万元。 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绩效目标设置情况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）国有资产占用情况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2020年期末</w:t>
      </w:r>
      <w:r>
        <w:rPr>
          <w:rFonts w:hint="eastAsia" w:ascii="仿宋" w:hAnsi="仿宋" w:eastAsia="仿宋" w:cs="仿宋"/>
          <w:sz w:val="32"/>
          <w:szCs w:val="32"/>
        </w:rPr>
        <w:t>，我单位共有车辆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辆,一般执法执勤用车0辆、特种专业技术用车0辆，其他用车0辆；单价50万元以上通用设备0套，单位价值100万元以上专用设备0套。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）专项转移支付项目情况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我单位2021年没有专项转移支付项目。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名词解释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一、财政拨款收入：是指省级财政当年拨付的资金。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即事业单位以前各年度收支相抵后，按国家规定提取、用于弥补以后年度收支差额的基金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弥补当年收支缺口的资金。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七、“三公”经费：是指纳入省级财政预算管理，部门使用财政拨款安排的因公出国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费、公务用车购置及运行费和公务接待费。其中，因公出国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费反映单位公务出国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含外宾接待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八、机关运行经费：是指为保障行政单位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含参照公务员法管理的事业单位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p>
      <w:pPr>
        <w:wordWrap/>
        <w:adjustRightInd/>
        <w:spacing w:before="0" w:after="0" w:line="580" w:lineRule="exact"/>
        <w:ind w:right="0"/>
        <w:textAlignment w:val="auto"/>
        <w:outlineLvl w:val="9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附件：</w:t>
      </w:r>
    </w:p>
    <w:p>
      <w:pPr>
        <w:wordWrap/>
        <w:adjustRightInd/>
        <w:spacing w:before="0" w:after="0" w:line="580" w:lineRule="exact"/>
        <w:ind w:right="0" w:firstLine="1285" w:firstLineChars="400"/>
        <w:textAlignment w:val="auto"/>
        <w:outlineLvl w:val="9"/>
        <w:rPr>
          <w:rFonts w:hint="default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平顶山市卫东区交通运输局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2021年部门预算表</w:t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wordWrap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p0"/>
    <w:basedOn w:val="1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2021-03-04T08:17:00Z</dcterms:created>
  <dc:creator>翾1367974113</dc:creator>
  <dcterms:modified xsi:type="dcterms:W3CDTF">2021-06-10T10:32:52Z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77DCF448DDAC4EC78C1ED760C41188E7</vt:lpwstr>
  </property>
</Properties>
</file>