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1325" w:firstLineChars="300"/>
        <w:rPr>
          <w:rFonts w:hint="eastAsia" w:ascii="宋体" w:hAnsi="宋体" w:cs="宋体"/>
          <w:b/>
          <w:bCs/>
          <w:kern w:val="0"/>
          <w:sz w:val="44"/>
          <w:szCs w:val="44"/>
          <w:highlight w:val="none"/>
          <w:lang w:val="en-US" w:eastAsia="zh-CN"/>
        </w:rPr>
      </w:pPr>
      <w:r>
        <w:rPr>
          <w:rFonts w:hint="eastAsia" w:ascii="宋体" w:hAnsi="宋体" w:cs="宋体"/>
          <w:b/>
          <w:bCs/>
          <w:kern w:val="0"/>
          <w:sz w:val="44"/>
          <w:szCs w:val="44"/>
          <w:highlight w:val="none"/>
        </w:rPr>
        <w:t>2021年平顶山市卫东区</w:t>
      </w:r>
      <w:r>
        <w:rPr>
          <w:rFonts w:hint="eastAsia" w:ascii="宋体" w:hAnsi="宋体" w:cs="宋体"/>
          <w:b/>
          <w:bCs/>
          <w:kern w:val="0"/>
          <w:sz w:val="44"/>
          <w:szCs w:val="44"/>
          <w:highlight w:val="none"/>
          <w:lang w:val="en-US" w:eastAsia="zh-CN"/>
        </w:rPr>
        <w:t>发展和改革</w:t>
      </w:r>
    </w:p>
    <w:p>
      <w:pPr>
        <w:ind w:firstLine="2650" w:firstLineChars="600"/>
        <w:rPr>
          <w:rFonts w:hint="eastAsia" w:ascii="宋体" w:hAnsi="宋体" w:cs="宋体"/>
          <w:b/>
          <w:bCs/>
          <w:kern w:val="0"/>
          <w:sz w:val="44"/>
          <w:szCs w:val="44"/>
          <w:highlight w:val="none"/>
        </w:rPr>
      </w:pPr>
      <w:r>
        <w:rPr>
          <w:rFonts w:hint="eastAsia" w:ascii="宋体" w:hAnsi="宋体" w:cs="宋体"/>
          <w:b/>
          <w:bCs/>
          <w:kern w:val="0"/>
          <w:sz w:val="44"/>
          <w:szCs w:val="44"/>
          <w:highlight w:val="none"/>
          <w:lang w:val="en-US" w:eastAsia="zh-CN"/>
        </w:rPr>
        <w:t>委员会</w:t>
      </w:r>
      <w:r>
        <w:rPr>
          <w:rFonts w:hint="eastAsia" w:ascii="宋体" w:hAnsi="宋体" w:cs="宋体"/>
          <w:b/>
          <w:bCs/>
          <w:kern w:val="0"/>
          <w:sz w:val="44"/>
          <w:szCs w:val="44"/>
          <w:highlight w:val="none"/>
        </w:rPr>
        <w:t>部门预算说明</w:t>
      </w:r>
    </w:p>
    <w:p>
      <w:pPr>
        <w:jc w:val="center"/>
        <w:rPr>
          <w:rFonts w:hint="eastAsia" w:ascii="宋体" w:hAnsi="宋体" w:cs="宋体"/>
          <w:b/>
          <w:bCs/>
          <w:kern w:val="0"/>
          <w:sz w:val="44"/>
          <w:szCs w:val="44"/>
          <w:highlight w:val="none"/>
        </w:rPr>
      </w:pPr>
    </w:p>
    <w:p>
      <w:pPr>
        <w:widowControl w:val="0"/>
        <w:wordWrap/>
        <w:adjustRightInd/>
        <w:snapToGrid w:val="0"/>
        <w:spacing w:line="560" w:lineRule="exact"/>
        <w:jc w:val="center"/>
        <w:textAlignment w:val="auto"/>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目</w:t>
      </w:r>
      <w:r>
        <w:rPr>
          <w:rFonts w:hint="eastAsia" w:ascii="宋体" w:hAnsi="宋体" w:eastAsia="宋体" w:cs="宋体"/>
          <w:b/>
          <w:bCs/>
          <w:sz w:val="44"/>
          <w:szCs w:val="44"/>
          <w:highlight w:val="none"/>
          <w:lang w:val="en-US" w:eastAsia="zh-CN"/>
        </w:rPr>
        <w:t xml:space="preserve">  </w:t>
      </w:r>
      <w:r>
        <w:rPr>
          <w:rFonts w:hint="eastAsia" w:ascii="宋体" w:hAnsi="宋体" w:eastAsia="宋体" w:cs="宋体"/>
          <w:b/>
          <w:bCs/>
          <w:sz w:val="44"/>
          <w:szCs w:val="44"/>
          <w:highlight w:val="none"/>
        </w:rPr>
        <w:t>录</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宋体" w:hAnsi="宋体" w:eastAsia="宋体" w:cs="宋体"/>
          <w:b/>
          <w:bCs/>
          <w:sz w:val="32"/>
          <w:szCs w:val="32"/>
        </w:rPr>
        <w:t>第一部分　</w:t>
      </w:r>
      <w:r>
        <w:rPr>
          <w:rFonts w:hint="eastAsia" w:ascii="宋体" w:hAnsi="宋体" w:eastAsia="宋体" w:cs="宋体"/>
          <w:b/>
          <w:bCs/>
          <w:sz w:val="32"/>
          <w:szCs w:val="32"/>
          <w:lang w:val="en-US" w:eastAsia="zh-CN"/>
        </w:rPr>
        <w:t>平顶山市卫东区发展和改革委员会</w:t>
      </w:r>
      <w:r>
        <w:rPr>
          <w:rFonts w:hint="eastAsia" w:ascii="宋体" w:hAnsi="宋体" w:eastAsia="宋体" w:cs="宋体"/>
          <w:b/>
          <w:bCs/>
          <w:sz w:val="32"/>
          <w:szCs w:val="32"/>
        </w:rPr>
        <w:t xml:space="preserve">概况  </w:t>
      </w:r>
      <w:r>
        <w:rPr>
          <w:rFonts w:hint="eastAsia" w:ascii="仿宋" w:hAnsi="仿宋" w:eastAsia="仿宋" w:cs="仿宋"/>
          <w:sz w:val="32"/>
          <w:szCs w:val="32"/>
        </w:rPr>
        <w:t xml:space="preserve">  </w:t>
      </w:r>
    </w:p>
    <w:p>
      <w:pPr>
        <w:ind w:firstLine="320" w:firstLineChars="1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一、主要职</w:t>
      </w:r>
      <w:r>
        <w:rPr>
          <w:rFonts w:hint="eastAsia" w:ascii="仿宋" w:hAnsi="仿宋" w:eastAsia="仿宋" w:cs="仿宋"/>
          <w:bCs/>
          <w:kern w:val="0"/>
          <w:sz w:val="32"/>
          <w:szCs w:val="32"/>
          <w:lang w:eastAsia="zh-CN"/>
        </w:rPr>
        <w:t>能</w:t>
      </w:r>
    </w:p>
    <w:p>
      <w:pPr>
        <w:ind w:firstLine="320" w:firstLineChars="100"/>
        <w:rPr>
          <w:rFonts w:hint="eastAsia" w:ascii="仿宋" w:hAnsi="仿宋" w:eastAsia="仿宋" w:cs="仿宋"/>
          <w:sz w:val="32"/>
          <w:szCs w:val="32"/>
        </w:rPr>
      </w:pPr>
      <w:r>
        <w:rPr>
          <w:rFonts w:hint="eastAsia" w:ascii="仿宋" w:hAnsi="仿宋" w:eastAsia="仿宋" w:cs="仿宋"/>
          <w:bCs/>
          <w:kern w:val="0"/>
          <w:sz w:val="32"/>
          <w:szCs w:val="32"/>
        </w:rPr>
        <w:t>二、部门预算单位构成</w:t>
      </w:r>
      <w:r>
        <w:rPr>
          <w:rFonts w:hint="eastAsia" w:ascii="宋体" w:hAnsi="宋体" w:eastAsia="宋体" w:cs="宋体"/>
          <w:sz w:val="27"/>
          <w:szCs w:val="27"/>
        </w:rPr>
        <w:t xml:space="preserve">  </w:t>
      </w:r>
      <w:r>
        <w:rPr>
          <w:rFonts w:hint="eastAsia" w:ascii="仿宋" w:hAnsi="仿宋" w:eastAsia="仿宋" w:cs="仿宋"/>
          <w:sz w:val="32"/>
          <w:szCs w:val="32"/>
        </w:rPr>
        <w:t xml:space="preserve">  </w:t>
      </w:r>
    </w:p>
    <w:p>
      <w:pPr>
        <w:rPr>
          <w:rFonts w:hint="eastAsia" w:ascii="宋体" w:hAnsi="宋体" w:eastAsia="宋体" w:cs="宋体"/>
          <w:b/>
          <w:bCs w:val="0"/>
          <w:kern w:val="0"/>
          <w:sz w:val="32"/>
          <w:szCs w:val="32"/>
        </w:rPr>
      </w:pPr>
      <w:r>
        <w:rPr>
          <w:rFonts w:hint="eastAsia" w:ascii="宋体" w:hAnsi="宋体" w:eastAsia="宋体" w:cs="宋体"/>
          <w:b/>
          <w:bCs w:val="0"/>
          <w:kern w:val="0"/>
          <w:sz w:val="32"/>
          <w:szCs w:val="32"/>
        </w:rPr>
        <w:t>第二部分</w:t>
      </w:r>
      <w:r>
        <w:rPr>
          <w:rFonts w:hint="eastAsia" w:ascii="宋体" w:hAnsi="宋体" w:eastAsia="宋体" w:cs="宋体"/>
          <w:b/>
          <w:bCs w:val="0"/>
          <w:kern w:val="0"/>
          <w:sz w:val="32"/>
          <w:szCs w:val="32"/>
          <w:lang w:val="en-US" w:eastAsia="zh-CN"/>
        </w:rPr>
        <w:t xml:space="preserve"> </w:t>
      </w:r>
      <w:r>
        <w:rPr>
          <w:rFonts w:hint="eastAsia" w:ascii="宋体" w:hAnsi="宋体" w:eastAsia="宋体" w:cs="宋体"/>
          <w:b/>
          <w:bCs w:val="0"/>
          <w:kern w:val="0"/>
          <w:sz w:val="32"/>
          <w:szCs w:val="32"/>
        </w:rPr>
        <w:t>平顶山市卫东区</w:t>
      </w:r>
      <w:r>
        <w:rPr>
          <w:rFonts w:hint="eastAsia" w:ascii="宋体" w:hAnsi="宋体" w:eastAsia="宋体" w:cs="宋体"/>
          <w:b/>
          <w:bCs/>
          <w:sz w:val="32"/>
          <w:szCs w:val="32"/>
          <w:lang w:val="en-US" w:eastAsia="zh-CN"/>
        </w:rPr>
        <w:t>发展和改革委员会</w:t>
      </w:r>
      <w:r>
        <w:rPr>
          <w:rFonts w:hint="eastAsia" w:ascii="宋体" w:hAnsi="宋体" w:eastAsia="宋体" w:cs="宋体"/>
          <w:b/>
          <w:bCs w:val="0"/>
          <w:kern w:val="0"/>
          <w:sz w:val="32"/>
          <w:szCs w:val="32"/>
        </w:rPr>
        <w:t>2021年部门预算情况说明</w:t>
      </w:r>
    </w:p>
    <w:p>
      <w:pPr>
        <w:rPr>
          <w:rFonts w:hint="eastAsia" w:ascii="宋体" w:hAnsi="宋体" w:eastAsia="宋体" w:cs="宋体"/>
          <w:b/>
          <w:bCs w:val="0"/>
          <w:kern w:val="0"/>
          <w:sz w:val="32"/>
          <w:szCs w:val="32"/>
        </w:rPr>
      </w:pPr>
      <w:r>
        <w:rPr>
          <w:rFonts w:hint="eastAsia" w:ascii="宋体" w:hAnsi="宋体" w:eastAsia="宋体" w:cs="宋体"/>
          <w:b/>
          <w:bCs w:val="0"/>
          <w:kern w:val="0"/>
          <w:sz w:val="32"/>
          <w:szCs w:val="32"/>
        </w:rPr>
        <w:t>第三部分　名词解释</w:t>
      </w:r>
    </w:p>
    <w:p>
      <w:pPr>
        <w:rPr>
          <w:rFonts w:hint="eastAsia" w:ascii="宋体" w:hAnsi="宋体" w:eastAsia="宋体" w:cs="宋体"/>
          <w:b/>
          <w:bCs w:val="0"/>
          <w:kern w:val="0"/>
          <w:sz w:val="32"/>
          <w:szCs w:val="32"/>
        </w:rPr>
      </w:pPr>
      <w:r>
        <w:rPr>
          <w:rFonts w:hint="eastAsia" w:ascii="宋体" w:hAnsi="宋体" w:eastAsia="宋体" w:cs="宋体"/>
          <w:b/>
          <w:bCs w:val="0"/>
          <w:kern w:val="0"/>
          <w:sz w:val="32"/>
          <w:szCs w:val="32"/>
        </w:rPr>
        <w:t>附件：</w:t>
      </w:r>
      <w:r>
        <w:rPr>
          <w:rFonts w:hint="eastAsia" w:ascii="宋体" w:hAnsi="宋体" w:eastAsia="宋体" w:cs="宋体"/>
          <w:b/>
          <w:bCs w:val="0"/>
          <w:kern w:val="0"/>
          <w:sz w:val="32"/>
          <w:szCs w:val="32"/>
          <w:highlight w:val="none"/>
        </w:rPr>
        <w:t>平顶山市卫东区</w:t>
      </w:r>
      <w:r>
        <w:rPr>
          <w:rFonts w:hint="eastAsia" w:ascii="宋体" w:hAnsi="宋体" w:eastAsia="宋体" w:cs="宋体"/>
          <w:b/>
          <w:bCs/>
          <w:sz w:val="32"/>
          <w:szCs w:val="32"/>
          <w:lang w:val="en-US" w:eastAsia="zh-CN"/>
        </w:rPr>
        <w:t>发展和改革委员会</w:t>
      </w:r>
      <w:r>
        <w:rPr>
          <w:rFonts w:hint="eastAsia" w:ascii="宋体" w:hAnsi="宋体" w:eastAsia="宋体" w:cs="宋体"/>
          <w:b/>
          <w:bCs w:val="0"/>
          <w:kern w:val="0"/>
          <w:sz w:val="32"/>
          <w:szCs w:val="32"/>
        </w:rPr>
        <w:t>2021年部门预算表</w:t>
      </w:r>
    </w:p>
    <w:p>
      <w:pPr>
        <w:ind w:firstLine="320" w:firstLineChars="100"/>
        <w:rPr>
          <w:rFonts w:hint="eastAsia" w:ascii="仿宋" w:hAnsi="仿宋" w:eastAsia="仿宋" w:cs="仿宋"/>
          <w:bCs/>
          <w:kern w:val="0"/>
          <w:sz w:val="32"/>
          <w:szCs w:val="32"/>
          <w:u w:val="none"/>
        </w:rPr>
      </w:pPr>
      <w:r>
        <w:rPr>
          <w:rFonts w:hint="eastAsia" w:ascii="仿宋" w:hAnsi="仿宋" w:eastAsia="仿宋" w:cs="仿宋"/>
          <w:bCs/>
          <w:kern w:val="0"/>
          <w:sz w:val="32"/>
          <w:szCs w:val="32"/>
          <w:u w:val="none"/>
        </w:rPr>
        <w:t>一、部门收支总体情况表</w:t>
      </w:r>
    </w:p>
    <w:p>
      <w:pPr>
        <w:ind w:firstLine="320" w:firstLineChars="100"/>
        <w:rPr>
          <w:rFonts w:hint="eastAsia" w:ascii="仿宋" w:hAnsi="仿宋" w:eastAsia="仿宋" w:cs="仿宋"/>
          <w:bCs/>
          <w:kern w:val="0"/>
          <w:sz w:val="32"/>
          <w:szCs w:val="32"/>
          <w:u w:val="none"/>
        </w:rPr>
      </w:pPr>
      <w:r>
        <w:rPr>
          <w:rFonts w:hint="eastAsia" w:ascii="仿宋" w:hAnsi="仿宋" w:eastAsia="仿宋" w:cs="仿宋"/>
          <w:bCs/>
          <w:kern w:val="0"/>
          <w:sz w:val="32"/>
          <w:szCs w:val="32"/>
          <w:u w:val="none"/>
        </w:rPr>
        <w:t>二、部门收入总体情况表</w:t>
      </w:r>
    </w:p>
    <w:p>
      <w:pPr>
        <w:ind w:firstLine="320" w:firstLineChars="100"/>
        <w:rPr>
          <w:rFonts w:hint="eastAsia" w:ascii="仿宋" w:hAnsi="仿宋" w:eastAsia="仿宋" w:cs="仿宋"/>
          <w:bCs/>
          <w:kern w:val="0"/>
          <w:sz w:val="32"/>
          <w:szCs w:val="32"/>
          <w:u w:val="none"/>
        </w:rPr>
      </w:pPr>
      <w:r>
        <w:rPr>
          <w:rFonts w:hint="eastAsia" w:ascii="仿宋" w:hAnsi="仿宋" w:eastAsia="仿宋" w:cs="仿宋"/>
          <w:bCs/>
          <w:kern w:val="0"/>
          <w:sz w:val="32"/>
          <w:szCs w:val="32"/>
          <w:u w:val="none"/>
        </w:rPr>
        <w:t>三、部门支出总体情况表</w:t>
      </w:r>
    </w:p>
    <w:p>
      <w:pPr>
        <w:ind w:firstLine="320" w:firstLineChars="100"/>
        <w:rPr>
          <w:rFonts w:hint="eastAsia" w:ascii="仿宋" w:hAnsi="仿宋" w:eastAsia="仿宋" w:cs="仿宋"/>
          <w:bCs/>
          <w:kern w:val="0"/>
          <w:sz w:val="32"/>
          <w:szCs w:val="32"/>
          <w:u w:val="none"/>
        </w:rPr>
      </w:pPr>
      <w:r>
        <w:rPr>
          <w:rFonts w:hint="eastAsia" w:ascii="仿宋" w:hAnsi="仿宋" w:eastAsia="仿宋" w:cs="仿宋"/>
          <w:bCs/>
          <w:kern w:val="0"/>
          <w:sz w:val="32"/>
          <w:szCs w:val="32"/>
          <w:u w:val="none"/>
        </w:rPr>
        <w:t>四、财政拨款收支总体情况表</w:t>
      </w:r>
    </w:p>
    <w:p>
      <w:pPr>
        <w:ind w:firstLine="320" w:firstLineChars="100"/>
        <w:rPr>
          <w:rFonts w:hint="eastAsia" w:ascii="仿宋" w:hAnsi="仿宋" w:eastAsia="仿宋" w:cs="仿宋"/>
          <w:bCs/>
          <w:kern w:val="0"/>
          <w:sz w:val="32"/>
          <w:szCs w:val="32"/>
          <w:u w:val="none"/>
        </w:rPr>
      </w:pPr>
      <w:r>
        <w:rPr>
          <w:rFonts w:hint="eastAsia" w:ascii="仿宋" w:hAnsi="仿宋" w:eastAsia="仿宋" w:cs="仿宋"/>
          <w:bCs/>
          <w:kern w:val="0"/>
          <w:sz w:val="32"/>
          <w:szCs w:val="32"/>
          <w:u w:val="none"/>
        </w:rPr>
        <w:t>五、一般公共预算支出情况表</w:t>
      </w:r>
    </w:p>
    <w:p>
      <w:pPr>
        <w:snapToGrid w:val="0"/>
        <w:spacing w:line="560" w:lineRule="exact"/>
        <w:ind w:firstLine="320" w:firstLineChars="100"/>
        <w:rPr>
          <w:rFonts w:hint="eastAsia" w:ascii="仿宋" w:hAnsi="仿宋" w:eastAsia="仿宋" w:cs="仿宋"/>
          <w:bCs/>
          <w:kern w:val="0"/>
          <w:sz w:val="32"/>
          <w:szCs w:val="32"/>
          <w:u w:val="none"/>
        </w:rPr>
      </w:pPr>
      <w:r>
        <w:rPr>
          <w:rFonts w:hint="eastAsia" w:ascii="仿宋" w:hAnsi="仿宋" w:eastAsia="仿宋" w:cs="仿宋"/>
          <w:bCs/>
          <w:kern w:val="0"/>
          <w:sz w:val="32"/>
          <w:szCs w:val="32"/>
          <w:u w:val="none"/>
        </w:rPr>
        <w:t>六、支出</w:t>
      </w:r>
      <w:r>
        <w:rPr>
          <w:rFonts w:hint="eastAsia" w:ascii="仿宋" w:hAnsi="仿宋" w:eastAsia="仿宋" w:cs="仿宋"/>
          <w:bCs/>
          <w:kern w:val="0"/>
          <w:sz w:val="32"/>
          <w:szCs w:val="32"/>
          <w:u w:val="none"/>
          <w:lang w:eastAsia="zh-CN"/>
        </w:rPr>
        <w:t>预算</w:t>
      </w:r>
      <w:r>
        <w:rPr>
          <w:rFonts w:hint="eastAsia" w:ascii="仿宋" w:hAnsi="仿宋" w:eastAsia="仿宋" w:cs="仿宋"/>
          <w:bCs/>
          <w:kern w:val="0"/>
          <w:sz w:val="32"/>
          <w:szCs w:val="32"/>
          <w:u w:val="none"/>
        </w:rPr>
        <w:t>分类汇总表</w:t>
      </w:r>
    </w:p>
    <w:p>
      <w:pPr>
        <w:ind w:firstLine="320" w:firstLineChars="100"/>
        <w:rPr>
          <w:rFonts w:hint="eastAsia" w:ascii="仿宋" w:hAnsi="仿宋" w:eastAsia="仿宋" w:cs="仿宋"/>
          <w:bCs/>
          <w:kern w:val="0"/>
          <w:sz w:val="32"/>
          <w:szCs w:val="32"/>
          <w:u w:val="none"/>
        </w:rPr>
      </w:pPr>
      <w:r>
        <w:rPr>
          <w:rFonts w:hint="eastAsia" w:ascii="仿宋" w:hAnsi="仿宋" w:eastAsia="仿宋" w:cs="仿宋"/>
          <w:bCs/>
          <w:kern w:val="0"/>
          <w:sz w:val="32"/>
          <w:szCs w:val="32"/>
          <w:u w:val="none"/>
        </w:rPr>
        <w:t>七、一般公共预算“三公”经费支出情况表</w:t>
      </w:r>
    </w:p>
    <w:p>
      <w:pPr>
        <w:ind w:firstLine="320" w:firstLineChars="100"/>
        <w:rPr>
          <w:rFonts w:hint="eastAsia" w:ascii="仿宋" w:hAnsi="仿宋" w:eastAsia="仿宋" w:cs="仿宋"/>
          <w:bCs/>
          <w:kern w:val="0"/>
          <w:sz w:val="32"/>
          <w:szCs w:val="32"/>
          <w:u w:val="none"/>
        </w:rPr>
      </w:pPr>
      <w:r>
        <w:rPr>
          <w:rFonts w:hint="eastAsia" w:ascii="仿宋" w:hAnsi="仿宋" w:eastAsia="仿宋" w:cs="仿宋"/>
          <w:bCs/>
          <w:kern w:val="0"/>
          <w:sz w:val="32"/>
          <w:szCs w:val="32"/>
          <w:u w:val="none"/>
        </w:rPr>
        <w:t>八、政府性基金预算支出情况表</w:t>
      </w:r>
    </w:p>
    <w:p>
      <w:pPr>
        <w:pStyle w:val="6"/>
        <w:ind w:firstLine="320" w:firstLineChars="100"/>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九、</w:t>
      </w:r>
      <w:r>
        <w:rPr>
          <w:rFonts w:hint="eastAsia" w:ascii="仿宋" w:hAnsi="仿宋" w:eastAsia="仿宋" w:cs="仿宋"/>
          <w:bCs/>
          <w:kern w:val="0"/>
          <w:sz w:val="32"/>
          <w:szCs w:val="32"/>
          <w:highlight w:val="none"/>
          <w:u w:val="none"/>
        </w:rPr>
        <w:t>部门（单位）整体绩效目标表</w:t>
      </w:r>
    </w:p>
    <w:p>
      <w:pPr>
        <w:widowControl w:val="0"/>
        <w:wordWrap/>
        <w:adjustRightInd/>
        <w:snapToGrid w:val="0"/>
        <w:spacing w:line="560" w:lineRule="exact"/>
        <w:ind w:firstLine="320" w:firstLineChars="100"/>
        <w:textAlignment w:val="auto"/>
        <w:rPr>
          <w:rFonts w:hint="eastAsia" w:ascii="仿宋" w:hAnsi="仿宋" w:eastAsia="仿宋" w:cs="仿宋"/>
          <w:sz w:val="32"/>
          <w:szCs w:val="32"/>
          <w:u w:val="none"/>
        </w:rPr>
      </w:pPr>
      <w:r>
        <w:rPr>
          <w:rFonts w:hint="eastAsia" w:ascii="仿宋" w:hAnsi="仿宋" w:eastAsia="仿宋" w:cs="仿宋"/>
          <w:bCs/>
          <w:kern w:val="0"/>
          <w:sz w:val="32"/>
          <w:szCs w:val="32"/>
          <w:highlight w:val="none"/>
          <w:u w:val="none"/>
        </w:rPr>
        <w:t>十、部门预算项目绩效目标</w:t>
      </w:r>
      <w:r>
        <w:rPr>
          <w:rFonts w:hint="eastAsia" w:ascii="仿宋" w:hAnsi="仿宋" w:eastAsia="仿宋" w:cs="仿宋"/>
          <w:bCs/>
          <w:kern w:val="0"/>
          <w:sz w:val="32"/>
          <w:szCs w:val="32"/>
          <w:highlight w:val="none"/>
          <w:u w:val="none"/>
          <w:lang w:eastAsia="zh-CN"/>
        </w:rPr>
        <w:t>汇总</w:t>
      </w:r>
      <w:r>
        <w:rPr>
          <w:rFonts w:hint="eastAsia" w:ascii="仿宋" w:hAnsi="仿宋" w:eastAsia="仿宋" w:cs="仿宋"/>
          <w:bCs/>
          <w:kern w:val="0"/>
          <w:sz w:val="32"/>
          <w:szCs w:val="32"/>
          <w:highlight w:val="none"/>
          <w:u w:val="none"/>
        </w:rPr>
        <w:t>表</w:t>
      </w:r>
      <w:r>
        <w:rPr>
          <w:rFonts w:hint="eastAsia" w:ascii="仿宋" w:hAnsi="仿宋" w:eastAsia="仿宋" w:cs="仿宋"/>
          <w:sz w:val="32"/>
          <w:szCs w:val="32"/>
          <w:highlight w:val="none"/>
          <w:u w:val="none"/>
        </w:rPr>
        <w:tab/>
      </w:r>
      <w:r>
        <w:rPr>
          <w:rFonts w:hint="eastAsia" w:ascii="仿宋" w:hAnsi="仿宋" w:eastAsia="仿宋" w:cs="仿宋"/>
          <w:sz w:val="32"/>
          <w:szCs w:val="32"/>
          <w:u w:val="none"/>
        </w:rPr>
        <w:tab/>
      </w:r>
      <w:r>
        <w:rPr>
          <w:rFonts w:hint="eastAsia" w:ascii="仿宋" w:hAnsi="仿宋" w:eastAsia="仿宋" w:cs="仿宋"/>
          <w:sz w:val="32"/>
          <w:szCs w:val="32"/>
          <w:u w:val="none"/>
        </w:rPr>
        <w:tab/>
      </w:r>
      <w:r>
        <w:rPr>
          <w:rFonts w:hint="eastAsia" w:ascii="仿宋" w:hAnsi="仿宋" w:eastAsia="仿宋" w:cs="仿宋"/>
          <w:sz w:val="32"/>
          <w:szCs w:val="32"/>
          <w:u w:val="none"/>
        </w:rPr>
        <w:tab/>
      </w:r>
      <w:r>
        <w:rPr>
          <w:rFonts w:hint="eastAsia" w:ascii="仿宋" w:hAnsi="仿宋" w:eastAsia="仿宋" w:cs="仿宋"/>
          <w:sz w:val="32"/>
          <w:szCs w:val="32"/>
          <w:u w:val="none"/>
        </w:rPr>
        <w:tab/>
      </w:r>
      <w:r>
        <w:rPr>
          <w:rFonts w:hint="eastAsia" w:ascii="仿宋" w:hAnsi="仿宋" w:eastAsia="仿宋" w:cs="仿宋"/>
          <w:sz w:val="32"/>
          <w:szCs w:val="32"/>
          <w:u w:val="none"/>
        </w:rPr>
        <w:tab/>
      </w:r>
    </w:p>
    <w:p>
      <w:pPr>
        <w:jc w:val="center"/>
        <w:rPr>
          <w:rFonts w:hint="eastAsia" w:ascii="宋体" w:hAnsi="宋体" w:cs="宋体"/>
          <w:b/>
          <w:bCs/>
          <w:kern w:val="0"/>
          <w:sz w:val="32"/>
          <w:szCs w:val="32"/>
          <w:u w:val="none"/>
          <w:lang w:val="en-US" w:eastAsia="zh-CN"/>
        </w:rPr>
      </w:pPr>
      <w:r>
        <w:rPr>
          <w:rFonts w:hint="eastAsia" w:ascii="宋体" w:hAnsi="宋体" w:cs="宋体"/>
          <w:b/>
          <w:bCs/>
          <w:kern w:val="0"/>
          <w:sz w:val="32"/>
          <w:szCs w:val="32"/>
          <w:u w:val="none"/>
          <w:lang w:val="en-US" w:eastAsia="zh-CN"/>
        </w:rPr>
        <w:t xml:space="preserve">     </w:t>
      </w:r>
    </w:p>
    <w:p>
      <w:pPr>
        <w:jc w:val="center"/>
        <w:rPr>
          <w:rFonts w:hint="eastAsia" w:ascii="宋体" w:hAnsi="宋体" w:cs="宋体"/>
          <w:b/>
          <w:bCs/>
          <w:kern w:val="0"/>
          <w:sz w:val="32"/>
          <w:szCs w:val="32"/>
        </w:rPr>
      </w:pPr>
      <w:r>
        <w:rPr>
          <w:rFonts w:hint="eastAsia" w:ascii="宋体" w:hAnsi="宋体" w:cs="宋体"/>
          <w:b/>
          <w:bCs/>
          <w:kern w:val="0"/>
          <w:sz w:val="32"/>
          <w:szCs w:val="32"/>
        </w:rPr>
        <w:t>第一部分</w:t>
      </w:r>
    </w:p>
    <w:p>
      <w:pPr>
        <w:jc w:val="center"/>
        <w:rPr>
          <w:rFonts w:hint="eastAsia" w:ascii="宋体" w:hAnsi="宋体" w:cs="宋体"/>
          <w:b/>
          <w:bCs/>
          <w:kern w:val="0"/>
          <w:sz w:val="32"/>
          <w:szCs w:val="32"/>
          <w:highlight w:val="none"/>
        </w:rPr>
      </w:pPr>
      <w:r>
        <w:rPr>
          <w:rFonts w:hint="eastAsia" w:ascii="宋体" w:hAnsi="宋体" w:eastAsia="宋体" w:cs="宋体"/>
          <w:b/>
          <w:bCs/>
          <w:kern w:val="0"/>
          <w:sz w:val="32"/>
          <w:szCs w:val="32"/>
          <w:highlight w:val="none"/>
        </w:rPr>
        <w:t>平顶山市卫东区</w:t>
      </w:r>
      <w:r>
        <w:rPr>
          <w:rFonts w:hint="eastAsia" w:ascii="宋体" w:hAnsi="宋体" w:eastAsia="宋体" w:cs="宋体"/>
          <w:b/>
          <w:bCs/>
          <w:sz w:val="32"/>
          <w:szCs w:val="32"/>
          <w:lang w:val="en-US" w:eastAsia="zh-CN"/>
        </w:rPr>
        <w:t>发展和改革委员会</w:t>
      </w:r>
      <w:r>
        <w:rPr>
          <w:rFonts w:hint="eastAsia" w:ascii="宋体" w:hAnsi="宋体" w:cs="宋体"/>
          <w:b/>
          <w:bCs/>
          <w:kern w:val="0"/>
          <w:sz w:val="32"/>
          <w:szCs w:val="32"/>
          <w:highlight w:val="none"/>
        </w:rPr>
        <w:t>概况</w:t>
      </w:r>
    </w:p>
    <w:p>
      <w:pPr>
        <w:widowControl w:val="0"/>
        <w:wordWrap/>
        <w:adjustRightInd/>
        <w:snapToGrid w:val="0"/>
        <w:spacing w:line="560" w:lineRule="exact"/>
        <w:textAlignment w:val="auto"/>
        <w:rPr>
          <w:rFonts w:hint="eastAsia" w:ascii="宋体" w:hAnsi="宋体" w:eastAsia="宋体" w:cs="宋体"/>
          <w:b/>
          <w:bCs/>
          <w:sz w:val="32"/>
          <w:szCs w:val="32"/>
          <w:highlight w:val="none"/>
        </w:rPr>
      </w:pPr>
    </w:p>
    <w:p>
      <w:pPr>
        <w:widowControl w:val="0"/>
        <w:numPr>
          <w:ilvl w:val="0"/>
          <w:numId w:val="1"/>
        </w:numPr>
        <w:wordWrap/>
        <w:adjustRightInd/>
        <w:snapToGrid w:val="0"/>
        <w:spacing w:before="0" w:after="0" w:line="580" w:lineRule="exact"/>
        <w:ind w:left="0" w:leftChars="0" w:right="0" w:firstLine="640" w:firstLineChars="200"/>
        <w:jc w:val="both"/>
        <w:textAlignment w:val="auto"/>
        <w:outlineLvl w:val="9"/>
        <w:rPr>
          <w:rFonts w:hint="eastAsia" w:ascii="宋体" w:hAnsi="宋体" w:eastAsia="宋体" w:cs="宋体"/>
          <w:b/>
          <w:bCs/>
          <w:sz w:val="32"/>
          <w:szCs w:val="32"/>
          <w:highlight w:val="none"/>
        </w:rPr>
      </w:pPr>
      <w:r>
        <w:rPr>
          <w:rFonts w:hint="eastAsia" w:ascii="宋体" w:hAnsi="宋体" w:eastAsia="宋体" w:cs="宋体"/>
          <w:b/>
          <w:bCs/>
          <w:kern w:val="0"/>
          <w:sz w:val="32"/>
          <w:szCs w:val="32"/>
          <w:highlight w:val="none"/>
        </w:rPr>
        <w:t>平顶山市卫东区</w:t>
      </w:r>
      <w:r>
        <w:rPr>
          <w:rFonts w:hint="eastAsia" w:ascii="宋体" w:hAnsi="宋体" w:eastAsia="宋体" w:cs="宋体"/>
          <w:b/>
          <w:bCs/>
          <w:sz w:val="32"/>
          <w:szCs w:val="32"/>
          <w:lang w:val="en-US" w:eastAsia="zh-CN"/>
        </w:rPr>
        <w:t>发展和改革委员会</w:t>
      </w:r>
      <w:r>
        <w:rPr>
          <w:rFonts w:hint="eastAsia" w:ascii="宋体" w:hAnsi="宋体" w:eastAsia="宋体" w:cs="宋体"/>
          <w:b/>
          <w:bCs/>
          <w:sz w:val="32"/>
          <w:szCs w:val="32"/>
          <w:highlight w:val="none"/>
        </w:rPr>
        <w:t>主要</w:t>
      </w:r>
      <w:r>
        <w:rPr>
          <w:rFonts w:hint="eastAsia" w:ascii="宋体" w:hAnsi="宋体" w:eastAsia="宋体" w:cs="宋体"/>
          <w:b/>
          <w:bCs/>
          <w:sz w:val="32"/>
          <w:szCs w:val="32"/>
        </w:rPr>
        <w:t>职能</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tab/>
      </w:r>
    </w:p>
    <w:p>
      <w:pPr>
        <w:widowControl w:val="0"/>
        <w:numPr>
          <w:numId w:val="0"/>
        </w:numPr>
        <w:wordWrap/>
        <w:adjustRightInd/>
        <w:snapToGrid w:val="0"/>
        <w:spacing w:before="0" w:after="0" w:line="580" w:lineRule="exact"/>
        <w:ind w:left="0" w:leftChars="0" w:right="0" w:firstLine="640" w:firstLineChars="200"/>
        <w:jc w:val="both"/>
        <w:textAlignment w:val="auto"/>
        <w:outlineLvl w:val="9"/>
        <w:rPr>
          <w:rFonts w:hint="default"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（一）</w:t>
      </w:r>
      <w:r>
        <w:rPr>
          <w:rFonts w:hint="default" w:ascii="仿宋" w:hAnsi="仿宋" w:eastAsia="仿宋" w:cs="仿宋"/>
          <w:color w:val="auto"/>
          <w:sz w:val="32"/>
          <w:szCs w:val="32"/>
          <w:highlight w:val="none"/>
          <w:lang w:eastAsia="zh-CN"/>
        </w:rPr>
        <w:t>贯彻国民经济和社会发展、经济体制改革和对外开放有关政策；拟订并组织实施全区国民经济和社会发展中长期规划和年度计划；牵头组织统一规划体系建设；负责区级专项规划、区域规划、空间规划与区发展规划的统筹衔接。</w:t>
      </w:r>
    </w:p>
    <w:p>
      <w:pPr>
        <w:widowControl w:val="0"/>
        <w:wordWrap/>
        <w:adjustRightInd/>
        <w:snapToGrid w:val="0"/>
        <w:spacing w:before="0" w:after="0" w:line="580" w:lineRule="exact"/>
        <w:ind w:left="0" w:leftChars="0" w:right="0" w:firstLine="640" w:firstLineChars="200"/>
        <w:jc w:val="both"/>
        <w:textAlignment w:val="auto"/>
        <w:outlineLvl w:val="9"/>
        <w:rPr>
          <w:rFonts w:hint="default"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（二）</w:t>
      </w:r>
      <w:r>
        <w:rPr>
          <w:rFonts w:hint="default" w:ascii="仿宋" w:hAnsi="仿宋" w:eastAsia="仿宋" w:cs="仿宋"/>
          <w:color w:val="auto"/>
          <w:sz w:val="32"/>
          <w:szCs w:val="32"/>
          <w:highlight w:val="none"/>
          <w:lang w:eastAsia="zh-CN"/>
        </w:rPr>
        <w:t>提出全区加快建设现代化经济体系、推动高质量发展的总体目标、重大任务以及相关政策建议；组织开展重大规划、重大政策、重大工程等评估督导，提出相关调整建议。</w:t>
      </w:r>
    </w:p>
    <w:p>
      <w:pPr>
        <w:widowControl w:val="0"/>
        <w:wordWrap/>
        <w:adjustRightInd/>
        <w:snapToGrid w:val="0"/>
        <w:spacing w:before="0" w:after="0" w:line="580" w:lineRule="exact"/>
        <w:ind w:left="0" w:leftChars="0" w:right="0" w:firstLine="640" w:firstLineChars="200"/>
        <w:jc w:val="both"/>
        <w:textAlignment w:val="auto"/>
        <w:outlineLvl w:val="9"/>
        <w:rPr>
          <w:rFonts w:hint="default"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（三）</w:t>
      </w:r>
      <w:r>
        <w:rPr>
          <w:rFonts w:hint="default" w:ascii="仿宋" w:hAnsi="仿宋" w:eastAsia="仿宋" w:cs="仿宋"/>
          <w:color w:val="auto"/>
          <w:sz w:val="32"/>
          <w:szCs w:val="32"/>
          <w:highlight w:val="none"/>
          <w:lang w:eastAsia="zh-CN"/>
        </w:rPr>
        <w:t>统筹提出全区国民经济和社会发展主要目标，监测预测预警宏观经济和社会发展态势，提出宏观调控意见；综合协调宏观经济政策，牵头研究宏观经济应对措施；调节经济运行，协调解决经济运行中的重大问题；拟订并组织实施有关价格政策，组织制定少数由政府管理的重要商品、服务价格和重要收费标准；参与拟定全区财政、土地等政策建议。</w:t>
      </w:r>
    </w:p>
    <w:p>
      <w:pPr>
        <w:widowControl w:val="0"/>
        <w:wordWrap/>
        <w:adjustRightInd/>
        <w:snapToGrid w:val="0"/>
        <w:spacing w:before="0" w:after="0" w:line="580" w:lineRule="exact"/>
        <w:ind w:left="0" w:leftChars="0" w:right="0" w:firstLine="640" w:firstLineChars="200"/>
        <w:jc w:val="both"/>
        <w:textAlignment w:val="auto"/>
        <w:outlineLvl w:val="9"/>
        <w:rPr>
          <w:rFonts w:hint="default"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（四）</w:t>
      </w:r>
      <w:r>
        <w:rPr>
          <w:rFonts w:hint="default" w:ascii="仿宋" w:hAnsi="仿宋" w:eastAsia="仿宋" w:cs="仿宋"/>
          <w:color w:val="auto"/>
          <w:sz w:val="32"/>
          <w:szCs w:val="32"/>
          <w:highlight w:val="none"/>
          <w:lang w:eastAsia="zh-CN"/>
        </w:rPr>
        <w:t>指导推进和综合协调全区经济体制改革有关工作，提出相关改革建议；牵头推进供给侧结构性改革；协调推进产权制度和要素市场化配置改革；推动完善基本经济制度和现代市场体系建设，会同相关部门组织实施市场准入负面清单制度；牵头推进优化营商环境工作。</w:t>
      </w:r>
    </w:p>
    <w:p>
      <w:pPr>
        <w:widowControl w:val="0"/>
        <w:wordWrap/>
        <w:adjustRightInd/>
        <w:snapToGrid w:val="0"/>
        <w:spacing w:before="0" w:after="0" w:line="580" w:lineRule="exact"/>
        <w:ind w:left="0" w:leftChars="0" w:right="0" w:firstLine="640" w:firstLineChars="200"/>
        <w:jc w:val="both"/>
        <w:textAlignment w:val="auto"/>
        <w:outlineLvl w:val="9"/>
        <w:rPr>
          <w:rFonts w:hint="default"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（五）</w:t>
      </w:r>
      <w:r>
        <w:rPr>
          <w:rFonts w:hint="default" w:ascii="仿宋" w:hAnsi="仿宋" w:eastAsia="仿宋" w:cs="仿宋"/>
          <w:color w:val="auto"/>
          <w:sz w:val="32"/>
          <w:szCs w:val="32"/>
          <w:highlight w:val="none"/>
          <w:lang w:eastAsia="zh-CN"/>
        </w:rPr>
        <w:t>提出利用区外资金和境外投资的规划、总量平衡和结构优化政策；牵头推进全区参与“一带一路”建设；统筹协调国际通道网络和通关环境建设；承担统筹协调走出去有关工作，会同有关部门组织实施外商投资准入负面清单，负责全口径外债的总量控制、结构优化和监测工作。</w:t>
      </w:r>
    </w:p>
    <w:p>
      <w:pPr>
        <w:widowControl w:val="0"/>
        <w:wordWrap/>
        <w:adjustRightInd/>
        <w:snapToGrid w:val="0"/>
        <w:spacing w:before="0" w:after="0" w:line="580" w:lineRule="exact"/>
        <w:ind w:left="0" w:leftChars="0" w:right="0" w:firstLine="640" w:firstLineChars="200"/>
        <w:jc w:val="both"/>
        <w:textAlignment w:val="auto"/>
        <w:outlineLvl w:val="9"/>
        <w:rPr>
          <w:rFonts w:hint="default"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（六）</w:t>
      </w:r>
      <w:r>
        <w:rPr>
          <w:rFonts w:hint="default" w:ascii="仿宋" w:hAnsi="仿宋" w:eastAsia="仿宋" w:cs="仿宋"/>
          <w:color w:val="auto"/>
          <w:sz w:val="32"/>
          <w:szCs w:val="32"/>
          <w:highlight w:val="none"/>
          <w:lang w:eastAsia="zh-CN"/>
        </w:rPr>
        <w:t>负责全区投资综合管理，拟定全社会固定资产投资总规模、结构调控目标，会同相关部门拟订政府投资项目审批权限和政府核准的固定资产投资项目目录；衔接申请中央、省级、市级财政性建设资金，安排区级财政性建设资金，按区政府规定权限审批、核准、审核重大项目；规划重大建设项目和生产力布局；承担全区重点项目协调服务工作；拟定并推动落实鼓励民间投资政策措施。</w:t>
      </w:r>
    </w:p>
    <w:p>
      <w:pPr>
        <w:widowControl w:val="0"/>
        <w:wordWrap/>
        <w:adjustRightInd/>
        <w:snapToGrid w:val="0"/>
        <w:spacing w:before="0" w:after="0" w:line="580" w:lineRule="exact"/>
        <w:ind w:left="0" w:leftChars="0" w:right="0" w:firstLine="640" w:firstLineChars="200"/>
        <w:jc w:val="both"/>
        <w:textAlignment w:val="auto"/>
        <w:outlineLvl w:val="9"/>
        <w:rPr>
          <w:rFonts w:hint="default"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（七）</w:t>
      </w:r>
      <w:r>
        <w:rPr>
          <w:rFonts w:hint="default" w:ascii="仿宋" w:hAnsi="仿宋" w:eastAsia="仿宋" w:cs="仿宋"/>
          <w:color w:val="auto"/>
          <w:sz w:val="32"/>
          <w:szCs w:val="32"/>
          <w:highlight w:val="none"/>
          <w:lang w:eastAsia="zh-CN"/>
        </w:rPr>
        <w:t>推进落实国家、省级、市级区域协调发展战略、新型城镇化战略和重大政策，组织实施相关区域规划和政策；组织实施棚户区改造、易地扶贫搬迁等；统筹协调区域合作和对口支援工作；组织编制并推动实施新型城镇化规划。</w:t>
      </w:r>
    </w:p>
    <w:p>
      <w:pPr>
        <w:widowControl w:val="0"/>
        <w:wordWrap/>
        <w:adjustRightInd/>
        <w:snapToGrid w:val="0"/>
        <w:spacing w:before="0" w:after="0" w:line="580" w:lineRule="exact"/>
        <w:ind w:left="0" w:leftChars="0" w:right="0" w:firstLine="640" w:firstLineChars="200"/>
        <w:jc w:val="both"/>
        <w:textAlignment w:val="auto"/>
        <w:outlineLvl w:val="9"/>
        <w:rPr>
          <w:rFonts w:hint="default"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（八）</w:t>
      </w:r>
      <w:r>
        <w:rPr>
          <w:rFonts w:hint="default" w:ascii="仿宋" w:hAnsi="仿宋" w:eastAsia="仿宋" w:cs="仿宋"/>
          <w:color w:val="auto"/>
          <w:sz w:val="32"/>
          <w:szCs w:val="32"/>
          <w:highlight w:val="none"/>
          <w:lang w:eastAsia="zh-CN"/>
        </w:rPr>
        <w:t>组织拟订全区综合性产业政策；协调一二三产业发展重大问题，组织实施相关发展规划，落实产业发展政策；协调推进重大基础设施建设发展，组织拟订并推动实施服务业及现代物流业规划；统筹推进产业集聚区和服务业载体平台建设；综合研判消费变动趋势，拟订实施促进消费的综合性政策措施。</w:t>
      </w:r>
    </w:p>
    <w:p>
      <w:pPr>
        <w:widowControl w:val="0"/>
        <w:wordWrap/>
        <w:adjustRightInd/>
        <w:snapToGrid w:val="0"/>
        <w:spacing w:before="0" w:after="0" w:line="580" w:lineRule="exact"/>
        <w:ind w:left="0" w:leftChars="0" w:right="0" w:firstLine="640" w:firstLineChars="200"/>
        <w:jc w:val="both"/>
        <w:textAlignment w:val="auto"/>
        <w:outlineLvl w:val="9"/>
        <w:rPr>
          <w:rFonts w:hint="default"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（九）</w:t>
      </w:r>
      <w:r>
        <w:rPr>
          <w:rFonts w:hint="default" w:ascii="仿宋" w:hAnsi="仿宋" w:eastAsia="仿宋" w:cs="仿宋"/>
          <w:color w:val="auto"/>
          <w:sz w:val="32"/>
          <w:szCs w:val="32"/>
          <w:highlight w:val="none"/>
          <w:lang w:eastAsia="zh-CN"/>
        </w:rPr>
        <w:t>推动实施全区创新驱动发展。会同相关部门拟订推进创新创业的规划，提出创新发展和培育经济发展新动能的政策建议；会同相关部门规划布局区重大科技基础设施；组织拟订并推动实施高技术产业和战略性新兴产业发展规划，协调产业升级、重大技术装备推广应用等方面的重大问题。</w:t>
      </w:r>
    </w:p>
    <w:p>
      <w:pPr>
        <w:widowControl w:val="0"/>
        <w:wordWrap/>
        <w:adjustRightInd/>
        <w:snapToGrid w:val="0"/>
        <w:spacing w:before="0" w:after="0" w:line="580" w:lineRule="exact"/>
        <w:ind w:left="0" w:leftChars="0" w:right="0" w:firstLine="640" w:firstLineChars="200"/>
        <w:jc w:val="both"/>
        <w:textAlignment w:val="auto"/>
        <w:outlineLvl w:val="9"/>
        <w:rPr>
          <w:rFonts w:hint="default"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（十）</w:t>
      </w:r>
      <w:r>
        <w:rPr>
          <w:rFonts w:hint="default" w:ascii="仿宋" w:hAnsi="仿宋" w:eastAsia="仿宋" w:cs="仿宋"/>
          <w:color w:val="auto"/>
          <w:sz w:val="32"/>
          <w:szCs w:val="32"/>
          <w:highlight w:val="none"/>
          <w:lang w:eastAsia="zh-CN"/>
        </w:rPr>
        <w:t>跟踪研判全区涉及经济安全、生态安全、资源安全、科技安全、社会安全等的各类风险隐患，提出相关工作建议；承担全区经济、生态、资源等重点领域国家安全工作协调机制相关工作；按照分工，承担安全生产工作相关职责；负责全区重要商品总量平衡和宏观调控，提出重要工业品、原材料和重要农产品进出口调控意见并协调落实；会同有关部门拟订区级储备物资品种目录、总体发展规划。</w:t>
      </w:r>
    </w:p>
    <w:p>
      <w:pPr>
        <w:widowControl w:val="0"/>
        <w:wordWrap/>
        <w:adjustRightInd/>
        <w:snapToGrid w:val="0"/>
        <w:spacing w:before="0" w:after="0" w:line="580" w:lineRule="exact"/>
        <w:ind w:left="0" w:leftChars="0" w:right="0" w:firstLine="640" w:firstLineChars="200"/>
        <w:jc w:val="both"/>
        <w:textAlignment w:val="auto"/>
        <w:outlineLvl w:val="9"/>
        <w:rPr>
          <w:rFonts w:hint="default"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（十一）</w:t>
      </w:r>
      <w:r>
        <w:rPr>
          <w:rFonts w:hint="default" w:ascii="仿宋" w:hAnsi="仿宋" w:eastAsia="仿宋" w:cs="仿宋"/>
          <w:color w:val="auto"/>
          <w:sz w:val="32"/>
          <w:szCs w:val="32"/>
          <w:highlight w:val="none"/>
          <w:lang w:eastAsia="zh-CN"/>
        </w:rPr>
        <w:t>负责全区社会发展与国民经济发展的政策衔接，协调有关重大问题；组织拟订全区社会发展总体规划，统筹推进基本公共服务体系建设和收入分配制度改革，提出促进就业、完善社会保障与经济协调发展的政策建议；牵头开展全区社会信用体系建设。</w:t>
      </w:r>
    </w:p>
    <w:p>
      <w:pPr>
        <w:widowControl w:val="0"/>
        <w:wordWrap/>
        <w:adjustRightInd/>
        <w:snapToGrid w:val="0"/>
        <w:spacing w:before="0" w:after="0" w:line="580" w:lineRule="exact"/>
        <w:ind w:left="0" w:leftChars="0" w:right="0" w:firstLine="640" w:firstLineChars="200"/>
        <w:jc w:val="both"/>
        <w:textAlignment w:val="auto"/>
        <w:outlineLvl w:val="9"/>
        <w:rPr>
          <w:rFonts w:hint="default"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（十二）</w:t>
      </w:r>
      <w:r>
        <w:rPr>
          <w:rFonts w:hint="default" w:ascii="仿宋" w:hAnsi="仿宋" w:eastAsia="仿宋" w:cs="仿宋"/>
          <w:color w:val="auto"/>
          <w:sz w:val="32"/>
          <w:szCs w:val="32"/>
          <w:highlight w:val="none"/>
          <w:lang w:eastAsia="zh-CN"/>
        </w:rPr>
        <w:t>负责拟订全区能源发展规划，按规定权限审批、核准、审核能源投资项目，提出调整政府定价的能源产品价格的建议。</w:t>
      </w:r>
    </w:p>
    <w:p>
      <w:pPr>
        <w:widowControl w:val="0"/>
        <w:wordWrap/>
        <w:adjustRightInd/>
        <w:snapToGrid w:val="0"/>
        <w:spacing w:before="0" w:after="0" w:line="580" w:lineRule="exact"/>
        <w:ind w:left="0" w:leftChars="0" w:right="0" w:firstLine="640" w:firstLineChars="200"/>
        <w:jc w:val="both"/>
        <w:textAlignment w:val="auto"/>
        <w:outlineLvl w:val="9"/>
        <w:rPr>
          <w:rFonts w:hint="default"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（十三）</w:t>
      </w:r>
      <w:r>
        <w:rPr>
          <w:rFonts w:hint="default" w:ascii="仿宋" w:hAnsi="仿宋" w:eastAsia="仿宋" w:cs="仿宋"/>
          <w:color w:val="auto"/>
          <w:sz w:val="32"/>
          <w:szCs w:val="32"/>
          <w:highlight w:val="none"/>
          <w:lang w:eastAsia="zh-CN"/>
        </w:rPr>
        <w:t>推进实施可持续发展战略，推动生态文明建设，协调生态环境保护与修复、能源资源节约和综合利用等工作；提出健全生态保护补偿机制的政策措施，综合协调环保产业和清洁生产促进有关工作；提出全区能源消费控制目标、任务并组织实施。</w:t>
      </w:r>
    </w:p>
    <w:p>
      <w:pPr>
        <w:widowControl w:val="0"/>
        <w:wordWrap/>
        <w:adjustRightInd/>
        <w:snapToGrid w:val="0"/>
        <w:spacing w:before="0" w:after="0" w:line="580" w:lineRule="exact"/>
        <w:ind w:left="0" w:leftChars="0" w:right="0" w:firstLine="640" w:firstLineChars="200"/>
        <w:jc w:val="both"/>
        <w:textAlignment w:val="auto"/>
        <w:outlineLvl w:val="9"/>
        <w:rPr>
          <w:rFonts w:hint="default"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（十四）</w:t>
      </w:r>
      <w:r>
        <w:rPr>
          <w:rFonts w:hint="default" w:ascii="仿宋" w:hAnsi="仿宋" w:eastAsia="仿宋" w:cs="仿宋"/>
          <w:color w:val="auto"/>
          <w:sz w:val="32"/>
          <w:szCs w:val="32"/>
          <w:highlight w:val="none"/>
          <w:lang w:eastAsia="zh-CN"/>
        </w:rPr>
        <w:t>会同有关部门拟订推进全区经济建设与国防建设协调发展的规划和政策，协调有关重大问题；推动实施军民融合发展战略，组织编制国民经济动员规划，协调和组织实施国民经济动员有关工作。</w:t>
      </w:r>
    </w:p>
    <w:p>
      <w:pPr>
        <w:widowControl w:val="0"/>
        <w:wordWrap/>
        <w:adjustRightInd/>
        <w:snapToGrid w:val="0"/>
        <w:spacing w:before="0" w:after="0" w:line="580" w:lineRule="exact"/>
        <w:ind w:left="0" w:leftChars="0" w:right="0" w:firstLine="640" w:firstLineChars="200"/>
        <w:jc w:val="both"/>
        <w:textAlignment w:val="auto"/>
        <w:outlineLvl w:val="9"/>
        <w:rPr>
          <w:rFonts w:hint="default"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（十五）</w:t>
      </w:r>
      <w:r>
        <w:rPr>
          <w:rFonts w:hint="default" w:ascii="仿宋" w:hAnsi="仿宋" w:eastAsia="仿宋" w:cs="仿宋"/>
          <w:color w:val="auto"/>
          <w:sz w:val="32"/>
          <w:szCs w:val="32"/>
          <w:highlight w:val="none"/>
          <w:lang w:eastAsia="zh-CN"/>
        </w:rPr>
        <w:t>应用全市统一规范的公共资源交易平台，提出完善意见。</w:t>
      </w:r>
    </w:p>
    <w:p>
      <w:pPr>
        <w:widowControl w:val="0"/>
        <w:wordWrap/>
        <w:adjustRightInd/>
        <w:snapToGrid w:val="0"/>
        <w:spacing w:before="0" w:after="0" w:line="580" w:lineRule="exact"/>
        <w:ind w:left="0" w:leftChars="0" w:right="0" w:firstLine="640" w:firstLineChars="200"/>
        <w:jc w:val="both"/>
        <w:textAlignment w:val="auto"/>
        <w:outlineLvl w:val="9"/>
        <w:rPr>
          <w:rFonts w:hint="default"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（十六）</w:t>
      </w:r>
      <w:r>
        <w:rPr>
          <w:rFonts w:hint="default" w:ascii="仿宋" w:hAnsi="仿宋" w:eastAsia="仿宋" w:cs="仿宋"/>
          <w:color w:val="auto"/>
          <w:sz w:val="32"/>
          <w:szCs w:val="32"/>
          <w:highlight w:val="none"/>
          <w:lang w:eastAsia="zh-CN"/>
        </w:rPr>
        <w:t>承担平顶山市卫东区重点项目建设领导小组等有关具体工作；安排和申报国债利用项目；负责区政府出资的公共建设项目，负责区政府投资的大项目及重要基础设施项目的概算和设计审查；组织实施省发改委批准的特色商业区发展规划，依据平顶山市城市总体规划，协调项目单位按照规划要求进行建设并负责特色商业区管理工作。</w:t>
      </w:r>
    </w:p>
    <w:p>
      <w:pPr>
        <w:widowControl w:val="0"/>
        <w:wordWrap/>
        <w:adjustRightInd/>
        <w:snapToGrid w:val="0"/>
        <w:spacing w:before="0" w:after="0" w:line="580" w:lineRule="exact"/>
        <w:ind w:left="0" w:leftChars="0" w:right="0" w:firstLine="640" w:firstLineChars="200"/>
        <w:jc w:val="both"/>
        <w:textAlignment w:val="auto"/>
        <w:outlineLvl w:val="9"/>
        <w:rPr>
          <w:rFonts w:hint="default"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（十七）</w:t>
      </w:r>
      <w:r>
        <w:rPr>
          <w:rFonts w:hint="default" w:ascii="仿宋" w:hAnsi="仿宋" w:eastAsia="仿宋" w:cs="仿宋"/>
          <w:color w:val="auto"/>
          <w:sz w:val="32"/>
          <w:szCs w:val="32"/>
          <w:highlight w:val="none"/>
          <w:lang w:eastAsia="zh-CN"/>
        </w:rPr>
        <w:t>贯彻落实相关法律法规、方针政策，依法履行食品工业发展、节能监察监测和节能执法、价格认证、电力行业执法、粉煤灰综合开发利用等监督指导、行政管理职能。</w:t>
      </w:r>
    </w:p>
    <w:p>
      <w:pPr>
        <w:widowControl w:val="0"/>
        <w:wordWrap/>
        <w:adjustRightInd/>
        <w:snapToGrid w:val="0"/>
        <w:spacing w:before="0" w:after="0" w:line="580" w:lineRule="exact"/>
        <w:ind w:left="0" w:leftChars="0" w:right="0" w:firstLine="640" w:firstLineChars="200"/>
        <w:jc w:val="both"/>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（十八）</w:t>
      </w:r>
      <w:r>
        <w:rPr>
          <w:rFonts w:hint="default" w:ascii="仿宋" w:hAnsi="仿宋" w:eastAsia="仿宋" w:cs="仿宋"/>
          <w:color w:val="auto"/>
          <w:sz w:val="32"/>
          <w:szCs w:val="32"/>
          <w:highlight w:val="none"/>
          <w:lang w:eastAsia="zh-CN"/>
        </w:rPr>
        <w:t>完成区委、区政府交办的其他任务。</w:t>
      </w:r>
    </w:p>
    <w:p>
      <w:pPr>
        <w:snapToGrid w:val="0"/>
        <w:spacing w:line="560" w:lineRule="exact"/>
        <w:rPr>
          <w:rFonts w:hint="eastAsia" w:ascii="仿宋" w:hAnsi="仿宋" w:eastAsia="仿宋" w:cs="仿宋"/>
          <w:sz w:val="32"/>
          <w:szCs w:val="32"/>
          <w:highlight w:val="gree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宋体" w:hAnsi="宋体" w:eastAsia="宋体" w:cs="宋体"/>
          <w:b/>
          <w:bCs/>
          <w:sz w:val="32"/>
          <w:szCs w:val="32"/>
        </w:rPr>
        <w:t xml:space="preserve"> 二、</w:t>
      </w:r>
      <w:r>
        <w:rPr>
          <w:rFonts w:hint="eastAsia" w:ascii="宋体" w:hAnsi="宋体" w:eastAsia="宋体" w:cs="宋体"/>
          <w:b/>
          <w:bCs/>
          <w:kern w:val="0"/>
          <w:sz w:val="32"/>
          <w:szCs w:val="32"/>
          <w:highlight w:val="none"/>
        </w:rPr>
        <w:t>平顶山市卫东区</w:t>
      </w:r>
      <w:r>
        <w:rPr>
          <w:rFonts w:hint="eastAsia" w:ascii="宋体" w:hAnsi="宋体" w:eastAsia="宋体" w:cs="宋体"/>
          <w:b/>
          <w:bCs/>
          <w:sz w:val="32"/>
          <w:szCs w:val="32"/>
          <w:lang w:val="en-US" w:eastAsia="zh-CN"/>
        </w:rPr>
        <w:t>发展和改革委员会</w:t>
      </w:r>
      <w:r>
        <w:rPr>
          <w:rFonts w:hint="eastAsia" w:ascii="宋体" w:hAnsi="宋体" w:eastAsia="宋体" w:cs="宋体"/>
          <w:b/>
          <w:bCs/>
          <w:sz w:val="32"/>
          <w:szCs w:val="32"/>
        </w:rPr>
        <w:t>预算单位构成</w:t>
      </w:r>
    </w:p>
    <w:p>
      <w:pPr>
        <w:widowControl w:val="0"/>
        <w:wordWrap/>
        <w:adjustRightInd/>
        <w:snapToGrid w:val="0"/>
        <w:spacing w:line="560" w:lineRule="exact"/>
        <w:ind w:firstLine="640" w:firstLineChars="200"/>
        <w:textAlignment w:val="auto"/>
        <w:rPr>
          <w:rFonts w:hint="eastAsia" w:ascii="宋体" w:hAnsi="宋体" w:cs="宋体"/>
          <w:b/>
          <w:bCs/>
          <w:color w:val="auto"/>
          <w:kern w:val="0"/>
          <w:sz w:val="32"/>
          <w:szCs w:val="32"/>
          <w:highlight w:val="none"/>
          <w:lang w:eastAsia="zh-CN"/>
        </w:rPr>
      </w:pPr>
      <w:r>
        <w:rPr>
          <w:rFonts w:hint="eastAsia" w:ascii="仿宋" w:hAnsi="仿宋" w:eastAsia="仿宋" w:cs="仿宋"/>
          <w:color w:val="auto"/>
          <w:kern w:val="2"/>
          <w:sz w:val="32"/>
          <w:szCs w:val="32"/>
          <w:highlight w:val="none"/>
          <w:lang w:val="zh-TW" w:eastAsia="zh-TW" w:bidi="ar-SA"/>
        </w:rPr>
        <w:t>平顶山市卫东区</w:t>
      </w:r>
      <w:r>
        <w:rPr>
          <w:rFonts w:hint="eastAsia" w:ascii="仿宋" w:hAnsi="仿宋" w:eastAsia="仿宋" w:cs="仿宋"/>
          <w:color w:val="auto"/>
          <w:kern w:val="2"/>
          <w:sz w:val="32"/>
          <w:szCs w:val="32"/>
          <w:highlight w:val="none"/>
          <w:lang w:val="en-US" w:eastAsia="zh-CN" w:bidi="ar-SA"/>
        </w:rPr>
        <w:t>发改委</w:t>
      </w:r>
      <w:r>
        <w:rPr>
          <w:rFonts w:hint="eastAsia" w:ascii="仿宋" w:hAnsi="仿宋" w:eastAsia="仿宋" w:cs="仿宋"/>
          <w:color w:val="auto"/>
          <w:kern w:val="2"/>
          <w:sz w:val="32"/>
          <w:szCs w:val="32"/>
          <w:highlight w:val="none"/>
          <w:lang w:val="zh-TW" w:eastAsia="zh-TW" w:bidi="ar-SA"/>
        </w:rPr>
        <w:t>202</w:t>
      </w:r>
      <w:r>
        <w:rPr>
          <w:rFonts w:hint="eastAsia" w:ascii="仿宋" w:hAnsi="仿宋" w:eastAsia="仿宋" w:cs="仿宋"/>
          <w:color w:val="auto"/>
          <w:kern w:val="2"/>
          <w:sz w:val="32"/>
          <w:szCs w:val="32"/>
          <w:highlight w:val="none"/>
          <w:lang w:val="en-US" w:eastAsia="zh-CN" w:bidi="ar-SA"/>
        </w:rPr>
        <w:t>1</w:t>
      </w:r>
      <w:r>
        <w:rPr>
          <w:rFonts w:hint="eastAsia" w:ascii="仿宋" w:hAnsi="仿宋" w:eastAsia="仿宋" w:cs="仿宋"/>
          <w:color w:val="auto"/>
          <w:kern w:val="2"/>
          <w:sz w:val="32"/>
          <w:szCs w:val="32"/>
          <w:highlight w:val="none"/>
          <w:lang w:val="zh-TW" w:eastAsia="zh-TW" w:bidi="ar-SA"/>
        </w:rPr>
        <w:t>年度部门预算</w:t>
      </w:r>
      <w:r>
        <w:rPr>
          <w:rFonts w:hint="eastAsia" w:ascii="仿宋" w:hAnsi="仿宋" w:eastAsia="仿宋" w:cs="仿宋"/>
          <w:color w:val="auto"/>
          <w:kern w:val="2"/>
          <w:sz w:val="32"/>
          <w:szCs w:val="32"/>
          <w:highlight w:val="none"/>
          <w:lang w:val="en-US" w:eastAsia="zh-CN" w:bidi="ar-SA"/>
        </w:rPr>
        <w:t>包含本级预算，无所属单位预算。纳入发改委 2021年度部门预算编制范围的单位包括：发改委本级。</w:t>
      </w:r>
    </w:p>
    <w:p>
      <w:pPr>
        <w:numPr>
          <w:numId w:val="0"/>
        </w:numPr>
        <w:jc w:val="center"/>
        <w:rPr>
          <w:rFonts w:hint="eastAsia" w:ascii="宋体" w:hAnsi="宋体" w:cs="宋体"/>
          <w:b/>
          <w:bCs/>
          <w:color w:val="auto"/>
          <w:kern w:val="0"/>
          <w:sz w:val="32"/>
          <w:szCs w:val="32"/>
          <w:highlight w:val="none"/>
          <w:lang w:eastAsia="zh-CN"/>
        </w:rPr>
      </w:pPr>
    </w:p>
    <w:p>
      <w:pPr>
        <w:numPr>
          <w:numId w:val="0"/>
        </w:numPr>
        <w:jc w:val="center"/>
        <w:rPr>
          <w:rFonts w:hint="eastAsia" w:ascii="宋体" w:hAnsi="宋体" w:cs="宋体"/>
          <w:b/>
          <w:bCs/>
          <w:kern w:val="0"/>
          <w:sz w:val="32"/>
          <w:szCs w:val="32"/>
          <w:highlight w:val="none"/>
        </w:rPr>
      </w:pPr>
      <w:r>
        <w:rPr>
          <w:rFonts w:hint="eastAsia" w:ascii="宋体" w:hAnsi="宋体" w:cs="宋体"/>
          <w:b/>
          <w:bCs/>
          <w:color w:val="auto"/>
          <w:kern w:val="0"/>
          <w:sz w:val="32"/>
          <w:szCs w:val="32"/>
          <w:highlight w:val="none"/>
          <w:lang w:eastAsia="zh-CN"/>
        </w:rPr>
        <w:t>第二部分</w:t>
      </w:r>
    </w:p>
    <w:p>
      <w:pPr>
        <w:numPr>
          <w:numId w:val="0"/>
        </w:numPr>
        <w:jc w:val="center"/>
        <w:rPr>
          <w:rFonts w:hint="eastAsia" w:ascii="宋体" w:hAnsi="宋体" w:cs="宋体"/>
          <w:b/>
          <w:bCs/>
          <w:kern w:val="0"/>
          <w:sz w:val="32"/>
          <w:szCs w:val="32"/>
          <w:highlight w:val="none"/>
        </w:rPr>
      </w:pPr>
      <w:r>
        <w:rPr>
          <w:rFonts w:hint="eastAsia" w:ascii="宋体" w:hAnsi="宋体" w:cs="宋体"/>
          <w:b/>
          <w:bCs/>
          <w:kern w:val="0"/>
          <w:sz w:val="32"/>
          <w:szCs w:val="32"/>
          <w:highlight w:val="none"/>
          <w:lang w:eastAsia="zh-CN"/>
        </w:rPr>
        <w:t>平顶山市</w:t>
      </w:r>
      <w:r>
        <w:rPr>
          <w:rFonts w:hint="eastAsia" w:ascii="宋体" w:hAnsi="宋体" w:cs="宋体"/>
          <w:b/>
          <w:bCs/>
          <w:kern w:val="0"/>
          <w:sz w:val="32"/>
          <w:szCs w:val="32"/>
          <w:highlight w:val="none"/>
        </w:rPr>
        <w:t>卫东区</w:t>
      </w:r>
      <w:r>
        <w:rPr>
          <w:rFonts w:hint="eastAsia" w:ascii="宋体" w:hAnsi="宋体" w:cs="宋体"/>
          <w:b/>
          <w:bCs/>
          <w:kern w:val="0"/>
          <w:sz w:val="32"/>
          <w:szCs w:val="32"/>
          <w:highlight w:val="none"/>
          <w:lang w:val="en-US" w:eastAsia="zh-CN"/>
        </w:rPr>
        <w:t>发改委</w:t>
      </w:r>
      <w:r>
        <w:rPr>
          <w:rFonts w:hint="eastAsia" w:ascii="宋体" w:hAnsi="宋体" w:cs="宋体"/>
          <w:b/>
          <w:bCs/>
          <w:kern w:val="0"/>
          <w:sz w:val="32"/>
          <w:szCs w:val="32"/>
          <w:highlight w:val="none"/>
        </w:rPr>
        <w:t>2021年部门预算情况说明</w:t>
      </w:r>
    </w:p>
    <w:p>
      <w:pPr>
        <w:numPr>
          <w:numId w:val="0"/>
        </w:numPr>
        <w:ind w:firstLine="643" w:firstLineChars="200"/>
        <w:jc w:val="both"/>
        <w:rPr>
          <w:rFonts w:hint="eastAsia" w:ascii="宋体" w:hAnsi="宋体" w:cs="宋体"/>
          <w:b/>
          <w:bCs/>
          <w:kern w:val="0"/>
          <w:sz w:val="32"/>
          <w:szCs w:val="32"/>
          <w:highlight w:val="none"/>
        </w:rPr>
      </w:pPr>
    </w:p>
    <w:p>
      <w:pPr>
        <w:spacing w:line="560" w:lineRule="exact"/>
        <w:ind w:firstLine="643" w:firstLineChars="200"/>
        <w:rPr>
          <w:rFonts w:hint="eastAsia" w:ascii="仿宋" w:hAnsi="仿宋" w:eastAsia="仿宋" w:cs="仿宋"/>
          <w:sz w:val="32"/>
          <w:szCs w:val="32"/>
        </w:rPr>
      </w:pPr>
      <w:r>
        <w:rPr>
          <w:rFonts w:hint="eastAsia" w:ascii="宋体" w:hAnsi="宋体" w:eastAsia="宋体" w:cs="宋体"/>
          <w:b/>
          <w:bCs w:val="0"/>
          <w:kern w:val="0"/>
          <w:sz w:val="32"/>
          <w:szCs w:val="32"/>
          <w:highlight w:val="none"/>
        </w:rPr>
        <w:t>一、收入支出预算总体情况说明</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textAlignment w:val="auto"/>
        <w:rPr>
          <w:rFonts w:hint="eastAsia" w:ascii="仿宋" w:hAnsi="仿宋" w:eastAsia="仿宋" w:cs="仿宋"/>
          <w:sz w:val="32"/>
          <w:szCs w:val="32"/>
          <w:highlight w:val="yellow"/>
        </w:rPr>
      </w:pPr>
      <w:r>
        <w:rPr>
          <w:rFonts w:hint="eastAsia" w:ascii="仿宋" w:hAnsi="仿宋" w:eastAsia="仿宋" w:cs="仿宋"/>
          <w:sz w:val="32"/>
          <w:szCs w:val="32"/>
        </w:rPr>
        <w:t xml:space="preserve">    2021年收、支总计均为</w:t>
      </w:r>
      <w:r>
        <w:rPr>
          <w:rFonts w:hint="eastAsia" w:ascii="仿宋" w:hAnsi="仿宋" w:eastAsia="仿宋" w:cs="仿宋"/>
          <w:sz w:val="32"/>
          <w:szCs w:val="32"/>
        </w:rPr>
        <w:tab/>
      </w:r>
      <w:r>
        <w:rPr>
          <w:rFonts w:hint="eastAsia" w:ascii="仿宋" w:hAnsi="仿宋" w:eastAsia="仿宋" w:cs="仿宋"/>
          <w:sz w:val="32"/>
          <w:szCs w:val="32"/>
          <w:lang w:val="en-US" w:eastAsia="zh-CN"/>
        </w:rPr>
        <w:t>465</w:t>
      </w:r>
      <w:r>
        <w:rPr>
          <w:rFonts w:hint="eastAsia" w:ascii="仿宋" w:hAnsi="仿宋" w:eastAsia="仿宋" w:cs="仿宋"/>
          <w:sz w:val="32"/>
          <w:szCs w:val="32"/>
        </w:rPr>
        <w:t>.</w:t>
      </w:r>
      <w:r>
        <w:rPr>
          <w:rFonts w:hint="eastAsia" w:ascii="仿宋" w:hAnsi="仿宋" w:eastAsia="仿宋" w:cs="仿宋"/>
          <w:sz w:val="32"/>
          <w:szCs w:val="32"/>
          <w:lang w:val="en-US" w:eastAsia="zh-CN"/>
        </w:rPr>
        <w:t>39</w:t>
      </w:r>
      <w:r>
        <w:rPr>
          <w:rFonts w:hint="eastAsia" w:ascii="仿宋" w:hAnsi="仿宋" w:eastAsia="仿宋" w:cs="仿宋"/>
          <w:sz w:val="32"/>
          <w:szCs w:val="32"/>
        </w:rPr>
        <w:t>万元,与上年相比，收、支总计均</w:t>
      </w:r>
      <w:r>
        <w:rPr>
          <w:rFonts w:hint="eastAsia" w:ascii="仿宋" w:hAnsi="仿宋" w:eastAsia="仿宋" w:cs="仿宋"/>
          <w:sz w:val="32"/>
          <w:szCs w:val="32"/>
          <w:highlight w:val="none"/>
        </w:rPr>
        <w:t>增加</w:t>
      </w:r>
      <w:r>
        <w:rPr>
          <w:rFonts w:hint="eastAsia" w:ascii="仿宋" w:hAnsi="仿宋" w:eastAsia="仿宋" w:cs="仿宋"/>
          <w:sz w:val="32"/>
          <w:szCs w:val="32"/>
          <w:highlight w:val="none"/>
          <w:lang w:val="en-US" w:eastAsia="zh-CN"/>
        </w:rPr>
        <w:t>6.84</w:t>
      </w:r>
      <w:r>
        <w:rPr>
          <w:rFonts w:hint="eastAsia" w:ascii="仿宋" w:hAnsi="仿宋" w:eastAsia="仿宋" w:cs="仿宋"/>
          <w:sz w:val="32"/>
          <w:szCs w:val="32"/>
          <w:highlight w:val="none"/>
        </w:rPr>
        <w:t>万元, 增长</w:t>
      </w:r>
      <w:r>
        <w:rPr>
          <w:rFonts w:hint="eastAsia" w:ascii="仿宋" w:hAnsi="仿宋" w:eastAsia="仿宋" w:cs="仿宋"/>
          <w:sz w:val="32"/>
          <w:szCs w:val="32"/>
          <w:highlight w:val="none"/>
          <w:lang w:val="en-US" w:eastAsia="zh-CN"/>
        </w:rPr>
        <w:t>1.49</w:t>
      </w:r>
      <w:r>
        <w:rPr>
          <w:rFonts w:hint="eastAsia" w:ascii="仿宋" w:hAnsi="仿宋" w:eastAsia="仿宋" w:cs="仿宋"/>
          <w:sz w:val="32"/>
          <w:szCs w:val="32"/>
          <w:highlight w:val="none"/>
        </w:rPr>
        <w:t>%</w:t>
      </w:r>
      <w:r>
        <w:rPr>
          <w:rFonts w:hint="eastAsia" w:ascii="仿宋" w:hAnsi="仿宋" w:eastAsia="仿宋" w:cs="仿宋"/>
          <w:sz w:val="32"/>
          <w:szCs w:val="32"/>
        </w:rPr>
        <w:t>。主要原因：</w:t>
      </w:r>
      <w:r>
        <w:rPr>
          <w:rFonts w:hint="eastAsia" w:ascii="仿宋" w:hAnsi="仿宋" w:eastAsia="仿宋" w:cs="仿宋"/>
          <w:sz w:val="32"/>
          <w:szCs w:val="32"/>
          <w:lang w:eastAsia="zh-CN"/>
        </w:rPr>
        <w:t>社会保险基数调整</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ind w:firstLine="643" w:firstLineChars="200"/>
        <w:rPr>
          <w:rFonts w:hint="eastAsia" w:ascii="仿宋" w:hAnsi="仿宋" w:eastAsia="仿宋" w:cs="仿宋"/>
          <w:sz w:val="32"/>
          <w:szCs w:val="32"/>
        </w:rPr>
      </w:pPr>
      <w:r>
        <w:rPr>
          <w:rFonts w:hint="eastAsia" w:ascii="宋体" w:hAnsi="宋体" w:eastAsia="宋体" w:cs="宋体"/>
          <w:b/>
          <w:bCs w:val="0"/>
          <w:kern w:val="0"/>
          <w:sz w:val="32"/>
          <w:szCs w:val="32"/>
        </w:rPr>
        <w:t>二、收入预算总体情况说明</w:t>
      </w:r>
      <w:r>
        <w:rPr>
          <w:rFonts w:hint="eastAsia" w:ascii="宋体" w:hAnsi="宋体" w:eastAsia="宋体" w:cs="宋体"/>
          <w:b/>
          <w:bCs w:val="0"/>
          <w:kern w:val="0"/>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2021年收入预算</w:t>
      </w:r>
      <w:r>
        <w:rPr>
          <w:rFonts w:hint="eastAsia" w:ascii="仿宋" w:hAnsi="仿宋" w:eastAsia="仿宋" w:cs="仿宋"/>
          <w:sz w:val="32"/>
          <w:szCs w:val="32"/>
          <w:lang w:val="en-US" w:eastAsia="zh-CN"/>
        </w:rPr>
        <w:t>465.39</w:t>
      </w:r>
      <w:r>
        <w:rPr>
          <w:rFonts w:hint="eastAsia" w:ascii="仿宋" w:hAnsi="仿宋" w:eastAsia="仿宋" w:cs="仿宋"/>
          <w:sz w:val="32"/>
          <w:szCs w:val="32"/>
        </w:rPr>
        <w:t>万元，其中：一般公共预算</w:t>
      </w:r>
      <w:r>
        <w:rPr>
          <w:rFonts w:hint="eastAsia" w:ascii="仿宋" w:hAnsi="仿宋" w:eastAsia="仿宋" w:cs="仿宋"/>
          <w:sz w:val="32"/>
          <w:szCs w:val="32"/>
          <w:lang w:val="en-US" w:eastAsia="zh-CN"/>
        </w:rPr>
        <w:t>465.39</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宋体" w:hAnsi="宋体" w:eastAsia="宋体" w:cs="宋体"/>
          <w:b/>
          <w:bCs w:val="0"/>
          <w:kern w:val="0"/>
          <w:sz w:val="32"/>
          <w:szCs w:val="32"/>
          <w:highlight w:val="none"/>
        </w:rPr>
        <w:t xml:space="preserve"> </w:t>
      </w:r>
      <w:r>
        <w:rPr>
          <w:rFonts w:hint="eastAsia" w:ascii="宋体" w:hAnsi="宋体" w:eastAsia="宋体" w:cs="宋体"/>
          <w:b/>
          <w:bCs w:val="0"/>
          <w:kern w:val="0"/>
          <w:sz w:val="32"/>
          <w:szCs w:val="32"/>
        </w:rPr>
        <w:t>三、支出预算总体情况说明</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2021年支出</w:t>
      </w:r>
      <w:r>
        <w:rPr>
          <w:rFonts w:hint="eastAsia" w:ascii="仿宋" w:hAnsi="仿宋" w:eastAsia="仿宋" w:cs="仿宋"/>
          <w:sz w:val="32"/>
          <w:szCs w:val="32"/>
          <w:lang w:val="en-US" w:eastAsia="zh-CN"/>
        </w:rPr>
        <w:t>预算465.39</w:t>
      </w:r>
      <w:r>
        <w:rPr>
          <w:rFonts w:hint="eastAsia" w:ascii="仿宋" w:hAnsi="仿宋" w:eastAsia="仿宋" w:cs="仿宋"/>
          <w:sz w:val="32"/>
          <w:szCs w:val="32"/>
        </w:rPr>
        <w:t>万元，</w:t>
      </w:r>
      <w:r>
        <w:rPr>
          <w:rFonts w:hint="eastAsia" w:ascii="仿宋" w:hAnsi="仿宋" w:eastAsia="仿宋" w:cs="仿宋"/>
          <w:sz w:val="32"/>
          <w:szCs w:val="32"/>
          <w:highlight w:val="none"/>
        </w:rPr>
        <w:t>按用途划分为：</w:t>
      </w:r>
      <w:r>
        <w:rPr>
          <w:rFonts w:hint="eastAsia" w:ascii="仿宋" w:hAnsi="仿宋" w:eastAsia="仿宋" w:cs="仿宋"/>
          <w:color w:val="auto"/>
          <w:sz w:val="32"/>
          <w:szCs w:val="32"/>
          <w:highlight w:val="none"/>
        </w:rPr>
        <w:t>基本</w:t>
      </w:r>
      <w:r>
        <w:rPr>
          <w:rFonts w:hint="eastAsia" w:ascii="仿宋" w:hAnsi="仿宋" w:eastAsia="仿宋" w:cs="仿宋"/>
          <w:color w:val="auto"/>
          <w:sz w:val="32"/>
          <w:szCs w:val="32"/>
        </w:rPr>
        <w:t>支出</w:t>
      </w:r>
      <w:r>
        <w:rPr>
          <w:rFonts w:hint="eastAsia" w:ascii="仿宋" w:hAnsi="仿宋" w:eastAsia="仿宋" w:cs="仿宋"/>
          <w:color w:val="auto"/>
          <w:sz w:val="32"/>
          <w:szCs w:val="32"/>
          <w:lang w:val="en-US" w:eastAsia="zh-CN"/>
        </w:rPr>
        <w:t>464.21</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99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5%；项目支出</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1.17</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5 % 。</w:t>
      </w:r>
    </w:p>
    <w:p>
      <w:pPr>
        <w:widowControl w:val="0"/>
        <w:wordWrap/>
        <w:adjustRightInd/>
        <w:snapToGrid w:val="0"/>
        <w:spacing w:line="560" w:lineRule="exact"/>
        <w:ind w:firstLine="643" w:firstLineChars="200"/>
        <w:textAlignment w:val="auto"/>
        <w:rPr>
          <w:rFonts w:hint="eastAsia" w:ascii="仿宋" w:hAnsi="仿宋" w:eastAsia="仿宋" w:cs="仿宋"/>
          <w:sz w:val="32"/>
          <w:szCs w:val="32"/>
          <w:highlight w:val="none"/>
        </w:rPr>
      </w:pPr>
      <w:r>
        <w:rPr>
          <w:rFonts w:hint="eastAsia" w:ascii="宋体" w:hAnsi="宋体" w:eastAsia="宋体" w:cs="宋体"/>
          <w:b/>
          <w:bCs w:val="0"/>
          <w:kern w:val="0"/>
          <w:sz w:val="32"/>
          <w:szCs w:val="32"/>
          <w:highlight w:val="none"/>
        </w:rPr>
        <w:t>四、财政拨款收入支出预算总体情况说明</w:t>
      </w:r>
      <w:r>
        <w:rPr>
          <w:rFonts w:hint="eastAsia" w:ascii="宋体" w:hAnsi="宋体" w:eastAsia="宋体" w:cs="宋体"/>
          <w:b/>
          <w:bCs w:val="0"/>
          <w:kern w:val="0"/>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2021年一般公共预算收支预算</w:t>
      </w:r>
      <w:r>
        <w:rPr>
          <w:rFonts w:hint="eastAsia" w:ascii="仿宋" w:hAnsi="仿宋" w:eastAsia="仿宋" w:cs="仿宋"/>
          <w:sz w:val="32"/>
          <w:szCs w:val="32"/>
          <w:lang w:val="en-US" w:eastAsia="zh-CN"/>
        </w:rPr>
        <w:t>465.39</w:t>
      </w:r>
      <w:r>
        <w:rPr>
          <w:rFonts w:hint="eastAsia" w:ascii="仿宋" w:hAnsi="仿宋" w:eastAsia="仿宋" w:cs="仿宋"/>
          <w:sz w:val="32"/>
          <w:szCs w:val="32"/>
        </w:rPr>
        <w:t>万元，与上年相比，一般公共预</w:t>
      </w:r>
      <w:r>
        <w:rPr>
          <w:rFonts w:hint="eastAsia" w:ascii="仿宋" w:hAnsi="仿宋" w:eastAsia="仿宋" w:cs="仿宋"/>
          <w:sz w:val="32"/>
          <w:szCs w:val="32"/>
          <w:highlight w:val="none"/>
        </w:rPr>
        <w:t>算收支预算增加</w:t>
      </w:r>
      <w:r>
        <w:rPr>
          <w:rFonts w:hint="eastAsia" w:ascii="仿宋" w:hAnsi="仿宋" w:eastAsia="仿宋" w:cs="仿宋"/>
          <w:sz w:val="32"/>
          <w:szCs w:val="32"/>
          <w:highlight w:val="none"/>
          <w:lang w:val="en-US" w:eastAsia="zh-CN"/>
        </w:rPr>
        <w:t>6.84</w:t>
      </w:r>
      <w:r>
        <w:rPr>
          <w:rFonts w:hint="eastAsia" w:ascii="仿宋" w:hAnsi="仿宋" w:eastAsia="仿宋" w:cs="仿宋"/>
          <w:sz w:val="32"/>
          <w:szCs w:val="32"/>
          <w:highlight w:val="none"/>
        </w:rPr>
        <w:t>万元，增长</w:t>
      </w:r>
      <w:r>
        <w:rPr>
          <w:rFonts w:hint="eastAsia" w:ascii="仿宋" w:hAnsi="仿宋" w:eastAsia="仿宋" w:cs="仿宋"/>
          <w:sz w:val="32"/>
          <w:szCs w:val="32"/>
          <w:highlight w:val="none"/>
        </w:rPr>
        <w:tab/>
      </w:r>
      <w:r>
        <w:rPr>
          <w:rFonts w:hint="eastAsia" w:ascii="仿宋" w:hAnsi="仿宋" w:eastAsia="仿宋" w:cs="仿宋"/>
          <w:sz w:val="32"/>
          <w:szCs w:val="32"/>
          <w:highlight w:val="none"/>
          <w:lang w:val="en-US" w:eastAsia="zh-CN"/>
        </w:rPr>
        <w:t>1.49</w:t>
      </w:r>
      <w:r>
        <w:rPr>
          <w:rFonts w:hint="eastAsia" w:ascii="仿宋" w:hAnsi="仿宋" w:eastAsia="仿宋" w:cs="仿宋"/>
          <w:sz w:val="32"/>
          <w:szCs w:val="32"/>
          <w:highlight w:val="none"/>
        </w:rPr>
        <w:tab/>
      </w:r>
      <w:r>
        <w:rPr>
          <w:rFonts w:hint="eastAsia" w:ascii="仿宋" w:hAnsi="仿宋" w:eastAsia="仿宋" w:cs="仿宋"/>
          <w:sz w:val="32"/>
          <w:szCs w:val="32"/>
          <w:highlight w:val="none"/>
        </w:rPr>
        <w:t>%,主要原因：</w:t>
      </w:r>
      <w:r>
        <w:rPr>
          <w:rFonts w:hint="eastAsia" w:ascii="仿宋" w:hAnsi="仿宋" w:eastAsia="仿宋" w:cs="仿宋"/>
          <w:sz w:val="32"/>
          <w:szCs w:val="32"/>
          <w:lang w:eastAsia="zh-CN"/>
        </w:rPr>
        <w:t>社会保险基数调整</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ind w:firstLine="643" w:firstLineChars="200"/>
        <w:textAlignment w:val="auto"/>
        <w:rPr>
          <w:rFonts w:hint="eastAsia" w:ascii="仿宋" w:hAnsi="仿宋" w:eastAsia="仿宋" w:cs="仿宋"/>
          <w:sz w:val="32"/>
          <w:szCs w:val="32"/>
        </w:rPr>
      </w:pPr>
      <w:r>
        <w:rPr>
          <w:rFonts w:hint="eastAsia" w:ascii="宋体" w:hAnsi="宋体" w:eastAsia="宋体" w:cs="宋体"/>
          <w:b/>
          <w:bCs w:val="0"/>
          <w:kern w:val="0"/>
          <w:sz w:val="32"/>
          <w:szCs w:val="32"/>
          <w:highlight w:val="none"/>
        </w:rPr>
        <w:t>五、一般公共预算支出预算情况说明</w:t>
      </w:r>
      <w:r>
        <w:rPr>
          <w:rFonts w:hint="eastAsia" w:ascii="宋体" w:hAnsi="宋体" w:eastAsia="宋体" w:cs="宋体"/>
          <w:b/>
          <w:bCs w:val="0"/>
          <w:kern w:val="0"/>
          <w:sz w:val="32"/>
          <w:szCs w:val="32"/>
          <w:highlight w:val="none"/>
        </w:rPr>
        <w:tab/>
      </w:r>
      <w:r>
        <w:rPr>
          <w:rFonts w:hint="eastAsia" w:ascii="宋体" w:hAnsi="宋体" w:eastAsia="宋体" w:cs="宋体"/>
          <w:b/>
          <w:bCs w:val="0"/>
          <w:kern w:val="0"/>
          <w:sz w:val="32"/>
          <w:szCs w:val="32"/>
          <w:highlight w:val="none"/>
        </w:rPr>
        <w:tab/>
      </w:r>
      <w:r>
        <w:rPr>
          <w:rFonts w:hint="eastAsia" w:ascii="宋体" w:hAnsi="宋体" w:eastAsia="宋体" w:cs="宋体"/>
          <w:b/>
          <w:bCs w:val="0"/>
          <w:kern w:val="0"/>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textAlignment w:val="auto"/>
        <w:rPr>
          <w:rFonts w:hint="eastAsia" w:ascii="仿宋_GB2312" w:hAnsi="宋体" w:eastAsia="仿宋_GB2312"/>
          <w:kern w:val="0"/>
          <w:sz w:val="32"/>
        </w:rPr>
      </w:pPr>
      <w:r>
        <w:rPr>
          <w:rFonts w:hint="eastAsia" w:ascii="仿宋" w:hAnsi="仿宋" w:eastAsia="仿宋" w:cs="仿宋"/>
          <w:sz w:val="32"/>
          <w:szCs w:val="32"/>
        </w:rPr>
        <w:t xml:space="preserve">    2021年一般公共预算支出年初预算为</w:t>
      </w:r>
      <w:r>
        <w:rPr>
          <w:rFonts w:hint="eastAsia" w:ascii="仿宋" w:hAnsi="仿宋" w:eastAsia="仿宋" w:cs="仿宋"/>
          <w:sz w:val="32"/>
          <w:szCs w:val="32"/>
          <w:lang w:val="en-US" w:eastAsia="zh-CN"/>
        </w:rPr>
        <w:t>465.39</w:t>
      </w:r>
      <w:r>
        <w:rPr>
          <w:rFonts w:hint="eastAsia" w:ascii="仿宋" w:hAnsi="仿宋" w:eastAsia="仿宋" w:cs="仿宋"/>
          <w:sz w:val="32"/>
          <w:szCs w:val="32"/>
        </w:rPr>
        <w:t>万元。主要用于以下方面</w:t>
      </w:r>
      <w:r>
        <w:rPr>
          <w:rFonts w:hint="eastAsia" w:ascii="仿宋" w:hAnsi="仿宋" w:eastAsia="仿宋" w:cs="仿宋"/>
          <w:sz w:val="32"/>
          <w:szCs w:val="32"/>
          <w:highlight w:val="none"/>
        </w:rPr>
        <w:t>：</w:t>
      </w:r>
      <w:r>
        <w:rPr>
          <w:rFonts w:hint="eastAsia" w:ascii="仿宋_GB2312" w:hAnsi="宋体" w:eastAsia="仿宋_GB2312"/>
          <w:kern w:val="0"/>
          <w:sz w:val="32"/>
        </w:rPr>
        <w:t>一般公共服务（类）支出</w:t>
      </w:r>
      <w:r>
        <w:rPr>
          <w:rFonts w:hint="eastAsia" w:ascii="仿宋_GB2312" w:hAnsi="宋体" w:eastAsia="仿宋_GB2312"/>
          <w:kern w:val="0"/>
          <w:sz w:val="32"/>
          <w:lang w:val="en-US" w:eastAsia="zh-CN"/>
        </w:rPr>
        <w:t>358</w:t>
      </w:r>
      <w:r>
        <w:rPr>
          <w:rFonts w:hint="eastAsia" w:ascii="仿宋_GB2312" w:hAnsi="宋体" w:eastAsia="仿宋_GB2312"/>
          <w:kern w:val="0"/>
          <w:sz w:val="32"/>
        </w:rPr>
        <w:t>.</w:t>
      </w:r>
      <w:r>
        <w:rPr>
          <w:rFonts w:hint="eastAsia" w:ascii="仿宋_GB2312" w:hAnsi="宋体" w:eastAsia="仿宋_GB2312"/>
          <w:kern w:val="0"/>
          <w:sz w:val="32"/>
          <w:lang w:val="en-US" w:eastAsia="zh-CN"/>
        </w:rPr>
        <w:t>38</w:t>
      </w:r>
      <w:r>
        <w:rPr>
          <w:rFonts w:hint="eastAsia" w:ascii="仿宋_GB2312" w:hAnsi="宋体" w:eastAsia="仿宋_GB2312"/>
          <w:kern w:val="0"/>
          <w:sz w:val="32"/>
        </w:rPr>
        <w:t>万元，占</w:t>
      </w:r>
      <w:r>
        <w:rPr>
          <w:rFonts w:hint="eastAsia" w:ascii="仿宋_GB2312" w:hAnsi="宋体" w:eastAsia="仿宋_GB2312"/>
          <w:kern w:val="0"/>
          <w:sz w:val="32"/>
          <w:lang w:val="en-US" w:eastAsia="zh-CN"/>
        </w:rPr>
        <w:t>77.01</w:t>
      </w:r>
      <w:r>
        <w:rPr>
          <w:rFonts w:hint="eastAsia" w:ascii="仿宋_GB2312" w:hAnsi="宋体" w:eastAsia="仿宋_GB2312"/>
          <w:kern w:val="0"/>
          <w:sz w:val="32"/>
        </w:rPr>
        <w:t>%；社会保障和就业（类）支出</w:t>
      </w:r>
      <w:r>
        <w:rPr>
          <w:rFonts w:hint="eastAsia" w:ascii="仿宋_GB2312" w:hAnsi="宋体" w:eastAsia="仿宋_GB2312"/>
          <w:kern w:val="0"/>
          <w:sz w:val="32"/>
          <w:lang w:val="en-US" w:eastAsia="zh-CN"/>
        </w:rPr>
        <w:t>44</w:t>
      </w:r>
      <w:r>
        <w:rPr>
          <w:rFonts w:hint="eastAsia" w:ascii="仿宋_GB2312" w:hAnsi="宋体" w:eastAsia="仿宋_GB2312"/>
          <w:kern w:val="0"/>
          <w:sz w:val="32"/>
        </w:rPr>
        <w:t>.</w:t>
      </w:r>
      <w:r>
        <w:rPr>
          <w:rFonts w:hint="eastAsia" w:ascii="仿宋_GB2312" w:hAnsi="宋体" w:eastAsia="仿宋_GB2312"/>
          <w:kern w:val="0"/>
          <w:sz w:val="32"/>
          <w:lang w:val="en-US" w:eastAsia="zh-CN"/>
        </w:rPr>
        <w:t>50</w:t>
      </w:r>
      <w:r>
        <w:rPr>
          <w:rFonts w:hint="eastAsia" w:ascii="仿宋_GB2312" w:hAnsi="宋体" w:eastAsia="仿宋_GB2312"/>
          <w:kern w:val="0"/>
          <w:sz w:val="32"/>
        </w:rPr>
        <w:t>万元，占</w:t>
      </w:r>
      <w:r>
        <w:rPr>
          <w:rFonts w:hint="eastAsia" w:ascii="仿宋_GB2312" w:hAnsi="宋体" w:eastAsia="仿宋_GB2312"/>
          <w:kern w:val="0"/>
          <w:sz w:val="32"/>
          <w:lang w:val="en-US" w:eastAsia="zh-CN"/>
        </w:rPr>
        <w:t>9.56</w:t>
      </w:r>
      <w:r>
        <w:rPr>
          <w:rFonts w:hint="eastAsia" w:ascii="仿宋_GB2312" w:hAnsi="宋体" w:eastAsia="仿宋_GB2312"/>
          <w:kern w:val="0"/>
          <w:sz w:val="32"/>
        </w:rPr>
        <w:t>%；医疗卫生（类）支出</w:t>
      </w:r>
      <w:r>
        <w:rPr>
          <w:rFonts w:hint="eastAsia" w:ascii="仿宋_GB2312" w:hAnsi="宋体" w:eastAsia="仿宋_GB2312"/>
          <w:kern w:val="0"/>
          <w:sz w:val="32"/>
          <w:lang w:val="en-US" w:eastAsia="zh-CN"/>
        </w:rPr>
        <w:t>33</w:t>
      </w:r>
      <w:r>
        <w:rPr>
          <w:rFonts w:hint="eastAsia" w:ascii="仿宋_GB2312" w:hAnsi="宋体" w:eastAsia="仿宋_GB2312"/>
          <w:kern w:val="0"/>
          <w:sz w:val="32"/>
        </w:rPr>
        <w:t>.</w:t>
      </w:r>
      <w:r>
        <w:rPr>
          <w:rFonts w:hint="eastAsia" w:ascii="仿宋_GB2312" w:hAnsi="宋体" w:eastAsia="仿宋_GB2312"/>
          <w:kern w:val="0"/>
          <w:sz w:val="32"/>
          <w:lang w:val="en-US" w:eastAsia="zh-CN"/>
        </w:rPr>
        <w:t>24</w:t>
      </w:r>
      <w:r>
        <w:rPr>
          <w:rFonts w:hint="eastAsia" w:ascii="仿宋_GB2312" w:hAnsi="宋体" w:eastAsia="仿宋_GB2312"/>
          <w:kern w:val="0"/>
          <w:sz w:val="32"/>
        </w:rPr>
        <w:t>万元，占</w:t>
      </w:r>
      <w:r>
        <w:rPr>
          <w:rFonts w:hint="eastAsia" w:ascii="仿宋_GB2312" w:hAnsi="宋体" w:eastAsia="仿宋_GB2312"/>
          <w:kern w:val="0"/>
          <w:sz w:val="32"/>
          <w:lang w:val="en-US" w:eastAsia="zh-CN"/>
        </w:rPr>
        <w:t>7.14</w:t>
      </w:r>
      <w:r>
        <w:rPr>
          <w:rFonts w:hint="eastAsia" w:ascii="仿宋_GB2312" w:hAnsi="宋体" w:eastAsia="仿宋_GB2312"/>
          <w:kern w:val="0"/>
          <w:sz w:val="32"/>
        </w:rPr>
        <w:t>%；住房保障（类）支出</w:t>
      </w:r>
      <w:r>
        <w:rPr>
          <w:rFonts w:hint="eastAsia" w:ascii="仿宋_GB2312" w:hAnsi="宋体" w:eastAsia="仿宋_GB2312"/>
          <w:kern w:val="0"/>
          <w:sz w:val="32"/>
          <w:lang w:val="en-US" w:eastAsia="zh-CN"/>
        </w:rPr>
        <w:t>29</w:t>
      </w:r>
      <w:r>
        <w:rPr>
          <w:rFonts w:hint="eastAsia" w:ascii="仿宋_GB2312" w:hAnsi="宋体" w:eastAsia="仿宋_GB2312"/>
          <w:kern w:val="0"/>
          <w:sz w:val="32"/>
        </w:rPr>
        <w:t>.</w:t>
      </w:r>
      <w:r>
        <w:rPr>
          <w:rFonts w:hint="eastAsia" w:ascii="仿宋_GB2312" w:hAnsi="宋体" w:eastAsia="仿宋_GB2312"/>
          <w:kern w:val="0"/>
          <w:sz w:val="32"/>
          <w:lang w:val="en-US" w:eastAsia="zh-CN"/>
        </w:rPr>
        <w:t>27</w:t>
      </w:r>
      <w:r>
        <w:rPr>
          <w:rFonts w:hint="eastAsia" w:ascii="仿宋_GB2312" w:hAnsi="宋体" w:eastAsia="仿宋_GB2312"/>
          <w:kern w:val="0"/>
          <w:sz w:val="32"/>
        </w:rPr>
        <w:t>万元，占</w:t>
      </w:r>
      <w:r>
        <w:rPr>
          <w:rFonts w:hint="eastAsia" w:ascii="仿宋_GB2312" w:hAnsi="宋体" w:eastAsia="仿宋_GB2312"/>
          <w:kern w:val="0"/>
          <w:sz w:val="32"/>
          <w:lang w:val="en-US" w:eastAsia="zh-CN"/>
        </w:rPr>
        <w:t>6.29</w:t>
      </w:r>
      <w:r>
        <w:rPr>
          <w:rFonts w:hint="eastAsia" w:ascii="仿宋_GB2312" w:hAnsi="宋体" w:eastAsia="仿宋_GB2312"/>
          <w:kern w:val="0"/>
          <w:sz w:val="32"/>
        </w:rPr>
        <w:t>%.</w:t>
      </w:r>
    </w:p>
    <w:p>
      <w:pPr>
        <w:widowControl w:val="0"/>
        <w:wordWrap/>
        <w:adjustRightInd/>
        <w:snapToGrid w:val="0"/>
        <w:spacing w:line="560" w:lineRule="exact"/>
        <w:ind w:firstLine="643" w:firstLineChars="200"/>
        <w:textAlignment w:val="auto"/>
        <w:rPr>
          <w:rFonts w:hint="eastAsia" w:ascii="宋体" w:hAnsi="宋体" w:eastAsia="宋体" w:cs="宋体"/>
          <w:b/>
          <w:bCs w:val="0"/>
          <w:kern w:val="0"/>
          <w:sz w:val="32"/>
          <w:szCs w:val="32"/>
          <w:highlight w:val="none"/>
        </w:rPr>
      </w:pPr>
      <w:r>
        <w:rPr>
          <w:rFonts w:hint="eastAsia" w:ascii="宋体" w:hAnsi="宋体" w:eastAsia="宋体" w:cs="宋体"/>
          <w:b/>
          <w:bCs w:val="0"/>
          <w:kern w:val="0"/>
          <w:sz w:val="32"/>
          <w:szCs w:val="32"/>
          <w:highlight w:val="none"/>
        </w:rPr>
        <w:t xml:space="preserve">六、支出预算经济分类情况说明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按照《财政部关于印发</w:t>
      </w:r>
      <w:r>
        <w:rPr>
          <w:rFonts w:hint="eastAsia" w:ascii="仿宋" w:hAnsi="仿宋" w:eastAsia="仿宋" w:cs="仿宋"/>
          <w:sz w:val="32"/>
          <w:szCs w:val="32"/>
          <w:highlight w:val="none"/>
        </w:rPr>
        <w:t>&lt;</w:t>
      </w:r>
      <w:r>
        <w:rPr>
          <w:rFonts w:hint="eastAsia" w:ascii="仿宋" w:hAnsi="仿宋" w:eastAsia="仿宋" w:cs="仿宋"/>
          <w:sz w:val="32"/>
          <w:szCs w:val="32"/>
        </w:rPr>
        <w:t>支出经济分类科目改革方案</w:t>
      </w:r>
      <w:r>
        <w:rPr>
          <w:rFonts w:hint="eastAsia" w:ascii="仿宋" w:hAnsi="仿宋" w:eastAsia="仿宋" w:cs="仿宋"/>
          <w:sz w:val="32"/>
          <w:szCs w:val="32"/>
          <w:highlight w:val="none"/>
        </w:rPr>
        <w:t>&gt;</w:t>
      </w:r>
      <w:r>
        <w:rPr>
          <w:rFonts w:hint="eastAsia" w:ascii="仿宋" w:hAnsi="仿宋" w:eastAsia="仿宋" w:cs="仿宋"/>
          <w:sz w:val="32"/>
          <w:szCs w:val="32"/>
        </w:rPr>
        <w:t>的通知》（财预[2017]98号</w:t>
      </w:r>
      <w:r>
        <w:rPr>
          <w:rFonts w:hint="eastAsia" w:ascii="仿宋" w:hAnsi="仿宋" w:eastAsia="仿宋" w:cs="仿宋"/>
          <w:sz w:val="32"/>
          <w:szCs w:val="32"/>
          <w:highlight w:val="none"/>
          <w:lang w:eastAsia="zh-CN"/>
        </w:rPr>
        <w:t>）</w:t>
      </w:r>
      <w:r>
        <w:rPr>
          <w:rFonts w:hint="eastAsia" w:ascii="仿宋" w:hAnsi="仿宋" w:eastAsia="仿宋" w:cs="仿宋"/>
          <w:sz w:val="32"/>
          <w:szCs w:val="32"/>
        </w:rPr>
        <w:t>要求，从2018年起全面实施支出经济分类科目改革，根据政府预算管理和部门预算管理的不同特点，分设部门预算支出经济分类科目和政府预算支出经济分类科目，两套科目之间保持对应关系。</w:t>
      </w:r>
      <w:r>
        <w:rPr>
          <w:rFonts w:hint="eastAsia" w:ascii="仿宋" w:hAnsi="仿宋" w:eastAsia="仿宋" w:cs="仿宋"/>
          <w:color w:val="auto"/>
          <w:sz w:val="32"/>
          <w:szCs w:val="32"/>
          <w:highlight w:val="none"/>
          <w:lang w:eastAsia="zh-CN"/>
        </w:rPr>
        <w:t>为适应改革要求，</w:t>
      </w:r>
      <w:r>
        <w:rPr>
          <w:rFonts w:hint="eastAsia" w:ascii="仿宋" w:hAnsi="仿宋" w:eastAsia="仿宋" w:cs="仿宋"/>
          <w:color w:val="auto"/>
          <w:sz w:val="32"/>
          <w:szCs w:val="32"/>
          <w:highlight w:val="none"/>
        </w:rPr>
        <w:t>我单位《支出经济分类汇总表》</w:t>
      </w:r>
      <w:r>
        <w:rPr>
          <w:rFonts w:hint="eastAsia" w:ascii="仿宋" w:hAnsi="仿宋" w:eastAsia="仿宋" w:cs="仿宋"/>
          <w:color w:val="auto"/>
          <w:sz w:val="32"/>
          <w:szCs w:val="32"/>
          <w:highlight w:val="none"/>
          <w:lang w:eastAsia="zh-CN"/>
        </w:rPr>
        <w:t>从</w:t>
      </w:r>
      <w:r>
        <w:rPr>
          <w:rFonts w:hint="eastAsia" w:ascii="仿宋" w:hAnsi="仿宋" w:eastAsia="仿宋" w:cs="仿宋"/>
          <w:color w:val="auto"/>
          <w:sz w:val="32"/>
          <w:szCs w:val="32"/>
          <w:highlight w:val="none"/>
          <w:lang w:val="en-US" w:eastAsia="zh-CN"/>
        </w:rPr>
        <w:t>2018年起从仅反映一般公共预算基本支出经济分类项目预算调整为</w:t>
      </w:r>
      <w:r>
        <w:rPr>
          <w:rFonts w:hint="eastAsia" w:ascii="仿宋" w:hAnsi="仿宋" w:eastAsia="仿宋" w:cs="仿宋"/>
          <w:color w:val="auto"/>
          <w:sz w:val="32"/>
          <w:szCs w:val="32"/>
          <w:highlight w:val="none"/>
        </w:rPr>
        <w:t>按两套</w:t>
      </w:r>
      <w:r>
        <w:rPr>
          <w:rFonts w:hint="eastAsia" w:ascii="仿宋" w:hAnsi="仿宋" w:eastAsia="仿宋" w:cs="仿宋"/>
          <w:sz w:val="32"/>
          <w:szCs w:val="32"/>
        </w:rPr>
        <w:t>经济分类科目分别反应不同资金来源的全部预算支出。</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color w:val="auto"/>
          <w:sz w:val="32"/>
          <w:szCs w:val="32"/>
          <w:highlight w:val="none"/>
          <w:lang w:val="en-US" w:eastAsia="zh-CN"/>
        </w:rPr>
        <w:t>1</w:t>
      </w:r>
      <w:r>
        <w:rPr>
          <w:rFonts w:hint="eastAsia" w:ascii="仿宋" w:hAnsi="仿宋" w:eastAsia="仿宋" w:cs="仿宋"/>
          <w:sz w:val="32"/>
          <w:szCs w:val="32"/>
        </w:rPr>
        <w:t>年预算支出</w:t>
      </w:r>
      <w:r>
        <w:rPr>
          <w:rFonts w:hint="eastAsia" w:ascii="仿宋" w:hAnsi="仿宋" w:eastAsia="仿宋" w:cs="仿宋"/>
          <w:sz w:val="32"/>
          <w:szCs w:val="32"/>
          <w:lang w:val="en-US" w:eastAsia="zh-CN"/>
        </w:rPr>
        <w:t>465.39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color w:val="auto"/>
          <w:sz w:val="32"/>
          <w:szCs w:val="32"/>
          <w:highlight w:val="none"/>
        </w:rPr>
        <w:t>其中：基本支出</w:t>
      </w:r>
      <w:r>
        <w:rPr>
          <w:rFonts w:hint="eastAsia" w:ascii="仿宋" w:hAnsi="仿宋" w:eastAsia="仿宋" w:cs="仿宋"/>
          <w:color w:val="auto"/>
          <w:sz w:val="32"/>
          <w:szCs w:val="32"/>
          <w:highlight w:val="none"/>
          <w:lang w:val="en-US" w:eastAsia="zh-CN"/>
        </w:rPr>
        <w:t>464.21</w:t>
      </w:r>
      <w:r>
        <w:rPr>
          <w:rFonts w:hint="eastAsia" w:ascii="仿宋" w:hAnsi="仿宋" w:eastAsia="仿宋" w:cs="仿宋"/>
          <w:color w:val="auto"/>
          <w:sz w:val="32"/>
          <w:szCs w:val="32"/>
          <w:highlight w:val="none"/>
        </w:rPr>
        <w:t>万元，主要包括：基本工资、津贴补贴、奖金、绩效工资、机关事业单位基本养老保险缴费、职业年金缴费、医疗保险缴费、其他社会保障缴费、住房公积金、其他工资福利支出、退休费、其他对个人和家庭的补助支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办公费、印刷费、邮电费、差旅费、维修（护）费、租赁费、会议费、培训费、公务接待费、劳务费、福利费、公务用车运行维护费、其他</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交通费用、其他商品和服务支出、办公设备购置、信息网络及软件购置更新和其他支出；项目支出</w:t>
      </w:r>
      <w:r>
        <w:rPr>
          <w:rFonts w:hint="eastAsia" w:ascii="仿宋" w:hAnsi="仿宋" w:eastAsia="仿宋" w:cs="仿宋"/>
          <w:color w:val="auto"/>
          <w:sz w:val="32"/>
          <w:szCs w:val="32"/>
          <w:highlight w:val="none"/>
          <w:lang w:val="en-US" w:eastAsia="zh-CN"/>
        </w:rPr>
        <w:t>1.17</w:t>
      </w:r>
      <w:r>
        <w:rPr>
          <w:rFonts w:hint="eastAsia" w:ascii="仿宋" w:hAnsi="仿宋" w:eastAsia="仿宋" w:cs="仿宋"/>
          <w:color w:val="auto"/>
          <w:sz w:val="32"/>
          <w:szCs w:val="32"/>
          <w:highlight w:val="none"/>
        </w:rPr>
        <w:t>万元，主要包括：</w:t>
      </w:r>
      <w:r>
        <w:rPr>
          <w:rFonts w:hint="eastAsia" w:ascii="仿宋" w:hAnsi="仿宋" w:eastAsia="仿宋" w:cs="仿宋"/>
          <w:color w:val="auto"/>
          <w:sz w:val="32"/>
          <w:szCs w:val="32"/>
          <w:highlight w:val="none"/>
          <w:lang w:eastAsia="zh-CN"/>
        </w:rPr>
        <w:t>公益岗工资。</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ab/>
      </w:r>
      <w:r>
        <w:rPr>
          <w:rFonts w:hint="eastAsia" w:ascii="仿宋" w:hAnsi="仿宋" w:eastAsia="仿宋" w:cs="仿宋"/>
          <w:color w:val="FF0000"/>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ind w:firstLine="643" w:firstLineChars="200"/>
        <w:textAlignment w:val="auto"/>
        <w:rPr>
          <w:rFonts w:hint="eastAsia" w:ascii="仿宋" w:hAnsi="仿宋" w:eastAsia="仿宋" w:cs="仿宋"/>
          <w:sz w:val="32"/>
          <w:szCs w:val="32"/>
        </w:rPr>
      </w:pPr>
      <w:r>
        <w:rPr>
          <w:rFonts w:hint="eastAsia" w:ascii="宋体" w:hAnsi="宋体" w:cs="宋体"/>
          <w:b/>
          <w:bCs w:val="0"/>
          <w:kern w:val="0"/>
          <w:sz w:val="32"/>
          <w:szCs w:val="32"/>
          <w:highlight w:val="none"/>
          <w:lang w:eastAsia="zh-CN"/>
        </w:rPr>
        <w:t>七</w:t>
      </w:r>
      <w:r>
        <w:rPr>
          <w:rFonts w:hint="eastAsia" w:ascii="宋体" w:hAnsi="宋体" w:eastAsia="宋体" w:cs="宋体"/>
          <w:b/>
          <w:bCs w:val="0"/>
          <w:kern w:val="0"/>
          <w:sz w:val="32"/>
          <w:szCs w:val="32"/>
          <w:highlight w:val="none"/>
        </w:rPr>
        <w:t>、</w:t>
      </w:r>
      <w:r>
        <w:rPr>
          <w:rFonts w:hint="eastAsia" w:ascii="宋体" w:hAnsi="宋体" w:cs="宋体"/>
          <w:b/>
          <w:bCs w:val="0"/>
          <w:kern w:val="0"/>
          <w:sz w:val="32"/>
          <w:szCs w:val="32"/>
          <w:highlight w:val="none"/>
          <w:lang w:eastAsia="zh-CN"/>
        </w:rPr>
        <w:t>“</w:t>
      </w:r>
      <w:r>
        <w:rPr>
          <w:rFonts w:hint="eastAsia" w:ascii="宋体" w:hAnsi="宋体" w:eastAsia="宋体" w:cs="宋体"/>
          <w:b/>
          <w:bCs w:val="0"/>
          <w:kern w:val="0"/>
          <w:sz w:val="32"/>
          <w:szCs w:val="32"/>
          <w:highlight w:val="none"/>
        </w:rPr>
        <w:t>三公</w:t>
      </w:r>
      <w:r>
        <w:rPr>
          <w:rFonts w:hint="eastAsia" w:ascii="宋体" w:hAnsi="宋体" w:cs="宋体"/>
          <w:b/>
          <w:bCs w:val="0"/>
          <w:kern w:val="0"/>
          <w:sz w:val="32"/>
          <w:szCs w:val="32"/>
          <w:highlight w:val="none"/>
          <w:lang w:eastAsia="zh-CN"/>
        </w:rPr>
        <w:t>”</w:t>
      </w:r>
      <w:r>
        <w:rPr>
          <w:rFonts w:hint="eastAsia" w:ascii="宋体" w:hAnsi="宋体" w:eastAsia="宋体" w:cs="宋体"/>
          <w:b/>
          <w:bCs w:val="0"/>
          <w:kern w:val="0"/>
          <w:sz w:val="32"/>
          <w:szCs w:val="32"/>
          <w:highlight w:val="none"/>
        </w:rPr>
        <w:t>经费</w:t>
      </w:r>
      <w:r>
        <w:rPr>
          <w:rFonts w:hint="eastAsia" w:ascii="宋体" w:hAnsi="宋体" w:cs="宋体"/>
          <w:b/>
          <w:bCs w:val="0"/>
          <w:kern w:val="0"/>
          <w:sz w:val="32"/>
          <w:szCs w:val="32"/>
          <w:highlight w:val="none"/>
          <w:lang w:eastAsia="zh-CN"/>
        </w:rPr>
        <w:t>支出预算情况</w:t>
      </w:r>
      <w:r>
        <w:rPr>
          <w:rFonts w:hint="eastAsia" w:ascii="宋体" w:hAnsi="宋体" w:eastAsia="宋体" w:cs="宋体"/>
          <w:b/>
          <w:bCs w:val="0"/>
          <w:kern w:val="0"/>
          <w:sz w:val="32"/>
          <w:szCs w:val="32"/>
          <w:highlight w:val="none"/>
        </w:rPr>
        <w:t>说明</w:t>
      </w:r>
      <w:r>
        <w:rPr>
          <w:rFonts w:hint="eastAsia" w:ascii="宋体" w:hAnsi="宋体" w:eastAsia="宋体" w:cs="宋体"/>
          <w:b/>
          <w:bCs w:val="0"/>
          <w:kern w:val="0"/>
          <w:sz w:val="32"/>
          <w:szCs w:val="32"/>
          <w:highlight w:val="none"/>
        </w:rPr>
        <w:tab/>
      </w:r>
      <w:r>
        <w:rPr>
          <w:rFonts w:hint="eastAsia" w:ascii="宋体" w:hAnsi="宋体" w:eastAsia="宋体" w:cs="宋体"/>
          <w:b/>
          <w:bCs w:val="0"/>
          <w:kern w:val="0"/>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rPr>
        <w:t xml:space="preserve">    2021年“三公”经费公共预</w:t>
      </w:r>
      <w:r>
        <w:rPr>
          <w:rFonts w:hint="eastAsia" w:ascii="仿宋" w:hAnsi="仿宋" w:eastAsia="仿宋" w:cs="仿宋"/>
          <w:color w:val="auto"/>
          <w:sz w:val="32"/>
          <w:szCs w:val="32"/>
          <w:highlight w:val="none"/>
        </w:rPr>
        <w:t>算</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万元</w:t>
      </w:r>
      <w:r>
        <w:rPr>
          <w:rFonts w:hint="eastAsia" w:ascii="仿宋" w:hAnsi="仿宋" w:eastAsia="仿宋" w:cs="仿宋"/>
          <w:sz w:val="32"/>
          <w:szCs w:val="32"/>
        </w:rPr>
        <w:t>。2021年“三公”经费支出预算数比上</w:t>
      </w:r>
      <w:r>
        <w:rPr>
          <w:rFonts w:hint="eastAsia" w:ascii="仿宋" w:hAnsi="仿宋" w:eastAsia="仿宋" w:cs="仿宋"/>
          <w:color w:val="auto"/>
          <w:sz w:val="32"/>
          <w:szCs w:val="32"/>
          <w:highlight w:val="none"/>
        </w:rPr>
        <w:t>年增加</w:t>
      </w:r>
      <w:r>
        <w:rPr>
          <w:rFonts w:hint="eastAsia" w:ascii="仿宋" w:hAnsi="仿宋" w:eastAsia="仿宋" w:cs="仿宋"/>
          <w:color w:val="auto"/>
          <w:sz w:val="32"/>
          <w:szCs w:val="32"/>
          <w:highlight w:val="none"/>
          <w:lang w:val="en-US" w:eastAsia="zh-CN"/>
        </w:rPr>
        <w:t>2.6</w:t>
      </w:r>
      <w:r>
        <w:rPr>
          <w:rFonts w:hint="eastAsia" w:ascii="仿宋" w:hAnsi="仿宋" w:eastAsia="仿宋" w:cs="仿宋"/>
          <w:color w:val="auto"/>
          <w:sz w:val="32"/>
          <w:szCs w:val="32"/>
          <w:highlight w:val="none"/>
        </w:rPr>
        <w:t>万元</w:t>
      </w:r>
      <w:r>
        <w:rPr>
          <w:rFonts w:hint="eastAsia" w:ascii="仿宋" w:hAnsi="仿宋" w:eastAsia="仿宋" w:cs="仿宋"/>
          <w:sz w:val="32"/>
          <w:szCs w:val="32"/>
        </w:rPr>
        <w:t>，</w:t>
      </w:r>
      <w:r>
        <w:rPr>
          <w:rFonts w:hint="eastAsia" w:ascii="仿宋" w:hAnsi="仿宋" w:eastAsia="仿宋" w:cs="仿宋"/>
          <w:color w:val="auto"/>
          <w:sz w:val="32"/>
          <w:szCs w:val="32"/>
          <w:highlight w:val="none"/>
        </w:rPr>
        <w:t>主要原因是</w:t>
      </w:r>
      <w:r>
        <w:rPr>
          <w:rFonts w:hint="eastAsia" w:ascii="仿宋" w:hAnsi="仿宋" w:eastAsia="仿宋" w:cs="仿宋"/>
          <w:color w:val="auto"/>
          <w:sz w:val="32"/>
          <w:szCs w:val="32"/>
          <w:highlight w:val="none"/>
          <w:lang w:eastAsia="zh-CN"/>
        </w:rPr>
        <w:t>政府投资项目前期咨询服务及项目实地勘察</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lang w:eastAsia="zh-CN"/>
        </w:rPr>
        <w:t>车辆老化，维修费用高，</w:t>
      </w:r>
      <w:r>
        <w:rPr>
          <w:rFonts w:hint="eastAsia" w:ascii="仿宋" w:hAnsi="仿宋" w:eastAsia="仿宋" w:cs="仿宋"/>
          <w:sz w:val="32"/>
          <w:szCs w:val="32"/>
          <w:highlight w:val="none"/>
        </w:rPr>
        <w:t>其中：</w:t>
      </w:r>
    </w:p>
    <w:p>
      <w:pPr>
        <w:widowControl w:val="0"/>
        <w:numPr>
          <w:ilvl w:val="0"/>
          <w:numId w:val="2"/>
        </w:numPr>
        <w:wordWrap/>
        <w:adjustRightInd/>
        <w:snapToGrid w:val="0"/>
        <w:spacing w:line="560" w:lineRule="exact"/>
        <w:ind w:firstLine="643" w:firstLineChars="200"/>
        <w:textAlignment w:val="auto"/>
        <w:rPr>
          <w:rFonts w:hint="eastAsia" w:ascii="仿宋" w:hAnsi="仿宋" w:eastAsia="仿宋" w:cs="仿宋"/>
          <w:color w:val="auto"/>
          <w:sz w:val="32"/>
          <w:szCs w:val="32"/>
          <w:highlight w:val="none"/>
        </w:rPr>
      </w:pPr>
      <w:r>
        <w:rPr>
          <w:rFonts w:hint="eastAsia" w:ascii="仿宋_GB2312" w:hAnsi="仿宋" w:eastAsia="仿宋_GB2312" w:cs="仿宋"/>
          <w:b/>
          <w:bCs/>
          <w:sz w:val="32"/>
          <w:szCs w:val="32"/>
          <w:highlight w:val="none"/>
        </w:rPr>
        <w:t>因公出国（境）费</w:t>
      </w:r>
      <w:r>
        <w:rPr>
          <w:rFonts w:hint="eastAsia" w:ascii="仿宋" w:hAnsi="仿宋" w:eastAsia="仿宋" w:cs="仿宋"/>
          <w:color w:val="auto"/>
          <w:sz w:val="32"/>
          <w:szCs w:val="32"/>
          <w:highlight w:val="none"/>
        </w:rPr>
        <w:t>预算</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万元，预算数与上年持平</w:t>
      </w:r>
      <w:r>
        <w:rPr>
          <w:rFonts w:hint="eastAsia" w:ascii="仿宋" w:hAnsi="仿宋" w:eastAsia="仿宋" w:cs="仿宋"/>
          <w:sz w:val="32"/>
          <w:szCs w:val="32"/>
        </w:rPr>
        <w:t>。</w:t>
      </w:r>
      <w:r>
        <w:rPr>
          <w:rFonts w:hint="eastAsia" w:ascii="仿宋" w:hAnsi="仿宋" w:eastAsia="仿宋" w:cs="仿宋"/>
          <w:color w:val="auto"/>
          <w:sz w:val="32"/>
          <w:szCs w:val="32"/>
          <w:highlight w:val="none"/>
        </w:rPr>
        <w:t>预算数与2020年持平，主要原因是</w:t>
      </w:r>
      <w:r>
        <w:rPr>
          <w:rFonts w:hint="eastAsia" w:ascii="仿宋" w:hAnsi="仿宋" w:eastAsia="仿宋" w:cs="仿宋"/>
          <w:color w:val="auto"/>
          <w:sz w:val="32"/>
          <w:szCs w:val="32"/>
          <w:highlight w:val="none"/>
          <w:lang w:val="en-US"/>
        </w:rPr>
        <w:t>我单位</w:t>
      </w:r>
      <w:r>
        <w:rPr>
          <w:rFonts w:hint="default" w:ascii="仿宋" w:hAnsi="仿宋" w:eastAsia="仿宋" w:cs="仿宋"/>
          <w:color w:val="auto"/>
          <w:sz w:val="32"/>
          <w:szCs w:val="32"/>
          <w:highlight w:val="none"/>
        </w:rPr>
        <w:t>2021</w:t>
      </w:r>
      <w:r>
        <w:rPr>
          <w:rFonts w:hint="eastAsia" w:ascii="仿宋" w:hAnsi="仿宋" w:eastAsia="仿宋" w:cs="仿宋"/>
          <w:color w:val="auto"/>
          <w:sz w:val="32"/>
          <w:szCs w:val="32"/>
          <w:highlight w:val="none"/>
          <w:lang w:val="en-US"/>
        </w:rPr>
        <w:t>年无因公出国境任务</w:t>
      </w:r>
      <w:r>
        <w:rPr>
          <w:rFonts w:hint="eastAsia" w:ascii="仿宋" w:hAnsi="仿宋" w:eastAsia="仿宋" w:cs="仿宋"/>
          <w:color w:val="auto"/>
          <w:sz w:val="32"/>
          <w:szCs w:val="32"/>
          <w:highlight w:val="none"/>
        </w:rPr>
        <w:t>。</w:t>
      </w:r>
    </w:p>
    <w:p>
      <w:pPr>
        <w:widowControl w:val="0"/>
        <w:numPr>
          <w:numId w:val="0"/>
        </w:numPr>
        <w:wordWrap/>
        <w:adjustRightInd/>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_GB2312" w:hAnsi="仿宋" w:eastAsia="仿宋_GB2312" w:cs="仿宋"/>
          <w:b/>
          <w:bCs/>
          <w:sz w:val="32"/>
          <w:szCs w:val="32"/>
          <w:highlight w:val="none"/>
        </w:rPr>
        <w:t>（二）公务用车购置及运行费</w:t>
      </w:r>
      <w:r>
        <w:rPr>
          <w:rFonts w:hint="eastAsia" w:ascii="仿宋" w:hAnsi="仿宋" w:eastAsia="仿宋" w:cs="仿宋"/>
          <w:color w:val="auto"/>
          <w:sz w:val="32"/>
          <w:szCs w:val="32"/>
          <w:highlight w:val="none"/>
        </w:rPr>
        <w:t>预算</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万</w:t>
      </w:r>
      <w:r>
        <w:rPr>
          <w:rFonts w:hint="eastAsia" w:ascii="仿宋" w:hAnsi="仿宋" w:eastAsia="仿宋" w:cs="仿宋"/>
          <w:sz w:val="32"/>
          <w:szCs w:val="32"/>
        </w:rPr>
        <w:t>元，</w:t>
      </w:r>
      <w:r>
        <w:rPr>
          <w:rFonts w:hint="eastAsia" w:ascii="仿宋" w:hAnsi="仿宋" w:eastAsia="仿宋" w:cs="仿宋"/>
          <w:color w:val="auto"/>
          <w:sz w:val="32"/>
          <w:szCs w:val="32"/>
          <w:highlight w:val="none"/>
          <w:lang w:val="en-US" w:eastAsia="zh-CN"/>
        </w:rPr>
        <w:t>与上年相比增加1.8万元，占“三公”经费总额的66.7%。</w:t>
      </w:r>
      <w:r>
        <w:rPr>
          <w:rFonts w:hint="eastAsia" w:ascii="仿宋" w:hAnsi="仿宋" w:eastAsia="仿宋" w:cs="仿宋"/>
          <w:sz w:val="32"/>
          <w:szCs w:val="32"/>
          <w:highlight w:val="none"/>
        </w:rPr>
        <w:t>其中，公务</w:t>
      </w:r>
      <w:r>
        <w:rPr>
          <w:rFonts w:hint="eastAsia" w:ascii="仿宋" w:hAnsi="仿宋" w:eastAsia="仿宋" w:cs="仿宋"/>
          <w:sz w:val="32"/>
          <w:szCs w:val="32"/>
        </w:rPr>
        <w:t>用车运行</w:t>
      </w:r>
      <w:r>
        <w:rPr>
          <w:rFonts w:hint="eastAsia" w:ascii="仿宋" w:hAnsi="仿宋" w:eastAsia="仿宋" w:cs="仿宋"/>
          <w:color w:val="auto"/>
          <w:sz w:val="32"/>
          <w:szCs w:val="32"/>
          <w:highlight w:val="none"/>
        </w:rPr>
        <w:t>费</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万</w:t>
      </w:r>
      <w:r>
        <w:rPr>
          <w:rFonts w:hint="eastAsia" w:ascii="仿宋" w:hAnsi="仿宋" w:eastAsia="仿宋" w:cs="仿宋"/>
          <w:sz w:val="32"/>
          <w:szCs w:val="32"/>
        </w:rPr>
        <w:t>元，与上年相比</w:t>
      </w:r>
      <w:r>
        <w:rPr>
          <w:rFonts w:hint="eastAsia" w:ascii="仿宋" w:hAnsi="仿宋" w:eastAsia="仿宋" w:cs="仿宋"/>
          <w:color w:val="auto"/>
          <w:sz w:val="32"/>
          <w:szCs w:val="32"/>
          <w:highlight w:val="none"/>
        </w:rPr>
        <w:t>增加</w:t>
      </w:r>
      <w:r>
        <w:rPr>
          <w:rFonts w:hint="eastAsia" w:ascii="仿宋" w:hAnsi="仿宋" w:eastAsia="仿宋" w:cs="仿宋"/>
          <w:color w:val="auto"/>
          <w:sz w:val="32"/>
          <w:szCs w:val="32"/>
          <w:highlight w:val="none"/>
          <w:lang w:val="en-US" w:eastAsia="zh-CN"/>
        </w:rPr>
        <w:t>1.8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color w:val="auto"/>
          <w:sz w:val="32"/>
          <w:szCs w:val="32"/>
          <w:highlight w:val="none"/>
          <w:lang w:val="en-US" w:eastAsia="zh-CN"/>
        </w:rPr>
        <w:t>占“三公”经费总额的66.7%</w:t>
      </w:r>
      <w:r>
        <w:rPr>
          <w:rFonts w:hint="eastAsia" w:ascii="仿宋" w:hAnsi="仿宋" w:eastAsia="仿宋" w:cs="仿宋"/>
          <w:sz w:val="32"/>
          <w:szCs w:val="32"/>
        </w:rPr>
        <w:t>。</w:t>
      </w:r>
      <w:r>
        <w:rPr>
          <w:rFonts w:hint="eastAsia" w:ascii="仿宋" w:hAnsi="仿宋" w:eastAsia="仿宋" w:cs="仿宋"/>
          <w:color w:val="auto"/>
          <w:sz w:val="32"/>
          <w:szCs w:val="32"/>
        </w:rPr>
        <w:t>主要原因是</w:t>
      </w:r>
      <w:r>
        <w:rPr>
          <w:rFonts w:hint="eastAsia" w:ascii="仿宋" w:hAnsi="仿宋" w:eastAsia="仿宋" w:cs="仿宋"/>
          <w:color w:val="auto"/>
          <w:sz w:val="32"/>
          <w:szCs w:val="32"/>
          <w:highlight w:val="none"/>
          <w:lang w:eastAsia="zh-CN"/>
        </w:rPr>
        <w:t>政府投资项目前期咨询服务及项目实地勘察</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lang w:eastAsia="zh-CN"/>
        </w:rPr>
        <w:t>车辆老化，维修费用高，</w:t>
      </w:r>
      <w:r>
        <w:rPr>
          <w:rFonts w:hint="eastAsia" w:ascii="仿宋" w:hAnsi="仿宋" w:eastAsia="仿宋" w:cs="仿宋"/>
          <w:sz w:val="32"/>
          <w:szCs w:val="32"/>
        </w:rPr>
        <w:t>主要用于日常公务发生的燃料费、维修费、过路过桥费、保险费等支出；公务用车</w:t>
      </w:r>
      <w:r>
        <w:rPr>
          <w:rFonts w:hint="eastAsia" w:ascii="仿宋" w:hAnsi="仿宋" w:eastAsia="仿宋" w:cs="仿宋"/>
          <w:color w:val="auto"/>
          <w:sz w:val="32"/>
          <w:szCs w:val="32"/>
          <w:highlight w:val="none"/>
        </w:rPr>
        <w:t>购置预算为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万元，比上年增加</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占“三公”经费总额的0%，</w:t>
      </w:r>
      <w:r>
        <w:rPr>
          <w:rFonts w:hint="eastAsia" w:ascii="仿宋" w:hAnsi="仿宋" w:eastAsia="仿宋" w:cs="仿宋"/>
          <w:color w:val="auto"/>
          <w:sz w:val="32"/>
          <w:szCs w:val="32"/>
          <w:highlight w:val="none"/>
        </w:rPr>
        <w:t>主</w:t>
      </w:r>
      <w:r>
        <w:rPr>
          <w:rFonts w:hint="eastAsia" w:ascii="仿宋" w:hAnsi="仿宋" w:eastAsia="仿宋" w:cs="仿宋"/>
          <w:sz w:val="32"/>
          <w:szCs w:val="32"/>
        </w:rPr>
        <w:t>要原因是落实公车改革政策、加强公务用车管理，严控公务用车支出。</w:t>
      </w:r>
      <w:r>
        <w:rPr>
          <w:rFonts w:hint="eastAsia" w:ascii="仿宋" w:hAnsi="仿宋" w:eastAsia="仿宋" w:cs="仿宋"/>
          <w:sz w:val="32"/>
          <w:szCs w:val="32"/>
        </w:rPr>
        <w:tab/>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widowControl w:val="0"/>
        <w:wordWrap/>
        <w:adjustRightInd/>
        <w:snapToGrid w:val="0"/>
        <w:spacing w:line="560" w:lineRule="exact"/>
        <w:ind w:firstLine="643" w:firstLineChars="200"/>
        <w:textAlignment w:val="auto"/>
        <w:rPr>
          <w:rFonts w:hint="eastAsia" w:ascii="仿宋_GB2312" w:hAnsi="仿宋" w:eastAsia="仿宋_GB2312" w:cs="仿宋"/>
          <w:bCs/>
          <w:kern w:val="0"/>
          <w:sz w:val="32"/>
          <w:szCs w:val="32"/>
        </w:rPr>
      </w:pPr>
      <w:r>
        <w:rPr>
          <w:rFonts w:hint="eastAsia" w:ascii="仿宋_GB2312" w:hAnsi="仿宋" w:eastAsia="仿宋_GB2312" w:cs="仿宋"/>
          <w:b/>
          <w:bCs/>
          <w:sz w:val="32"/>
          <w:szCs w:val="32"/>
          <w:highlight w:val="none"/>
        </w:rPr>
        <w:t>（三）公务接待费</w:t>
      </w:r>
      <w:r>
        <w:rPr>
          <w:rFonts w:hint="eastAsia" w:ascii="仿宋" w:hAnsi="仿宋" w:eastAsia="仿宋" w:cs="仿宋"/>
          <w:color w:val="auto"/>
          <w:sz w:val="32"/>
          <w:szCs w:val="32"/>
          <w:highlight w:val="none"/>
        </w:rPr>
        <w:t>预算</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万</w:t>
      </w:r>
      <w:r>
        <w:rPr>
          <w:rFonts w:hint="eastAsia" w:ascii="仿宋" w:hAnsi="仿宋" w:eastAsia="仿宋" w:cs="仿宋"/>
          <w:sz w:val="32"/>
          <w:szCs w:val="32"/>
        </w:rPr>
        <w:t>元，预算数</w:t>
      </w:r>
      <w:r>
        <w:rPr>
          <w:rFonts w:hint="eastAsia" w:ascii="仿宋" w:hAnsi="仿宋" w:eastAsia="仿宋" w:cs="仿宋"/>
          <w:color w:val="auto"/>
          <w:sz w:val="32"/>
          <w:szCs w:val="32"/>
          <w:highlight w:val="none"/>
        </w:rPr>
        <w:t>比上年增长</w:t>
      </w:r>
      <w:r>
        <w:rPr>
          <w:rFonts w:hint="eastAsia" w:ascii="仿宋" w:hAnsi="仿宋" w:eastAsia="仿宋" w:cs="仿宋"/>
          <w:color w:val="auto"/>
          <w:sz w:val="32"/>
          <w:szCs w:val="32"/>
          <w:highlight w:val="none"/>
          <w:lang w:val="en-US" w:eastAsia="zh-CN"/>
        </w:rPr>
        <w:t>0.8</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占“三公”经费总额的33.3%。</w:t>
      </w:r>
      <w:r>
        <w:rPr>
          <w:rFonts w:hint="eastAsia" w:ascii="仿宋_GB2312" w:hAnsi="仿宋" w:eastAsia="仿宋_GB2312" w:cs="仿宋"/>
          <w:bCs/>
          <w:kern w:val="0"/>
          <w:sz w:val="32"/>
          <w:szCs w:val="32"/>
        </w:rPr>
        <w:t>主要原因是严格执行《党政机关国内公务接待管理规定》等办法，不断规范公务接待管理，</w:t>
      </w:r>
      <w:r>
        <w:rPr>
          <w:rFonts w:hint="eastAsia" w:ascii="仿宋_GB2312" w:hAnsi="仿宋" w:eastAsia="仿宋_GB2312" w:cs="仿宋"/>
          <w:bCs/>
          <w:kern w:val="0"/>
          <w:sz w:val="32"/>
          <w:szCs w:val="32"/>
          <w:lang w:eastAsia="zh-CN"/>
        </w:rPr>
        <w:t>全年工作量有所增加。</w:t>
      </w:r>
    </w:p>
    <w:p>
      <w:pPr>
        <w:widowControl w:val="0"/>
        <w:wordWrap/>
        <w:adjustRightInd/>
        <w:snapToGrid w:val="0"/>
        <w:spacing w:line="560" w:lineRule="exact"/>
        <w:ind w:firstLine="643" w:firstLineChars="200"/>
        <w:textAlignment w:val="auto"/>
        <w:rPr>
          <w:rFonts w:hint="eastAsia" w:ascii="仿宋" w:hAnsi="仿宋" w:eastAsia="仿宋" w:cs="仿宋"/>
          <w:sz w:val="32"/>
          <w:szCs w:val="32"/>
        </w:rPr>
      </w:pPr>
      <w:r>
        <w:rPr>
          <w:rFonts w:hint="eastAsia" w:ascii="宋体" w:hAnsi="宋体" w:cs="宋体"/>
          <w:b/>
          <w:bCs w:val="0"/>
          <w:kern w:val="0"/>
          <w:sz w:val="32"/>
          <w:szCs w:val="32"/>
          <w:highlight w:val="none"/>
          <w:lang w:eastAsia="zh-CN"/>
        </w:rPr>
        <w:t>八</w:t>
      </w:r>
      <w:r>
        <w:rPr>
          <w:rFonts w:hint="eastAsia" w:ascii="宋体" w:hAnsi="宋体" w:eastAsia="宋体" w:cs="宋体"/>
          <w:b/>
          <w:bCs w:val="0"/>
          <w:kern w:val="0"/>
          <w:sz w:val="32"/>
          <w:szCs w:val="32"/>
          <w:highlight w:val="none"/>
        </w:rPr>
        <w:t>、政府性基金预算支出预算情况说明</w:t>
      </w:r>
      <w:r>
        <w:rPr>
          <w:rFonts w:hint="eastAsia" w:ascii="宋体" w:hAnsi="宋体" w:eastAsia="宋体" w:cs="宋体"/>
          <w:b/>
          <w:bCs w:val="0"/>
          <w:kern w:val="0"/>
          <w:sz w:val="32"/>
          <w:szCs w:val="32"/>
          <w:highlight w:val="none"/>
        </w:rPr>
        <w:tab/>
      </w:r>
      <w:r>
        <w:rPr>
          <w:rFonts w:hint="eastAsia" w:ascii="宋体" w:hAnsi="宋体" w:eastAsia="宋体" w:cs="宋体"/>
          <w:b/>
          <w:bCs w:val="0"/>
          <w:kern w:val="0"/>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部门2021年政府性基金预算支出</w:t>
      </w:r>
      <w:r>
        <w:rPr>
          <w:rFonts w:hint="eastAsia" w:ascii="仿宋" w:hAnsi="仿宋" w:eastAsia="仿宋" w:cs="仿宋"/>
          <w:sz w:val="32"/>
          <w:szCs w:val="32"/>
        </w:rPr>
        <w:tab/>
      </w:r>
      <w:r>
        <w:rPr>
          <w:rFonts w:hint="eastAsia" w:ascii="仿宋" w:hAnsi="仿宋" w:eastAsia="仿宋" w:cs="仿宋"/>
          <w:sz w:val="32"/>
          <w:szCs w:val="32"/>
        </w:rPr>
        <w:t>0.00万元，预算数与上年持平。</w:t>
      </w:r>
      <w:r>
        <w:rPr>
          <w:rFonts w:hint="eastAsia" w:ascii="宋体" w:hAnsi="宋体" w:cs="宋体"/>
          <w:b/>
          <w:bCs w:val="0"/>
          <w:kern w:val="0"/>
          <w:sz w:val="32"/>
          <w:szCs w:val="32"/>
          <w:highlight w:val="none"/>
          <w:lang w:val="en-US" w:eastAsia="zh-CN"/>
        </w:rPr>
        <w:t xml:space="preserve"> </w:t>
      </w:r>
      <w:r>
        <w:rPr>
          <w:rFonts w:hint="eastAsia" w:ascii="宋体" w:hAnsi="宋体" w:eastAsia="宋体" w:cs="宋体"/>
          <w:b/>
          <w:bCs w:val="0"/>
          <w:kern w:val="0"/>
          <w:sz w:val="32"/>
          <w:szCs w:val="32"/>
          <w:highlight w:val="none"/>
        </w:rPr>
        <w:t xml:space="preserve"> </w:t>
      </w:r>
    </w:p>
    <w:p>
      <w:pPr>
        <w:pStyle w:val="5"/>
        <w:widowControl/>
        <w:numPr>
          <w:ilvl w:val="0"/>
          <w:numId w:val="3"/>
        </w:numPr>
        <w:spacing w:before="0" w:beforeAutospacing="0" w:after="0" w:afterAutospacing="0" w:line="560" w:lineRule="exact"/>
        <w:ind w:firstLine="643" w:firstLineChars="200"/>
        <w:jc w:val="both"/>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其他重要事项情况说明</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_GB2312" w:hAnsi="宋体" w:eastAsia="仿宋_GB2312" w:cs="宋体"/>
          <w:b/>
          <w:bCs w:val="0"/>
          <w:kern w:val="0"/>
          <w:sz w:val="32"/>
          <w:szCs w:val="32"/>
          <w:highlight w:val="none"/>
        </w:rPr>
        <w:t>（一）机关运行经费预算</w:t>
      </w:r>
      <w:r>
        <w:rPr>
          <w:rFonts w:hint="eastAsia" w:ascii="仿宋_GB2312" w:hAnsi="宋体" w:eastAsia="仿宋_GB2312" w:cs="宋体"/>
          <w:b/>
          <w:bCs w:val="0"/>
          <w:kern w:val="0"/>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rPr>
        <w:t>2021年，机关运行经费支出预算</w:t>
      </w:r>
      <w:r>
        <w:rPr>
          <w:rFonts w:hint="eastAsia" w:ascii="仿宋" w:hAnsi="仿宋" w:eastAsia="仿宋" w:cs="仿宋"/>
          <w:sz w:val="32"/>
          <w:szCs w:val="32"/>
          <w:lang w:val="en-US" w:eastAsia="zh-CN"/>
        </w:rPr>
        <w:t>8.6</w:t>
      </w:r>
      <w:r>
        <w:rPr>
          <w:rFonts w:hint="eastAsia" w:ascii="仿宋" w:hAnsi="仿宋" w:eastAsia="仿宋" w:cs="仿宋"/>
          <w:sz w:val="32"/>
          <w:szCs w:val="32"/>
        </w:rPr>
        <w:t>万元，主要用于办公及印刷费、邮电费、差旅费</w:t>
      </w:r>
      <w:r>
        <w:rPr>
          <w:rFonts w:hint="eastAsia" w:ascii="仿宋" w:hAnsi="仿宋" w:eastAsia="仿宋" w:cs="仿宋"/>
          <w:sz w:val="32"/>
          <w:szCs w:val="32"/>
          <w:highlight w:val="none"/>
        </w:rPr>
        <w:t>、</w:t>
      </w:r>
      <w:r>
        <w:rPr>
          <w:rFonts w:hint="eastAsia" w:ascii="仿宋" w:hAnsi="仿宋" w:eastAsia="仿宋" w:cs="仿宋"/>
          <w:sz w:val="32"/>
          <w:szCs w:val="32"/>
        </w:rPr>
        <w:t>会议费、水、电、暖、物业管理等运行维护费、公务用车运行维护费以及其他费用。</w:t>
      </w:r>
      <w:r>
        <w:rPr>
          <w:rFonts w:hint="eastAsia" w:ascii="仿宋" w:hAnsi="仿宋" w:eastAsia="仿宋" w:cs="仿宋"/>
          <w:sz w:val="32"/>
          <w:szCs w:val="32"/>
          <w:highlight w:val="none"/>
        </w:rPr>
        <w:tab/>
      </w:r>
    </w:p>
    <w:p>
      <w:pPr>
        <w:widowControl w:val="0"/>
        <w:wordWrap/>
        <w:adjustRightInd/>
        <w:snapToGrid w:val="0"/>
        <w:spacing w:line="56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（二）政府采购支出情况</w:t>
      </w:r>
    </w:p>
    <w:p>
      <w:pPr>
        <w:pStyle w:val="5"/>
        <w:widowControl/>
        <w:wordWrap/>
        <w:adjustRightInd/>
        <w:spacing w:beforeAutospacing="0" w:afterAutospacing="0"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sz w:val="32"/>
          <w:szCs w:val="32"/>
        </w:rPr>
        <w:t>2021年，政府采购预算安排</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rPr>
        <w:t>万元、政府采购服务预算</w:t>
      </w:r>
      <w:r>
        <w:rPr>
          <w:rFonts w:hint="eastAsia" w:ascii="仿宋" w:hAnsi="仿宋" w:eastAsia="仿宋" w:cs="仿宋"/>
          <w:color w:val="auto"/>
          <w:sz w:val="32"/>
          <w:szCs w:val="32"/>
          <w:highlight w:val="none"/>
          <w:lang w:val="en-US" w:eastAsia="zh-CN"/>
        </w:rPr>
        <w:t>0</w:t>
      </w:r>
      <w:r>
        <w:rPr>
          <w:rFonts w:hint="eastAsia" w:ascii="仿宋" w:hAnsi="仿宋" w:eastAsia="仿宋" w:cs="仿宋"/>
          <w:sz w:val="32"/>
          <w:szCs w:val="32"/>
        </w:rPr>
        <w:t>万元 。主要用于办公设备、办公用品购置及印刷品。</w:t>
      </w:r>
      <w:r>
        <w:rPr>
          <w:rFonts w:hint="eastAsia" w:ascii="仿宋" w:hAnsi="仿宋" w:eastAsia="仿宋" w:cs="仿宋"/>
          <w:color w:val="auto"/>
          <w:sz w:val="32"/>
          <w:szCs w:val="32"/>
          <w:highlight w:val="none"/>
        </w:rPr>
        <w:t>预算数与 2020年相比减少</w:t>
      </w:r>
      <w:r>
        <w:rPr>
          <w:rFonts w:hint="eastAsia" w:ascii="仿宋" w:hAnsi="仿宋" w:eastAsia="仿宋" w:cs="仿宋"/>
          <w:color w:val="auto"/>
          <w:sz w:val="32"/>
          <w:szCs w:val="32"/>
          <w:highlight w:val="none"/>
          <w:lang w:val="en-US" w:eastAsia="zh-CN"/>
        </w:rPr>
        <w:t>7.15</w:t>
      </w:r>
      <w:r>
        <w:rPr>
          <w:rFonts w:hint="eastAsia" w:ascii="仿宋" w:hAnsi="仿宋" w:eastAsia="仿宋" w:cs="仿宋"/>
          <w:color w:val="auto"/>
          <w:sz w:val="32"/>
          <w:szCs w:val="32"/>
          <w:highlight w:val="none"/>
        </w:rPr>
        <w:t xml:space="preserve">万元。 </w:t>
      </w:r>
    </w:p>
    <w:p>
      <w:pPr>
        <w:widowControl w:val="0"/>
        <w:wordWrap/>
        <w:adjustRightInd/>
        <w:snapToGrid w:val="0"/>
        <w:spacing w:line="56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（三）绩效目标设置情况</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2021年，我单位按要求编制了绩效目标，从项目产出、项目效益、满意度等方面设置了绩效指标，综合反映项目预期完成的数量、实效、质量，预期达到的社会经济效益、</w:t>
      </w:r>
      <w:r>
        <w:rPr>
          <w:rFonts w:hint="eastAsia" w:ascii="仿宋" w:hAnsi="仿宋" w:eastAsia="仿宋" w:cs="仿宋"/>
          <w:color w:val="auto"/>
          <w:sz w:val="32"/>
          <w:szCs w:val="32"/>
          <w:highlight w:val="none"/>
        </w:rPr>
        <w:t>可持</w:t>
      </w:r>
      <w:r>
        <w:rPr>
          <w:rFonts w:hint="eastAsia" w:ascii="仿宋" w:hAnsi="仿宋" w:eastAsia="仿宋" w:cs="仿宋"/>
          <w:sz w:val="32"/>
          <w:szCs w:val="32"/>
        </w:rPr>
        <w:t>续影响以及服务对象满意度等情况。</w:t>
      </w:r>
    </w:p>
    <w:p>
      <w:pPr>
        <w:widowControl w:val="0"/>
        <w:wordWrap/>
        <w:adjustRightInd/>
        <w:snapToGrid w:val="0"/>
        <w:spacing w:line="56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（四）国有资产占用情况</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0</w:t>
      </w:r>
      <w:r>
        <w:rPr>
          <w:rFonts w:hint="eastAsia" w:ascii="仿宋" w:hAnsi="仿宋" w:eastAsia="仿宋" w:cs="仿宋"/>
          <w:sz w:val="32"/>
          <w:szCs w:val="32"/>
        </w:rPr>
        <w:t>年</w:t>
      </w:r>
      <w:r>
        <w:rPr>
          <w:rFonts w:hint="eastAsia" w:ascii="仿宋" w:hAnsi="仿宋" w:eastAsia="仿宋" w:cs="仿宋"/>
          <w:sz w:val="32"/>
          <w:szCs w:val="32"/>
          <w:lang w:eastAsia="zh-CN"/>
        </w:rPr>
        <w:t>期末</w:t>
      </w:r>
      <w:r>
        <w:rPr>
          <w:rFonts w:hint="eastAsia" w:ascii="仿宋" w:hAnsi="仿宋" w:eastAsia="仿宋" w:cs="仿宋"/>
          <w:sz w:val="32"/>
          <w:szCs w:val="32"/>
        </w:rPr>
        <w:t>，我单位共有车辆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辆，其中：一般公务用车</w:t>
      </w:r>
      <w:r>
        <w:rPr>
          <w:rFonts w:hint="eastAsia" w:ascii="仿宋" w:hAnsi="仿宋" w:eastAsia="仿宋" w:cs="仿宋"/>
          <w:sz w:val="32"/>
          <w:szCs w:val="32"/>
          <w:lang w:val="en-US" w:eastAsia="zh-CN"/>
        </w:rPr>
        <w:t>1</w:t>
      </w:r>
      <w:r>
        <w:rPr>
          <w:rFonts w:hint="eastAsia" w:ascii="仿宋" w:hAnsi="仿宋" w:eastAsia="仿宋" w:cs="仿宋"/>
          <w:sz w:val="32"/>
          <w:szCs w:val="32"/>
        </w:rPr>
        <w:t>辆,一般执法执勤用车0辆、特种专业技术用车0辆，其他用车0辆；单价50万元以上通用设备0套，单位价值100万元以上专用设备0套。</w:t>
      </w:r>
    </w:p>
    <w:p>
      <w:pPr>
        <w:widowControl w:val="0"/>
        <w:wordWrap/>
        <w:adjustRightInd/>
        <w:snapToGrid w:val="0"/>
        <w:spacing w:line="560" w:lineRule="exact"/>
        <w:textAlignment w:val="auto"/>
        <w:rPr>
          <w:rFonts w:hint="eastAsia" w:ascii="仿宋" w:hAnsi="仿宋" w:eastAsia="仿宋" w:cs="仿宋"/>
          <w:b/>
          <w:bCs/>
          <w:sz w:val="32"/>
          <w:szCs w:val="32"/>
          <w:highlight w:val="none"/>
          <w:lang w:val="en-US" w:eastAsia="zh-CN"/>
        </w:rPr>
      </w:pPr>
      <w:r>
        <w:rPr>
          <w:rFonts w:hint="eastAsia" w:ascii="仿宋" w:hAnsi="仿宋" w:eastAsia="仿宋" w:cs="仿宋"/>
          <w:sz w:val="32"/>
          <w:szCs w:val="32"/>
        </w:rPr>
        <w:t xml:space="preserve">   </w:t>
      </w:r>
      <w:r>
        <w:rPr>
          <w:rFonts w:hint="eastAsia" w:ascii="仿宋" w:hAnsi="仿宋" w:eastAsia="仿宋" w:cs="仿宋"/>
          <w:b/>
          <w:bCs/>
          <w:sz w:val="32"/>
          <w:szCs w:val="32"/>
          <w:highlight w:val="none"/>
          <w:lang w:val="en-US" w:eastAsia="zh-CN"/>
        </w:rPr>
        <w:t xml:space="preserve"> （五）专项转移支付项目情况</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我单位2021年没有专项转移支付项目。</w:t>
      </w:r>
    </w:p>
    <w:p>
      <w:pPr>
        <w:widowControl w:val="0"/>
        <w:wordWrap/>
        <w:adjustRightInd/>
        <w:snapToGrid w:val="0"/>
        <w:spacing w:line="560" w:lineRule="exact"/>
        <w:textAlignment w:val="auto"/>
        <w:rPr>
          <w:rFonts w:hint="eastAsia" w:ascii="宋体" w:hAnsi="宋体" w:cs="宋体"/>
          <w:b/>
          <w:bCs/>
          <w:kern w:val="0"/>
          <w:sz w:val="32"/>
          <w:szCs w:val="32"/>
          <w:highlight w:val="yellow"/>
        </w:rPr>
      </w:pPr>
    </w:p>
    <w:p>
      <w:pPr>
        <w:jc w:val="center"/>
        <w:rPr>
          <w:rFonts w:hint="eastAsia" w:ascii="宋体" w:hAnsi="宋体" w:cs="宋体"/>
          <w:b/>
          <w:bCs/>
          <w:kern w:val="0"/>
          <w:sz w:val="32"/>
          <w:szCs w:val="32"/>
          <w:highlight w:val="none"/>
        </w:rPr>
      </w:pPr>
      <w:r>
        <w:rPr>
          <w:rFonts w:hint="eastAsia" w:ascii="宋体" w:hAnsi="宋体" w:cs="宋体"/>
          <w:b/>
          <w:bCs/>
          <w:kern w:val="0"/>
          <w:sz w:val="32"/>
          <w:szCs w:val="32"/>
          <w:highlight w:val="none"/>
        </w:rPr>
        <w:t>第三部分</w:t>
      </w:r>
    </w:p>
    <w:p>
      <w:pPr>
        <w:widowControl w:val="0"/>
        <w:wordWrap/>
        <w:adjustRightInd/>
        <w:snapToGrid w:val="0"/>
        <w:spacing w:line="560" w:lineRule="exact"/>
        <w:jc w:val="center"/>
        <w:textAlignment w:val="auto"/>
        <w:rPr>
          <w:rFonts w:hint="eastAsia" w:ascii="宋体" w:hAnsi="宋体" w:cs="宋体"/>
          <w:b/>
          <w:bCs/>
          <w:kern w:val="0"/>
          <w:sz w:val="32"/>
          <w:szCs w:val="32"/>
          <w:highlight w:val="none"/>
        </w:rPr>
      </w:pPr>
      <w:r>
        <w:rPr>
          <w:rFonts w:hint="eastAsia" w:ascii="宋体" w:hAnsi="宋体" w:cs="宋体"/>
          <w:b/>
          <w:bCs/>
          <w:kern w:val="0"/>
          <w:sz w:val="32"/>
          <w:szCs w:val="32"/>
          <w:highlight w:val="none"/>
        </w:rPr>
        <w:t>名词解释</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一、财政拨款收入：是指省级财政当年拨付的资金。</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二、事业收入：是指事业单位开展专业活动及辅助活动所取得的收入。</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三、其他收入：是指部门取得的除“财政拨款”、“事业收入”、“事业单位经营收入”等以外的收入。</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四、用事业基金弥补收支差额：是指事业单位在当年的“财政拨款收入”、“事业收入”、“经营收入”和“其他收入”不足以安排当年支出的情况下，使用以前年度积累的事业基金</w:t>
      </w:r>
      <w:r>
        <w:rPr>
          <w:rFonts w:hint="eastAsia" w:ascii="仿宋" w:hAnsi="仿宋" w:eastAsia="仿宋" w:cs="仿宋"/>
          <w:sz w:val="32"/>
          <w:szCs w:val="32"/>
          <w:highlight w:val="none"/>
          <w:lang w:eastAsia="zh-CN"/>
        </w:rPr>
        <w:t>（</w:t>
      </w:r>
      <w:r>
        <w:rPr>
          <w:rFonts w:hint="eastAsia" w:ascii="仿宋" w:hAnsi="仿宋" w:eastAsia="仿宋" w:cs="仿宋"/>
          <w:sz w:val="32"/>
          <w:szCs w:val="32"/>
        </w:rPr>
        <w:t>即事业单位以前各年度收支相抵后，按国家规定提取、用于弥补以后年度收支差额的基金</w:t>
      </w:r>
      <w:r>
        <w:rPr>
          <w:rFonts w:hint="eastAsia" w:ascii="仿宋" w:hAnsi="仿宋" w:eastAsia="仿宋" w:cs="仿宋"/>
          <w:sz w:val="32"/>
          <w:szCs w:val="32"/>
          <w:highlight w:val="none"/>
          <w:lang w:eastAsia="zh-CN"/>
        </w:rPr>
        <w:t>）</w:t>
      </w:r>
      <w:r>
        <w:rPr>
          <w:rFonts w:hint="eastAsia" w:ascii="仿宋" w:hAnsi="仿宋" w:eastAsia="仿宋" w:cs="仿宋"/>
          <w:sz w:val="32"/>
          <w:szCs w:val="32"/>
        </w:rPr>
        <w:t>弥补当年收支缺口的资金。</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五、基本支出：是指为保障机构正常运转、完成日常工作任务所必需的开支，其内容包括人员经费和日常公用经费两部分。</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六、项目支出：是指在基本支出之外，为完成特定的行政工作任务或事业发展目标所发生的支出。</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七、“三公”经费：是指纳入省级财政预算管理，部门使用财政拨款安排的因公出国</w:t>
      </w:r>
      <w:r>
        <w:rPr>
          <w:rFonts w:hint="eastAsia" w:ascii="仿宋" w:hAnsi="仿宋" w:eastAsia="仿宋" w:cs="仿宋"/>
          <w:sz w:val="32"/>
          <w:szCs w:val="32"/>
          <w:highlight w:val="none"/>
          <w:lang w:eastAsia="zh-CN"/>
        </w:rPr>
        <w:t>（</w:t>
      </w:r>
      <w:r>
        <w:rPr>
          <w:rFonts w:hint="eastAsia" w:ascii="仿宋" w:hAnsi="仿宋" w:eastAsia="仿宋" w:cs="仿宋"/>
          <w:sz w:val="32"/>
          <w:szCs w:val="32"/>
        </w:rPr>
        <w:t>境</w:t>
      </w:r>
      <w:r>
        <w:rPr>
          <w:rFonts w:hint="eastAsia" w:ascii="仿宋" w:hAnsi="仿宋" w:eastAsia="仿宋" w:cs="仿宋"/>
          <w:sz w:val="32"/>
          <w:szCs w:val="32"/>
          <w:highlight w:val="none"/>
          <w:lang w:eastAsia="zh-CN"/>
        </w:rPr>
        <w:t>）</w:t>
      </w:r>
      <w:r>
        <w:rPr>
          <w:rFonts w:hint="eastAsia" w:ascii="仿宋" w:hAnsi="仿宋" w:eastAsia="仿宋" w:cs="仿宋"/>
          <w:sz w:val="32"/>
          <w:szCs w:val="32"/>
        </w:rPr>
        <w:t>费、公务用车购置及运行费和公务接待费。其中，因公出国</w:t>
      </w:r>
      <w:r>
        <w:rPr>
          <w:rFonts w:hint="eastAsia" w:ascii="仿宋" w:hAnsi="仿宋" w:eastAsia="仿宋" w:cs="仿宋"/>
          <w:sz w:val="32"/>
          <w:szCs w:val="32"/>
          <w:highlight w:val="none"/>
          <w:lang w:eastAsia="zh-CN"/>
        </w:rPr>
        <w:t>（</w:t>
      </w:r>
      <w:r>
        <w:rPr>
          <w:rFonts w:hint="eastAsia" w:ascii="仿宋" w:hAnsi="仿宋" w:eastAsia="仿宋" w:cs="仿宋"/>
          <w:sz w:val="32"/>
          <w:szCs w:val="32"/>
        </w:rPr>
        <w:t>境</w:t>
      </w:r>
      <w:r>
        <w:rPr>
          <w:rFonts w:hint="eastAsia" w:ascii="仿宋" w:hAnsi="仿宋" w:eastAsia="仿宋" w:cs="仿宋"/>
          <w:sz w:val="32"/>
          <w:szCs w:val="32"/>
          <w:highlight w:val="none"/>
          <w:lang w:eastAsia="zh-CN"/>
        </w:rPr>
        <w:t>）</w:t>
      </w:r>
      <w:r>
        <w:rPr>
          <w:rFonts w:hint="eastAsia" w:ascii="仿宋" w:hAnsi="仿宋" w:eastAsia="仿宋" w:cs="仿宋"/>
          <w:sz w:val="32"/>
          <w:szCs w:val="32"/>
        </w:rPr>
        <w:t>费反映单位公务出国</w:t>
      </w:r>
      <w:r>
        <w:rPr>
          <w:rFonts w:hint="eastAsia" w:ascii="仿宋" w:hAnsi="仿宋" w:eastAsia="仿宋" w:cs="仿宋"/>
          <w:sz w:val="32"/>
          <w:szCs w:val="32"/>
          <w:highlight w:val="none"/>
          <w:lang w:eastAsia="zh-CN"/>
        </w:rPr>
        <w:t>（</w:t>
      </w:r>
      <w:r>
        <w:rPr>
          <w:rFonts w:hint="eastAsia" w:ascii="仿宋" w:hAnsi="仿宋" w:eastAsia="仿宋" w:cs="仿宋"/>
          <w:sz w:val="32"/>
          <w:szCs w:val="32"/>
        </w:rPr>
        <w:t>境</w:t>
      </w:r>
      <w:r>
        <w:rPr>
          <w:rFonts w:hint="eastAsia" w:ascii="仿宋" w:hAnsi="仿宋" w:eastAsia="仿宋" w:cs="仿宋"/>
          <w:sz w:val="32"/>
          <w:szCs w:val="32"/>
          <w:highlight w:val="none"/>
          <w:lang w:eastAsia="zh-CN"/>
        </w:rPr>
        <w:t>）</w:t>
      </w:r>
      <w:r>
        <w:rPr>
          <w:rFonts w:hint="eastAsia" w:ascii="仿宋" w:hAnsi="仿宋" w:eastAsia="仿宋" w:cs="仿宋"/>
          <w:sz w:val="32"/>
          <w:szCs w:val="32"/>
        </w:rPr>
        <w:t>的住宿费、旅费、伙食补助费、杂费、培训费等支出；公务用车购置及运行费反映单位公务用车购置费及租用费、燃料费、维修费、过路过桥费、保险费、安全奖励费用等支出；公务接待费反映单位按规定开支的各类公务接待</w:t>
      </w:r>
      <w:r>
        <w:rPr>
          <w:rFonts w:hint="eastAsia" w:ascii="仿宋" w:hAnsi="仿宋" w:eastAsia="仿宋" w:cs="仿宋"/>
          <w:sz w:val="32"/>
          <w:szCs w:val="32"/>
          <w:highlight w:val="none"/>
          <w:lang w:eastAsia="zh-CN"/>
        </w:rPr>
        <w:t>（</w:t>
      </w:r>
      <w:r>
        <w:rPr>
          <w:rFonts w:hint="eastAsia" w:ascii="仿宋" w:hAnsi="仿宋" w:eastAsia="仿宋" w:cs="仿宋"/>
          <w:sz w:val="32"/>
          <w:szCs w:val="32"/>
        </w:rPr>
        <w:t>含外宾接待</w:t>
      </w:r>
      <w:r>
        <w:rPr>
          <w:rFonts w:hint="eastAsia" w:ascii="仿宋" w:hAnsi="仿宋" w:eastAsia="仿宋" w:cs="仿宋"/>
          <w:sz w:val="32"/>
          <w:szCs w:val="32"/>
          <w:highlight w:val="none"/>
          <w:lang w:eastAsia="zh-CN"/>
        </w:rPr>
        <w:t>）</w:t>
      </w:r>
      <w:r>
        <w:rPr>
          <w:rFonts w:hint="eastAsia" w:ascii="仿宋" w:hAnsi="仿宋" w:eastAsia="仿宋" w:cs="仿宋"/>
          <w:sz w:val="32"/>
          <w:szCs w:val="32"/>
        </w:rPr>
        <w:t>支出。</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八、机关运行经费：是指为保障行政单位</w:t>
      </w:r>
      <w:r>
        <w:rPr>
          <w:rFonts w:hint="eastAsia" w:ascii="仿宋" w:hAnsi="仿宋" w:eastAsia="仿宋" w:cs="仿宋"/>
          <w:sz w:val="32"/>
          <w:szCs w:val="32"/>
          <w:highlight w:val="none"/>
          <w:lang w:eastAsia="zh-CN"/>
        </w:rPr>
        <w:t>（</w:t>
      </w:r>
      <w:r>
        <w:rPr>
          <w:rFonts w:hint="eastAsia" w:ascii="仿宋" w:hAnsi="仿宋" w:eastAsia="仿宋" w:cs="仿宋"/>
          <w:sz w:val="32"/>
          <w:szCs w:val="32"/>
        </w:rPr>
        <w:t>含参照公务员法管理的事业单位</w:t>
      </w:r>
      <w:r>
        <w:rPr>
          <w:rFonts w:hint="eastAsia" w:ascii="仿宋" w:hAnsi="仿宋" w:eastAsia="仿宋" w:cs="仿宋"/>
          <w:sz w:val="32"/>
          <w:szCs w:val="32"/>
          <w:highlight w:val="none"/>
          <w:lang w:eastAsia="zh-CN"/>
        </w:rPr>
        <w:t>）</w:t>
      </w:r>
      <w:r>
        <w:rPr>
          <w:rFonts w:hint="eastAsia" w:ascii="仿宋" w:hAnsi="仿宋" w:eastAsia="仿宋" w:cs="仿宋"/>
          <w:sz w:val="32"/>
          <w:szCs w:val="32"/>
        </w:rPr>
        <w:t>运行用于购买货物和服务的各项资金，包括办公及印刷费、邮电费、差旅费、会议费、福利费、日常维修费及一般设备购置费、办公用房水电费、办公用房取暖费、办公用房物业管理费、公务用车运行维护费以及其他费用。</w:t>
      </w:r>
    </w:p>
    <w:p>
      <w:pPr>
        <w:rPr>
          <w:rFonts w:hint="eastAsia" w:ascii="宋体" w:hAnsi="宋体" w:eastAsia="宋体" w:cs="宋体"/>
          <w:b/>
          <w:bCs w:val="0"/>
          <w:kern w:val="0"/>
          <w:sz w:val="32"/>
          <w:szCs w:val="32"/>
          <w:highlight w:val="none"/>
          <w:lang w:eastAsia="zh-CN"/>
        </w:rPr>
      </w:pPr>
    </w:p>
    <w:p>
      <w:pPr>
        <w:rPr>
          <w:rFonts w:hint="eastAsia" w:ascii="宋体" w:hAnsi="宋体" w:eastAsia="宋体" w:cs="宋体"/>
          <w:b/>
          <w:bCs w:val="0"/>
          <w:kern w:val="0"/>
          <w:sz w:val="32"/>
          <w:szCs w:val="32"/>
          <w:highlight w:val="none"/>
          <w:lang w:eastAsia="zh-CN"/>
        </w:rPr>
      </w:pPr>
      <w:bookmarkStart w:id="0" w:name="_GoBack"/>
      <w:bookmarkEnd w:id="0"/>
    </w:p>
    <w:p>
      <w:pPr>
        <w:rPr>
          <w:rFonts w:hint="eastAsia" w:ascii="宋体" w:hAnsi="宋体" w:eastAsia="宋体" w:cs="宋体"/>
          <w:b/>
          <w:bCs w:val="0"/>
          <w:kern w:val="0"/>
          <w:sz w:val="32"/>
          <w:szCs w:val="32"/>
          <w:highlight w:val="none"/>
          <w:lang w:eastAsia="zh-CN"/>
        </w:rPr>
      </w:pPr>
      <w:r>
        <w:rPr>
          <w:rFonts w:hint="eastAsia" w:ascii="宋体" w:hAnsi="宋体" w:eastAsia="宋体" w:cs="宋体"/>
          <w:b/>
          <w:bCs w:val="0"/>
          <w:kern w:val="0"/>
          <w:sz w:val="32"/>
          <w:szCs w:val="32"/>
          <w:highlight w:val="none"/>
          <w:lang w:eastAsia="zh-CN"/>
        </w:rPr>
        <w:t>附件：</w:t>
      </w:r>
    </w:p>
    <w:p>
      <w:pPr>
        <w:ind w:firstLine="1285" w:firstLineChars="400"/>
        <w:rPr>
          <w:rFonts w:hint="default" w:ascii="仿宋_GB2312" w:hAnsi="宋体" w:eastAsia="仿宋_GB2312" w:cs="宋体"/>
          <w:bCs/>
          <w:kern w:val="0"/>
          <w:sz w:val="32"/>
          <w:szCs w:val="32"/>
          <w:highlight w:val="none"/>
          <w:lang w:val="en-US" w:eastAsia="zh-CN"/>
        </w:rPr>
      </w:pPr>
      <w:r>
        <w:rPr>
          <w:rFonts w:hint="eastAsia" w:ascii="宋体" w:hAnsi="宋体" w:eastAsia="宋体" w:cs="宋体"/>
          <w:b/>
          <w:bCs w:val="0"/>
          <w:kern w:val="0"/>
          <w:sz w:val="32"/>
          <w:szCs w:val="32"/>
          <w:highlight w:val="none"/>
          <w:lang w:eastAsia="zh-CN"/>
        </w:rPr>
        <w:t>平顶山市卫东区</w:t>
      </w:r>
      <w:r>
        <w:rPr>
          <w:rFonts w:hint="eastAsia" w:ascii="宋体" w:hAnsi="宋体" w:cs="宋体"/>
          <w:b/>
          <w:bCs w:val="0"/>
          <w:kern w:val="0"/>
          <w:sz w:val="32"/>
          <w:szCs w:val="32"/>
          <w:highlight w:val="none"/>
          <w:lang w:val="en-US" w:eastAsia="zh-CN"/>
        </w:rPr>
        <w:t>发展和改革委员会</w:t>
      </w:r>
      <w:r>
        <w:rPr>
          <w:rFonts w:hint="eastAsia" w:ascii="宋体" w:hAnsi="宋体" w:eastAsia="宋体" w:cs="宋体"/>
          <w:b/>
          <w:bCs w:val="0"/>
          <w:kern w:val="0"/>
          <w:sz w:val="32"/>
          <w:szCs w:val="32"/>
          <w:highlight w:val="none"/>
          <w:lang w:val="en-US" w:eastAsia="zh-CN"/>
        </w:rPr>
        <w:t>2021年部门预算表</w:t>
      </w:r>
    </w:p>
    <w:p>
      <w:pPr>
        <w:widowControl w:val="0"/>
        <w:wordWrap/>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widowControl w:val="0"/>
        <w:wordWrap/>
        <w:adjustRightInd/>
        <w:snapToGrid w:val="0"/>
        <w:spacing w:line="560" w:lineRule="exact"/>
        <w:textAlignment w:val="auto"/>
      </w:pPr>
      <w:r>
        <w:rPr>
          <w:rFonts w:hint="eastAsia" w:ascii="仿宋" w:hAnsi="仿宋" w:eastAsia="仿宋" w:cs="仿宋"/>
          <w:sz w:val="32"/>
          <w:szCs w:val="32"/>
        </w:rPr>
        <w:tab/>
      </w:r>
      <w:r>
        <w:rPr>
          <w:rFonts w:hint="eastAsia" w:ascii="仿宋" w:hAnsi="仿宋" w:eastAsia="仿宋" w:cs="仿宋"/>
          <w:sz w:val="32"/>
          <w:szCs w:val="32"/>
        </w:rPr>
        <w:tab/>
      </w:r>
    </w:p>
    <w:sectPr>
      <w:headerReference r:id="rId4" w:type="default"/>
      <w:footerReference r:id="rId5" w:type="default"/>
      <w:pgSz w:w="11906" w:h="16838"/>
      <w:pgMar w:top="2098" w:right="1474" w:bottom="1984" w:left="1587" w:header="851" w:footer="992" w:gutter="0"/>
      <w:pgNumType w:fmt="decimal"/>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E10002FF" w:usb1="4000ACFF" w:usb2="00000009" w:usb3="00000000" w:csb0="2000019F"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
    <w:nsid w:val="00000003"/>
    <w:multiLevelType w:val="singleLevel"/>
    <w:tmpl w:val="00000003"/>
    <w:lvl w:ilvl="0" w:tentative="1">
      <w:start w:val="1"/>
      <w:numFmt w:val="chineseCounting"/>
      <w:suff w:val="nothing"/>
      <w:lvlText w:val="%1、"/>
      <w:lvlJc w:val="left"/>
    </w:lvl>
  </w:abstractNum>
  <w:abstractNum w:abstractNumId="4">
    <w:nsid w:val="00000004"/>
    <w:multiLevelType w:val="singleLevel"/>
    <w:tmpl w:val="00000004"/>
    <w:lvl w:ilvl="0" w:tentative="1">
      <w:start w:val="1"/>
      <w:numFmt w:val="chineseCounting"/>
      <w:suff w:val="nothing"/>
      <w:lvlText w:val="（%1）"/>
      <w:lvlJc w:val="left"/>
      <w:rPr>
        <w:rFonts w:hint="eastAsia"/>
        <w:b/>
        <w:bCs/>
      </w:rPr>
    </w:lvl>
  </w:abstractNum>
  <w:abstractNum w:abstractNumId="5">
    <w:nsid w:val="00000005"/>
    <w:multiLevelType w:val="singleLevel"/>
    <w:tmpl w:val="00000005"/>
    <w:lvl w:ilvl="0" w:tentative="1">
      <w:start w:val="9"/>
      <w:numFmt w:val="chineseCounting"/>
      <w:suff w:val="nothing"/>
      <w:lvlText w:val="%1、"/>
      <w:lvlJc w:val="left"/>
      <w:rPr>
        <w:rFonts w:hint="eastAsia"/>
      </w:rPr>
    </w:lvl>
  </w:abstractNum>
  <w:num w:numId="1">
    <w:abstractNumId w:val="3"/>
  </w:num>
  <w:num w:numId="2">
    <w:abstractNumId w:val="4"/>
  </w:num>
  <w:num w:numId="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Normal (Web)"/>
    <w:basedOn w:val="1"/>
    <w:pPr>
      <w:spacing w:before="0" w:beforeAutospacing="1" w:after="0" w:afterAutospacing="1"/>
      <w:ind w:left="0" w:right="0"/>
      <w:jc w:val="left"/>
    </w:pPr>
    <w:rPr>
      <w:kern w:val="0"/>
      <w:sz w:val="24"/>
      <w:lang w:val="en-US" w:eastAsia="zh-CN"/>
    </w:rPr>
  </w:style>
  <w:style w:type="paragraph" w:customStyle="1" w:styleId="6">
    <w:name w:val="p0"/>
    <w:basedOn w:val="1"/>
    <w:pPr>
      <w:widowControl/>
    </w:pPr>
    <w:rPr>
      <w:kern w:val="0"/>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2021-03-04T08:17:00Z</dcterms:created>
  <dc:creator>翾1367974113</dc:creator>
  <dcterms:modified xsi:type="dcterms:W3CDTF">2021-06-09T17:56:03Z</dcterms:modified>
  <dc:title>爱喝酸奶的奥利奥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9C2373A38C084B399F6CA860361412E8</vt:lpwstr>
  </property>
</Properties>
</file>