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b/>
          <w:bCs/>
          <w:sz w:val="44"/>
          <w:szCs w:val="44"/>
        </w:rPr>
      </w:pPr>
      <w:r>
        <w:rPr>
          <w:rFonts w:hint="eastAsia" w:ascii="宋体" w:hAnsi="宋体" w:eastAsia="宋体" w:cs="宋体"/>
          <w:b/>
          <w:bCs/>
          <w:sz w:val="44"/>
          <w:szCs w:val="44"/>
        </w:rPr>
        <w:t>2021年平顶山市卫东区城市管理局</w:t>
      </w:r>
    </w:p>
    <w:p>
      <w:pPr>
        <w:jc w:val="center"/>
        <w:rPr>
          <w:rFonts w:hint="eastAsia" w:ascii="宋体" w:hAnsi="宋体" w:eastAsia="宋体" w:cs="宋体"/>
          <w:b/>
          <w:bCs/>
          <w:sz w:val="44"/>
          <w:szCs w:val="44"/>
        </w:rPr>
      </w:pPr>
      <w:r>
        <w:rPr>
          <w:rFonts w:hint="eastAsia" w:ascii="宋体" w:hAnsi="宋体" w:cs="宋体"/>
          <w:b/>
          <w:bCs/>
          <w:sz w:val="44"/>
          <w:szCs w:val="44"/>
          <w:lang w:eastAsia="zh-CN"/>
        </w:rPr>
        <w:t>部</w:t>
      </w:r>
      <w:r>
        <w:rPr>
          <w:rFonts w:hint="eastAsia" w:ascii="宋体" w:hAnsi="宋体" w:eastAsia="宋体" w:cs="宋体"/>
          <w:b/>
          <w:bCs/>
          <w:sz w:val="44"/>
          <w:szCs w:val="44"/>
        </w:rPr>
        <w:t>门预算说明</w:t>
      </w:r>
    </w:p>
    <w:p>
      <w:pPr>
        <w:jc w:val="center"/>
        <w:rPr>
          <w:rFonts w:hint="eastAsia" w:ascii="宋体" w:hAnsi="宋体" w:eastAsia="宋体" w:cs="宋体"/>
          <w:b/>
          <w:bCs/>
          <w:sz w:val="44"/>
          <w:szCs w:val="44"/>
        </w:rPr>
      </w:pPr>
    </w:p>
    <w:p>
      <w:pPr>
        <w:widowControl w:val="0"/>
        <w:wordWrap/>
        <w:adjustRightInd/>
        <w:snapToGrid w:val="0"/>
        <w:spacing w:line="560" w:lineRule="exact"/>
        <w:jc w:val="center"/>
        <w:textAlignment w:val="auto"/>
        <w:rPr>
          <w:rFonts w:hint="eastAsia" w:ascii="仿宋" w:hAnsi="仿宋" w:eastAsia="仿宋" w:cs="仿宋"/>
          <w:sz w:val="32"/>
          <w:szCs w:val="32"/>
        </w:rPr>
      </w:pPr>
      <w:r>
        <w:rPr>
          <w:rFonts w:hint="eastAsia" w:ascii="宋体" w:hAnsi="宋体" w:cs="宋体"/>
          <w:b/>
          <w:bCs/>
          <w:kern w:val="0"/>
          <w:sz w:val="44"/>
          <w:szCs w:val="44"/>
        </w:rPr>
        <w:t>目　录</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宋体" w:hAnsi="宋体" w:eastAsia="宋体" w:cs="宋体"/>
          <w:b/>
          <w:bCs/>
          <w:sz w:val="32"/>
          <w:szCs w:val="32"/>
        </w:rPr>
        <w:t>第一部分</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平顶山市卫东区城市管理局概况</w:t>
      </w:r>
      <w:r>
        <w:rPr>
          <w:rFonts w:hint="eastAsia" w:ascii="仿宋" w:hAnsi="仿宋" w:eastAsia="仿宋" w:cs="仿宋"/>
          <w:sz w:val="32"/>
          <w:szCs w:val="32"/>
        </w:rPr>
        <w:t xml:space="preserve">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一、主要职能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二、部门预算单位构成    </w:t>
      </w:r>
    </w:p>
    <w:p>
      <w:pPr>
        <w:widowControl w:val="0"/>
        <w:wordWrap/>
        <w:adjustRightInd/>
        <w:snapToGrid w:val="0"/>
        <w:spacing w:line="56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第二部分</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 xml:space="preserve">平顶山市卫东区城市管理局2021年部门预算情况说明    </w:t>
      </w:r>
    </w:p>
    <w:p>
      <w:pPr>
        <w:widowControl w:val="0"/>
        <w:wordWrap/>
        <w:adjustRightInd/>
        <w:snapToGrid w:val="0"/>
        <w:spacing w:line="56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第三部分</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 xml:space="preserve">名词解释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宋体" w:hAnsi="宋体" w:eastAsia="宋体" w:cs="宋体"/>
          <w:b/>
          <w:bCs/>
          <w:sz w:val="32"/>
          <w:szCs w:val="32"/>
        </w:rPr>
        <w:t>附件： 平顶山市卫东区城市管理局2021年部门预算表</w:t>
      </w:r>
      <w:r>
        <w:rPr>
          <w:rFonts w:hint="eastAsia" w:ascii="宋体" w:hAnsi="宋体" w:eastAsia="宋体" w:cs="宋体"/>
          <w:sz w:val="32"/>
          <w:szCs w:val="32"/>
        </w:rPr>
        <w:t xml:space="preserve">  </w:t>
      </w:r>
      <w:r>
        <w:rPr>
          <w:rFonts w:hint="eastAsia" w:ascii="仿宋" w:hAnsi="仿宋" w:eastAsia="仿宋" w:cs="仿宋"/>
          <w:sz w:val="32"/>
          <w:szCs w:val="32"/>
        </w:rPr>
        <w:t xml:space="preserve">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一、部门收支总体情况表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二、部门收入总体情况表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三、部门支出总体情况表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四、财政拨款收支总体情况表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五、一般公共预算支出情况表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六、支出</w:t>
      </w:r>
      <w:r>
        <w:rPr>
          <w:rFonts w:hint="eastAsia" w:ascii="仿宋" w:hAnsi="仿宋" w:eastAsia="仿宋" w:cs="仿宋"/>
          <w:sz w:val="32"/>
          <w:szCs w:val="32"/>
          <w:lang w:eastAsia="zh-CN"/>
        </w:rPr>
        <w:t>预算</w:t>
      </w:r>
      <w:r>
        <w:rPr>
          <w:rFonts w:hint="eastAsia" w:ascii="仿宋" w:hAnsi="仿宋" w:eastAsia="仿宋" w:cs="仿宋"/>
          <w:sz w:val="32"/>
          <w:szCs w:val="32"/>
        </w:rPr>
        <w:t>分类汇总表</w:t>
      </w:r>
    </w:p>
    <w:p>
      <w:pPr>
        <w:widowControl w:val="0"/>
        <w:wordWrap/>
        <w:adjustRightInd/>
        <w:snapToGrid w:val="0"/>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七、一般公共预算“三公”经费支出情况表</w:t>
      </w:r>
      <w:r>
        <w:rPr>
          <w:rFonts w:hint="eastAsia" w:ascii="仿宋" w:hAnsi="仿宋" w:eastAsia="仿宋" w:cs="仿宋"/>
          <w:sz w:val="32"/>
          <w:szCs w:val="32"/>
          <w:lang w:val="en-US" w:eastAsia="zh-CN"/>
        </w:rPr>
        <w:t xml:space="preserve">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八、政府性基金预算支出情况表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九、部门</w:t>
      </w:r>
      <w:r>
        <w:rPr>
          <w:rFonts w:hint="eastAsia" w:ascii="仿宋" w:hAnsi="仿宋" w:eastAsia="仿宋" w:cs="仿宋"/>
          <w:sz w:val="32"/>
          <w:szCs w:val="32"/>
          <w:highlight w:val="none"/>
          <w:lang w:eastAsia="zh-CN"/>
        </w:rPr>
        <w:t>（</w:t>
      </w:r>
      <w:r>
        <w:rPr>
          <w:rFonts w:hint="eastAsia" w:ascii="仿宋" w:hAnsi="仿宋" w:eastAsia="仿宋" w:cs="仿宋"/>
          <w:sz w:val="32"/>
          <w:szCs w:val="32"/>
        </w:rPr>
        <w:t>单位</w:t>
      </w:r>
      <w:r>
        <w:rPr>
          <w:rFonts w:hint="eastAsia" w:ascii="仿宋" w:hAnsi="仿宋" w:eastAsia="仿宋" w:cs="仿宋"/>
          <w:sz w:val="32"/>
          <w:szCs w:val="32"/>
          <w:highlight w:val="none"/>
          <w:lang w:eastAsia="zh-CN"/>
        </w:rPr>
        <w:t>）</w:t>
      </w:r>
      <w:r>
        <w:rPr>
          <w:rFonts w:hint="eastAsia" w:ascii="仿宋" w:hAnsi="仿宋" w:eastAsia="仿宋" w:cs="仿宋"/>
          <w:sz w:val="32"/>
          <w:szCs w:val="32"/>
        </w:rPr>
        <w:t>整体绩效目标表</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十、部门预算项目绩效目标</w:t>
      </w:r>
      <w:r>
        <w:rPr>
          <w:rFonts w:hint="eastAsia" w:ascii="仿宋" w:hAnsi="仿宋" w:eastAsia="仿宋" w:cs="仿宋"/>
          <w:sz w:val="32"/>
          <w:szCs w:val="32"/>
          <w:lang w:eastAsia="zh-CN"/>
        </w:rPr>
        <w:t>汇总</w:t>
      </w:r>
      <w:r>
        <w:rPr>
          <w:rFonts w:hint="eastAsia" w:ascii="仿宋" w:hAnsi="仿宋" w:eastAsia="仿宋" w:cs="仿宋"/>
          <w:sz w:val="32"/>
          <w:szCs w:val="32"/>
        </w:rPr>
        <w:t>表</w:t>
      </w:r>
      <w:r>
        <w:rPr>
          <w:rFonts w:hint="eastAsia" w:ascii="仿宋" w:hAnsi="仿宋" w:eastAsia="仿宋" w:cs="仿宋"/>
          <w:sz w:val="32"/>
          <w:szCs w:val="32"/>
        </w:rPr>
        <w:tab/>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p>
    <w:p>
      <w:pPr>
        <w:widowControl w:val="0"/>
        <w:wordWrap/>
        <w:adjustRightInd/>
        <w:snapToGrid w:val="0"/>
        <w:spacing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第一部分</w:t>
      </w:r>
    </w:p>
    <w:p>
      <w:pPr>
        <w:widowControl w:val="0"/>
        <w:wordWrap/>
        <w:adjustRightInd/>
        <w:snapToGrid w:val="0"/>
        <w:spacing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平顶山市卫东区城市管理局概况</w:t>
      </w:r>
    </w:p>
    <w:p>
      <w:pPr>
        <w:widowControl w:val="0"/>
        <w:wordWrap/>
        <w:adjustRightInd/>
        <w:snapToGrid w:val="0"/>
        <w:spacing w:line="560" w:lineRule="exact"/>
        <w:jc w:val="center"/>
        <w:textAlignment w:val="auto"/>
        <w:rPr>
          <w:rFonts w:hint="eastAsia" w:ascii="宋体" w:hAnsi="宋体" w:eastAsia="宋体" w:cs="宋体"/>
          <w:b/>
          <w:bCs/>
          <w:sz w:val="32"/>
          <w:szCs w:val="32"/>
        </w:rPr>
      </w:pPr>
    </w:p>
    <w:p>
      <w:pPr>
        <w:widowControl w:val="0"/>
        <w:wordWrap/>
        <w:adjustRightInd/>
        <w:snapToGrid w:val="0"/>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b/>
          <w:bCs/>
          <w:sz w:val="32"/>
          <w:szCs w:val="32"/>
        </w:rPr>
        <w:t>一、平顶山市卫东区城市管理局主要职能</w:t>
      </w:r>
      <w:r>
        <w:rPr>
          <w:rFonts w:hint="eastAsia" w:ascii="宋体" w:hAnsi="宋体" w:eastAsia="宋体" w:cs="宋体"/>
          <w:sz w:val="32"/>
          <w:szCs w:val="32"/>
        </w:rPr>
        <w:tab/>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(一)贯彻执行国家、省、市有关城市管理和城市综合执法工作的法律、法规和政策;贯彻执行有关地方性法规、规章和政策措施;拟定全区城市管理和城市综合执法规范性文件并监督执行。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(二)负责拟订卫东区城市管理和综合执法工作发展总体规划、中长期规划、专项规划和年度计划并组织实施。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(三)承担全区市政设施、市容市貌等方面的管理责任和环境卫生方面的行政执法职能;负责与城市管理密切相关、需要纳入统一管理的公共空间秩序管理、违法建设治理等工作。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(四)负责全区城市管理行政审批服务事项管理工作,并承担相应责任。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(五)负责全区与群众生产生活密切相关、执法频率高、多头执法扰民问题突出、专业技术要求适宜、与城市管理密切相关且需要集中行使行政处罚权的领域推行综合执法工作。具体范围是：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住房城乡建设领域法律法规规章规定的全部行政处罚权;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环境保护管理方面。社会噪声污染、建筑施工噪声污染、建筑施工扬尘、餐饮服务业油烟污染、露天烧烤污染、城市焚烧沥青塑料垃圾等烟尘和恶臭污染、露天焚烧秸秆落叶等烟尘污染、燃放烟花爆竹污染等的行政处罚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工商管理方面。户外公共场所违规经营、违规设置户外广告的行政处罚权；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交通管理方面。侵占城市道路、违法停放车辆等的行政处罚权;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水务管理方面。向城市河道倾倒废弃物和垃圾及违规取土、城市河道违法建筑物拆除等的行政处罚权;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食品药品监管方面。户外公共场所食品销售和餐饮摊点无证经营,以及违法回收贩卖药品等的行政处罚权;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(六)负责区管道路的开挖审批和区管道路、桥梁、河道、路灯、排水设施、游园绿地的管理维护;负责城区防汛工作;负责全区生活垃圾处理费的征收和管理工作。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(七)负责做好重大活动及相关城市管理服务保障工作。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(八)负责全区城市市容市貌的综合整治工作;负责城市规划区内户外广告、门店牌匾的设置管理工作;负责全区停车场、停车场所设施管理工作。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(九)组织开展全区城市管理综合整治和各项专项整治活动;负责全区城市管理和城市综合执法工作。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负责全区数字化城市管理工作,做好城市管理行业应急指挥系统的建设与管理工作;负责办理区数字化城市管理服务中心转来的各类城市管理问题,及时指挥派遣,并将办理结果核对后向区指挥中心反馈；负责组织实施城市管理科技发展规划;做好城市管理重大科技项目攻关、成果推广和新技术引进工作。</w:t>
      </w:r>
    </w:p>
    <w:p>
      <w:pPr>
        <w:ind w:firstLine="640" w:firstLineChars="200"/>
        <w:rPr>
          <w:rFonts w:hint="eastAsia" w:ascii="仿宋" w:hAnsi="仿宋" w:eastAsia="仿宋" w:cs="仿宋"/>
          <w:color w:val="auto"/>
          <w:sz w:val="32"/>
          <w:szCs w:val="32"/>
          <w:highlight w:val="green"/>
        </w:rPr>
      </w:pPr>
      <w:r>
        <w:rPr>
          <w:rFonts w:hint="eastAsia" w:ascii="仿宋" w:hAnsi="仿宋" w:eastAsia="仿宋" w:cs="仿宋"/>
          <w:sz w:val="32"/>
          <w:szCs w:val="32"/>
        </w:rPr>
        <w:t>（十一)完成区委、区政府交办的其他任务。</w:t>
      </w:r>
    </w:p>
    <w:p>
      <w:pPr>
        <w:widowControl w:val="0"/>
        <w:wordWrap/>
        <w:adjustRightInd/>
        <w:snapToGrid w:val="0"/>
        <w:spacing w:line="560" w:lineRule="exact"/>
        <w:textAlignment w:val="auto"/>
        <w:rPr>
          <w:rFonts w:hint="eastAsia" w:ascii="仿宋" w:hAnsi="仿宋" w:eastAsia="仿宋" w:cs="仿宋"/>
          <w:b/>
          <w:bCs/>
          <w:color w:val="auto"/>
          <w:sz w:val="32"/>
          <w:szCs w:val="32"/>
          <w:highlight w:val="gree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Fonts w:hint="eastAsia" w:ascii="宋体" w:hAnsi="宋体" w:eastAsia="宋体" w:cs="宋体"/>
          <w:b/>
          <w:bCs/>
          <w:sz w:val="32"/>
          <w:szCs w:val="32"/>
        </w:rPr>
        <w:t>二、平顶山市卫东区城市管理局预算单位构成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平顶山市卫东区城市管理局2021年部门预算包含本级预算和所属单位预算在内的汇总预算。二级机构包含：正科级事业单位：1、平顶山市卫东区数字化城市管理服务中心；2、平顶山市卫东区垃圾处理费征收事务中心，两个副科级事业单位：1、平顶山市卫东区城市综合执法大队；2、平顶山市卫东区城市建设执法大队以及一个正股级科室平顶山市卫东区城市管理局党政综合便民服务中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平顶山市卫东区城市管理局内设4个职能科室(办公室、政策法规室（行政审批服务股）城市管理综合科（效能督查室）党群工作办公室)</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p>
    <w:p>
      <w:pPr>
        <w:widowControl w:val="0"/>
        <w:wordWrap/>
        <w:adjustRightInd/>
        <w:snapToGrid w:val="0"/>
        <w:spacing w:line="560" w:lineRule="exact"/>
        <w:jc w:val="center"/>
        <w:textAlignment w:val="auto"/>
        <w:rPr>
          <w:rFonts w:hint="eastAsia" w:ascii="宋体" w:hAnsi="宋体" w:eastAsia="宋体" w:cs="宋体"/>
          <w:b/>
          <w:bCs/>
          <w:sz w:val="32"/>
          <w:szCs w:val="32"/>
        </w:rPr>
      </w:pPr>
    </w:p>
    <w:p>
      <w:pPr>
        <w:widowControl w:val="0"/>
        <w:wordWrap/>
        <w:adjustRightInd/>
        <w:snapToGrid w:val="0"/>
        <w:spacing w:line="560" w:lineRule="exact"/>
        <w:jc w:val="center"/>
        <w:textAlignment w:val="auto"/>
        <w:rPr>
          <w:rFonts w:hint="eastAsia" w:ascii="宋体" w:hAnsi="宋体" w:eastAsia="宋体" w:cs="宋体"/>
          <w:b/>
          <w:bCs/>
          <w:sz w:val="32"/>
          <w:szCs w:val="32"/>
        </w:rPr>
      </w:pPr>
    </w:p>
    <w:p>
      <w:pPr>
        <w:widowControl w:val="0"/>
        <w:wordWrap/>
        <w:adjustRightInd/>
        <w:snapToGrid w:val="0"/>
        <w:spacing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第二部分</w:t>
      </w:r>
    </w:p>
    <w:p>
      <w:pPr>
        <w:widowControl w:val="0"/>
        <w:wordWrap/>
        <w:adjustRightInd/>
        <w:snapToGrid w:val="0"/>
        <w:spacing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平顶山市卫东区城市管理局部门预算情况说明</w:t>
      </w:r>
    </w:p>
    <w:p>
      <w:pPr>
        <w:widowControl w:val="0"/>
        <w:wordWrap/>
        <w:adjustRightInd/>
        <w:snapToGrid w:val="0"/>
        <w:spacing w:line="560" w:lineRule="exact"/>
        <w:jc w:val="center"/>
        <w:textAlignment w:val="auto"/>
        <w:rPr>
          <w:rFonts w:hint="eastAsia" w:ascii="仿宋" w:hAnsi="仿宋" w:eastAsia="仿宋" w:cs="仿宋"/>
          <w:sz w:val="32"/>
          <w:szCs w:val="32"/>
        </w:rPr>
      </w:pP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宋体" w:hAnsi="宋体" w:eastAsia="宋体" w:cs="宋体"/>
          <w:b/>
          <w:bCs/>
          <w:sz w:val="32"/>
          <w:szCs w:val="32"/>
        </w:rPr>
        <w:t>一、收入支出预算总体情况说明</w:t>
      </w:r>
      <w:r>
        <w:rPr>
          <w:rFonts w:hint="eastAsia" w:ascii="宋体" w:hAnsi="宋体" w:eastAsia="宋体" w:cs="宋体"/>
          <w:b/>
          <w:bCs/>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textAlignment w:val="auto"/>
        <w:rPr>
          <w:rFonts w:hint="eastAsia" w:ascii="仿宋" w:hAnsi="仿宋" w:eastAsia="仿宋" w:cs="仿宋"/>
          <w:sz w:val="32"/>
          <w:szCs w:val="32"/>
          <w:highlight w:val="yellow"/>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1</w:t>
      </w:r>
      <w:r>
        <w:rPr>
          <w:rFonts w:hint="eastAsia" w:ascii="仿宋" w:hAnsi="仿宋" w:eastAsia="仿宋" w:cs="仿宋"/>
          <w:sz w:val="32"/>
          <w:szCs w:val="32"/>
        </w:rPr>
        <w:t>年收、支总计均为</w:t>
      </w:r>
      <w:r>
        <w:rPr>
          <w:rFonts w:hint="eastAsia" w:ascii="仿宋" w:hAnsi="仿宋" w:eastAsia="仿宋" w:cs="仿宋"/>
          <w:sz w:val="32"/>
          <w:szCs w:val="32"/>
          <w:lang w:val="en-US" w:eastAsia="zh-CN"/>
        </w:rPr>
        <w:t>2361.58</w:t>
      </w:r>
      <w:r>
        <w:rPr>
          <w:rFonts w:hint="eastAsia" w:ascii="仿宋" w:hAnsi="仿宋" w:eastAsia="仿宋" w:cs="仿宋"/>
          <w:sz w:val="32"/>
          <w:szCs w:val="32"/>
        </w:rPr>
        <w:t>万元,与上年相比，收、支总计均增加</w:t>
      </w:r>
      <w:r>
        <w:rPr>
          <w:rFonts w:hint="eastAsia" w:ascii="仿宋" w:hAnsi="仿宋" w:eastAsia="仿宋" w:cs="仿宋"/>
          <w:sz w:val="32"/>
          <w:szCs w:val="32"/>
          <w:lang w:val="en-US" w:eastAsia="zh-CN"/>
        </w:rPr>
        <w:t>97.24</w:t>
      </w:r>
      <w:r>
        <w:rPr>
          <w:rFonts w:hint="eastAsia" w:ascii="仿宋" w:hAnsi="仿宋" w:eastAsia="仿宋" w:cs="仿宋"/>
          <w:sz w:val="32"/>
          <w:szCs w:val="32"/>
        </w:rPr>
        <w:t>万元, 增长</w:t>
      </w:r>
      <w:r>
        <w:rPr>
          <w:rFonts w:hint="eastAsia" w:ascii="仿宋" w:hAnsi="仿宋" w:eastAsia="仿宋" w:cs="仿宋"/>
          <w:sz w:val="32"/>
          <w:szCs w:val="32"/>
          <w:lang w:val="en-US" w:eastAsia="zh-CN"/>
        </w:rPr>
        <w:t>4.29</w:t>
      </w:r>
      <w:r>
        <w:rPr>
          <w:rFonts w:hint="eastAsia" w:ascii="仿宋" w:hAnsi="仿宋" w:eastAsia="仿宋" w:cs="仿宋"/>
          <w:sz w:val="32"/>
          <w:szCs w:val="32"/>
        </w:rPr>
        <w:t>%。主要原因：人员增加。</w:t>
      </w:r>
    </w:p>
    <w:p>
      <w:pPr>
        <w:rPr>
          <w:rFonts w:hint="eastAsia" w:ascii="仿宋" w:hAnsi="仿宋" w:eastAsia="仿宋" w:cs="仿宋"/>
          <w:sz w:val="32"/>
          <w:szCs w:val="32"/>
        </w:rPr>
      </w:pP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eastAsia="宋体" w:cs="宋体"/>
          <w:b/>
          <w:bCs w:val="0"/>
          <w:kern w:val="0"/>
          <w:sz w:val="32"/>
          <w:szCs w:val="32"/>
        </w:rPr>
        <w:t>二、收入预算总体情况说明</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1</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2361.58</w:t>
      </w:r>
      <w:r>
        <w:rPr>
          <w:rFonts w:hint="eastAsia" w:ascii="仿宋" w:hAnsi="仿宋" w:eastAsia="仿宋" w:cs="仿宋"/>
          <w:sz w:val="32"/>
          <w:szCs w:val="32"/>
        </w:rPr>
        <w:t>万元，其中：一般公共预算</w:t>
      </w:r>
      <w:r>
        <w:rPr>
          <w:rFonts w:hint="eastAsia" w:ascii="仿宋" w:hAnsi="仿宋" w:eastAsia="仿宋" w:cs="仿宋"/>
          <w:sz w:val="32"/>
          <w:szCs w:val="32"/>
        </w:rPr>
        <w:tab/>
      </w:r>
      <w:r>
        <w:rPr>
          <w:rFonts w:hint="eastAsia" w:ascii="仿宋" w:hAnsi="仿宋" w:eastAsia="仿宋" w:cs="仿宋"/>
          <w:sz w:val="32"/>
          <w:szCs w:val="32"/>
          <w:lang w:val="en-US" w:eastAsia="zh-CN"/>
        </w:rPr>
        <w:t>2361.58</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宋体" w:hAnsi="宋体" w:eastAsia="宋体" w:cs="宋体"/>
          <w:b/>
          <w:bCs w:val="0"/>
          <w:kern w:val="0"/>
          <w:sz w:val="32"/>
          <w:szCs w:val="32"/>
        </w:rPr>
        <w:t>三、支出预算总体情况说明</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年支出</w:t>
      </w:r>
      <w:r>
        <w:rPr>
          <w:rFonts w:hint="eastAsia" w:ascii="仿宋" w:hAnsi="仿宋" w:eastAsia="仿宋" w:cs="仿宋"/>
          <w:sz w:val="32"/>
          <w:szCs w:val="32"/>
          <w:lang w:val="en-US" w:eastAsia="zh-CN"/>
        </w:rPr>
        <w:t>预算2361.58</w:t>
      </w:r>
      <w:r>
        <w:rPr>
          <w:rFonts w:hint="eastAsia" w:ascii="仿宋" w:hAnsi="仿宋" w:eastAsia="仿宋" w:cs="仿宋"/>
          <w:sz w:val="32"/>
          <w:szCs w:val="32"/>
        </w:rPr>
        <w:t>万元，</w:t>
      </w:r>
      <w:r>
        <w:rPr>
          <w:rFonts w:hint="eastAsia" w:ascii="仿宋" w:hAnsi="仿宋" w:eastAsia="仿宋" w:cs="仿宋"/>
          <w:sz w:val="32"/>
          <w:szCs w:val="32"/>
          <w:highlight w:val="none"/>
        </w:rPr>
        <w:t>按用途划分为：基本</w:t>
      </w:r>
      <w:r>
        <w:rPr>
          <w:rFonts w:hint="eastAsia" w:ascii="仿宋" w:hAnsi="仿宋" w:eastAsia="仿宋" w:cs="仿宋"/>
          <w:sz w:val="32"/>
          <w:szCs w:val="32"/>
        </w:rPr>
        <w:t>支出</w:t>
      </w:r>
      <w:r>
        <w:rPr>
          <w:rFonts w:hint="eastAsia" w:ascii="仿宋" w:hAnsi="仿宋" w:eastAsia="仿宋" w:cs="仿宋"/>
          <w:sz w:val="32"/>
          <w:szCs w:val="32"/>
          <w:lang w:val="en-US" w:eastAsia="zh-CN"/>
        </w:rPr>
        <w:t>2009.62</w:t>
      </w:r>
      <w:r>
        <w:rPr>
          <w:rFonts w:hint="eastAsia" w:ascii="仿宋" w:hAnsi="仿宋" w:eastAsia="仿宋" w:cs="仿宋"/>
          <w:sz w:val="32"/>
          <w:szCs w:val="32"/>
        </w:rPr>
        <w:t>万元,占</w:t>
      </w:r>
      <w:r>
        <w:rPr>
          <w:rFonts w:hint="eastAsia" w:ascii="仿宋" w:hAnsi="仿宋" w:eastAsia="仿宋" w:cs="仿宋"/>
          <w:sz w:val="32"/>
          <w:szCs w:val="32"/>
          <w:lang w:val="en-US" w:eastAsia="zh-CN"/>
        </w:rPr>
        <w:t>85.10</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351.96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占</w:t>
      </w:r>
      <w:r>
        <w:rPr>
          <w:rFonts w:hint="eastAsia" w:ascii="仿宋" w:hAnsi="仿宋" w:eastAsia="仿宋" w:cs="仿宋"/>
          <w:sz w:val="32"/>
          <w:szCs w:val="32"/>
          <w:lang w:val="en-US" w:eastAsia="zh-CN"/>
        </w:rPr>
        <w:t>14.90</w:t>
      </w:r>
      <w:r>
        <w:rPr>
          <w:rFonts w:hint="eastAsia" w:ascii="仿宋" w:hAnsi="仿宋" w:eastAsia="仿宋" w:cs="仿宋"/>
          <w:sz w:val="32"/>
          <w:szCs w:val="32"/>
        </w:rPr>
        <w:t xml:space="preserve"> %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宋体" w:hAnsi="宋体" w:eastAsia="宋体" w:cs="宋体"/>
          <w:b/>
          <w:bCs/>
          <w:sz w:val="32"/>
          <w:szCs w:val="32"/>
        </w:rPr>
        <w:t>四、财政拨款收入支出预算总体情况说明</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textAlignment w:val="auto"/>
        <w:rPr>
          <w:rFonts w:hint="eastAsia" w:ascii="仿宋" w:hAnsi="仿宋" w:eastAsia="仿宋" w:cs="仿宋"/>
          <w:sz w:val="32"/>
          <w:szCs w:val="32"/>
          <w:highlight w:val="yellow"/>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1</w:t>
      </w:r>
      <w:r>
        <w:rPr>
          <w:rFonts w:hint="eastAsia" w:ascii="仿宋" w:hAnsi="仿宋" w:eastAsia="仿宋" w:cs="仿宋"/>
          <w:sz w:val="32"/>
          <w:szCs w:val="32"/>
        </w:rPr>
        <w:t>年一般公共预算收支预算</w:t>
      </w:r>
      <w:r>
        <w:rPr>
          <w:rFonts w:hint="eastAsia" w:ascii="仿宋" w:hAnsi="仿宋" w:eastAsia="仿宋" w:cs="仿宋"/>
          <w:sz w:val="32"/>
          <w:szCs w:val="32"/>
          <w:lang w:val="en-US" w:eastAsia="zh-CN"/>
        </w:rPr>
        <w:t>2361.58</w:t>
      </w:r>
      <w:r>
        <w:rPr>
          <w:rFonts w:hint="eastAsia" w:ascii="仿宋" w:hAnsi="仿宋" w:eastAsia="仿宋" w:cs="仿宋"/>
          <w:sz w:val="32"/>
          <w:szCs w:val="32"/>
        </w:rPr>
        <w:t>万元，与上年相比，一般公共预算收支预算增加</w:t>
      </w:r>
      <w:r>
        <w:rPr>
          <w:rFonts w:hint="eastAsia" w:ascii="仿宋" w:hAnsi="仿宋" w:eastAsia="仿宋" w:cs="仿宋"/>
          <w:sz w:val="32"/>
          <w:szCs w:val="32"/>
          <w:lang w:val="en-US" w:eastAsia="zh-CN"/>
        </w:rPr>
        <w:t>97.24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4.29</w:t>
      </w:r>
      <w:r>
        <w:rPr>
          <w:rFonts w:hint="eastAsia" w:ascii="仿宋" w:hAnsi="仿宋" w:eastAsia="仿宋" w:cs="仿宋"/>
          <w:sz w:val="32"/>
          <w:szCs w:val="32"/>
        </w:rPr>
        <w:t>%,主要原因：人员增加。</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宋体" w:hAnsi="宋体" w:eastAsia="宋体" w:cs="宋体"/>
          <w:b/>
          <w:bCs/>
          <w:sz w:val="32"/>
          <w:szCs w:val="32"/>
        </w:rPr>
        <w:t>五、一般公共预算支出预算情况说明</w:t>
      </w:r>
      <w:r>
        <w:rPr>
          <w:rFonts w:hint="eastAsia" w:ascii="宋体" w:hAnsi="宋体" w:eastAsia="宋体" w:cs="宋体"/>
          <w:b/>
          <w:bCs/>
          <w:sz w:val="32"/>
          <w:szCs w:val="32"/>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1</w:t>
      </w:r>
      <w:r>
        <w:rPr>
          <w:rFonts w:hint="eastAsia" w:ascii="仿宋" w:hAnsi="仿宋" w:eastAsia="仿宋" w:cs="仿宋"/>
          <w:sz w:val="32"/>
          <w:szCs w:val="32"/>
        </w:rPr>
        <w:t>年一般公共预算支出年初预算为</w:t>
      </w:r>
      <w:r>
        <w:rPr>
          <w:rFonts w:hint="eastAsia" w:ascii="仿宋" w:hAnsi="仿宋" w:eastAsia="仿宋" w:cs="仿宋"/>
          <w:sz w:val="32"/>
          <w:szCs w:val="32"/>
          <w:lang w:val="en-US" w:eastAsia="zh-CN"/>
        </w:rPr>
        <w:t>2361.58</w:t>
      </w:r>
      <w:r>
        <w:rPr>
          <w:rFonts w:hint="eastAsia" w:ascii="仿宋" w:hAnsi="仿宋" w:eastAsia="仿宋" w:cs="仿宋"/>
          <w:sz w:val="32"/>
          <w:szCs w:val="32"/>
        </w:rPr>
        <w:t>万元。主要用于以下方面：城乡社区事务（类）支出</w:t>
      </w:r>
      <w:r>
        <w:rPr>
          <w:rFonts w:hint="eastAsia" w:ascii="仿宋" w:hAnsi="仿宋" w:eastAsia="仿宋" w:cs="仿宋"/>
          <w:sz w:val="32"/>
          <w:szCs w:val="32"/>
          <w:lang w:val="en-US" w:eastAsia="zh-CN"/>
        </w:rPr>
        <w:t>1890.78</w:t>
      </w:r>
      <w:r>
        <w:rPr>
          <w:rFonts w:hint="eastAsia" w:ascii="仿宋" w:hAnsi="仿宋" w:eastAsia="仿宋" w:cs="仿宋"/>
          <w:sz w:val="32"/>
          <w:szCs w:val="32"/>
        </w:rPr>
        <w:t>万元，占</w:t>
      </w:r>
      <w:r>
        <w:rPr>
          <w:rFonts w:hint="eastAsia" w:ascii="仿宋" w:hAnsi="仿宋" w:eastAsia="仿宋" w:cs="仿宋"/>
          <w:sz w:val="32"/>
          <w:szCs w:val="32"/>
          <w:lang w:val="en-US" w:eastAsia="zh-CN"/>
        </w:rPr>
        <w:t>80.07</w:t>
      </w:r>
      <w:r>
        <w:rPr>
          <w:rFonts w:hint="eastAsia" w:ascii="仿宋" w:hAnsi="仿宋" w:eastAsia="仿宋" w:cs="仿宋"/>
          <w:sz w:val="32"/>
          <w:szCs w:val="32"/>
        </w:rPr>
        <w:t>%；社会保障和就业（类）支出</w:t>
      </w:r>
      <w:r>
        <w:rPr>
          <w:rFonts w:hint="eastAsia" w:ascii="仿宋" w:hAnsi="仿宋" w:eastAsia="仿宋" w:cs="仿宋"/>
          <w:sz w:val="32"/>
          <w:szCs w:val="32"/>
          <w:lang w:val="en-US" w:eastAsia="zh-CN"/>
        </w:rPr>
        <w:t>189.23</w:t>
      </w:r>
      <w:r>
        <w:rPr>
          <w:rFonts w:hint="eastAsia" w:ascii="仿宋" w:hAnsi="仿宋" w:eastAsia="仿宋" w:cs="仿宋"/>
          <w:sz w:val="32"/>
          <w:szCs w:val="32"/>
        </w:rPr>
        <w:t>万元，占</w:t>
      </w:r>
      <w:r>
        <w:rPr>
          <w:rFonts w:hint="eastAsia" w:ascii="仿宋" w:hAnsi="仿宋" w:eastAsia="仿宋" w:cs="仿宋"/>
          <w:sz w:val="32"/>
          <w:szCs w:val="32"/>
          <w:lang w:val="en-US" w:eastAsia="zh-CN"/>
        </w:rPr>
        <w:t>8.01</w:t>
      </w:r>
      <w:r>
        <w:rPr>
          <w:rFonts w:hint="eastAsia" w:ascii="仿宋" w:hAnsi="仿宋" w:eastAsia="仿宋" w:cs="仿宋"/>
          <w:sz w:val="32"/>
          <w:szCs w:val="32"/>
        </w:rPr>
        <w:t>%；医疗卫生（类）支出</w:t>
      </w:r>
      <w:r>
        <w:rPr>
          <w:rFonts w:hint="eastAsia" w:ascii="仿宋" w:hAnsi="仿宋" w:eastAsia="仿宋" w:cs="仿宋"/>
          <w:sz w:val="32"/>
          <w:szCs w:val="32"/>
          <w:lang w:val="en-US" w:eastAsia="zh-CN"/>
        </w:rPr>
        <w:t>150.15</w:t>
      </w:r>
      <w:r>
        <w:rPr>
          <w:rFonts w:hint="eastAsia" w:ascii="仿宋" w:hAnsi="仿宋" w:eastAsia="仿宋" w:cs="仿宋"/>
          <w:sz w:val="32"/>
          <w:szCs w:val="32"/>
        </w:rPr>
        <w:t>万元，占6.</w:t>
      </w:r>
      <w:r>
        <w:rPr>
          <w:rFonts w:hint="eastAsia" w:ascii="仿宋" w:hAnsi="仿宋" w:eastAsia="仿宋" w:cs="仿宋"/>
          <w:sz w:val="32"/>
          <w:szCs w:val="32"/>
          <w:lang w:val="en-US" w:eastAsia="zh-CN"/>
        </w:rPr>
        <w:t>36</w:t>
      </w:r>
      <w:r>
        <w:rPr>
          <w:rFonts w:hint="eastAsia" w:ascii="仿宋" w:hAnsi="仿宋" w:eastAsia="仿宋" w:cs="仿宋"/>
          <w:sz w:val="32"/>
          <w:szCs w:val="32"/>
        </w:rPr>
        <w:t>%；住房保障（类）支出</w:t>
      </w:r>
      <w:r>
        <w:rPr>
          <w:rFonts w:hint="eastAsia" w:ascii="仿宋" w:hAnsi="仿宋" w:eastAsia="仿宋" w:cs="仿宋"/>
          <w:sz w:val="32"/>
          <w:szCs w:val="32"/>
          <w:lang w:val="en-US" w:eastAsia="zh-CN"/>
        </w:rPr>
        <w:t>131.42</w:t>
      </w:r>
      <w:r>
        <w:rPr>
          <w:rFonts w:hint="eastAsia" w:ascii="仿宋" w:hAnsi="仿宋" w:eastAsia="仿宋" w:cs="仿宋"/>
          <w:sz w:val="32"/>
          <w:szCs w:val="32"/>
        </w:rPr>
        <w:t>万元，占5.</w:t>
      </w:r>
      <w:r>
        <w:rPr>
          <w:rFonts w:hint="eastAsia" w:ascii="仿宋" w:hAnsi="仿宋" w:eastAsia="仿宋" w:cs="仿宋"/>
          <w:sz w:val="32"/>
          <w:szCs w:val="32"/>
          <w:lang w:val="en-US" w:eastAsia="zh-CN"/>
        </w:rPr>
        <w:t>56</w:t>
      </w:r>
      <w:r>
        <w:rPr>
          <w:rFonts w:hint="eastAsia" w:ascii="仿宋" w:hAnsi="仿宋" w:eastAsia="仿宋" w:cs="仿宋"/>
          <w:sz w:val="32"/>
          <w:szCs w:val="32"/>
        </w:rPr>
        <w:t>%.</w:t>
      </w:r>
    </w:p>
    <w:p>
      <w:pPr>
        <w:widowControl w:val="0"/>
        <w:wordWrap/>
        <w:adjustRightInd/>
        <w:snapToGrid w:val="0"/>
        <w:spacing w:line="560" w:lineRule="exact"/>
        <w:ind w:firstLine="643" w:firstLineChars="200"/>
        <w:textAlignment w:val="auto"/>
        <w:rPr>
          <w:rFonts w:hint="eastAsia" w:ascii="仿宋" w:hAnsi="仿宋" w:eastAsia="仿宋" w:cs="仿宋"/>
          <w:sz w:val="32"/>
          <w:szCs w:val="32"/>
        </w:rPr>
      </w:pPr>
      <w:r>
        <w:rPr>
          <w:rFonts w:hint="eastAsia" w:ascii="宋体" w:hAnsi="宋体" w:eastAsia="宋体" w:cs="宋体"/>
          <w:b/>
          <w:bCs/>
          <w:sz w:val="32"/>
          <w:szCs w:val="32"/>
        </w:rPr>
        <w:t>六、支出预算经济分类情况说明</w:t>
      </w:r>
      <w:r>
        <w:rPr>
          <w:rFonts w:hint="eastAsia" w:ascii="仿宋" w:hAnsi="仿宋" w:eastAsia="仿宋" w:cs="仿宋"/>
          <w:sz w:val="32"/>
          <w:szCs w:val="32"/>
        </w:rPr>
        <w:t xml:space="preserve">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按照《财政部关于印发</w:t>
      </w:r>
      <w:r>
        <w:rPr>
          <w:rFonts w:hint="eastAsia" w:ascii="仿宋" w:hAnsi="仿宋" w:eastAsia="仿宋" w:cs="仿宋"/>
          <w:sz w:val="32"/>
          <w:szCs w:val="32"/>
          <w:highlight w:val="none"/>
        </w:rPr>
        <w:t>&lt;</w:t>
      </w:r>
      <w:r>
        <w:rPr>
          <w:rFonts w:hint="eastAsia" w:ascii="仿宋" w:hAnsi="仿宋" w:eastAsia="仿宋" w:cs="仿宋"/>
          <w:sz w:val="32"/>
          <w:szCs w:val="32"/>
        </w:rPr>
        <w:t>支出经济分类科目改革方案</w:t>
      </w:r>
      <w:r>
        <w:rPr>
          <w:rFonts w:hint="eastAsia" w:ascii="仿宋" w:hAnsi="仿宋" w:eastAsia="仿宋" w:cs="仿宋"/>
          <w:sz w:val="32"/>
          <w:szCs w:val="32"/>
          <w:highlight w:val="none"/>
        </w:rPr>
        <w:t>&gt;</w:t>
      </w:r>
      <w:r>
        <w:rPr>
          <w:rFonts w:hint="eastAsia" w:ascii="仿宋" w:hAnsi="仿宋" w:eastAsia="仿宋" w:cs="仿宋"/>
          <w:sz w:val="32"/>
          <w:szCs w:val="32"/>
        </w:rPr>
        <w:t>的通知》（财预[2017]98号</w:t>
      </w:r>
      <w:r>
        <w:rPr>
          <w:rFonts w:hint="eastAsia" w:ascii="仿宋" w:hAnsi="仿宋" w:eastAsia="仿宋" w:cs="仿宋"/>
          <w:sz w:val="32"/>
          <w:szCs w:val="32"/>
          <w:highlight w:val="none"/>
          <w:lang w:eastAsia="zh-CN"/>
        </w:rPr>
        <w:t>）</w:t>
      </w:r>
      <w:r>
        <w:rPr>
          <w:rFonts w:hint="eastAsia" w:ascii="仿宋" w:hAnsi="仿宋" w:eastAsia="仿宋" w:cs="仿宋"/>
          <w:sz w:val="32"/>
          <w:szCs w:val="32"/>
        </w:rPr>
        <w:t>要求，从2018年起全面实施支出经济分类科目改革，根据政府预算管理和部门预算管理的不同特点，分设部门预算支出经济分类科目和政府预算支出经济分类科目，两套科目之间保持对应关系。</w:t>
      </w:r>
      <w:r>
        <w:rPr>
          <w:rFonts w:hint="eastAsia" w:ascii="仿宋" w:hAnsi="仿宋" w:eastAsia="仿宋" w:cs="仿宋"/>
          <w:sz w:val="32"/>
          <w:szCs w:val="32"/>
          <w:lang w:eastAsia="zh-CN"/>
        </w:rPr>
        <w:t>为适应改革要求，</w:t>
      </w:r>
      <w:r>
        <w:rPr>
          <w:rFonts w:hint="eastAsia" w:ascii="仿宋" w:hAnsi="仿宋" w:eastAsia="仿宋" w:cs="仿宋"/>
          <w:sz w:val="32"/>
          <w:szCs w:val="32"/>
        </w:rPr>
        <w:t>我单位《支出经济分类汇总表》</w:t>
      </w:r>
      <w:r>
        <w:rPr>
          <w:rFonts w:hint="eastAsia" w:ascii="仿宋" w:hAnsi="仿宋" w:eastAsia="仿宋" w:cs="仿宋"/>
          <w:sz w:val="32"/>
          <w:szCs w:val="32"/>
          <w:lang w:eastAsia="zh-CN"/>
        </w:rPr>
        <w:t>从</w:t>
      </w:r>
      <w:r>
        <w:rPr>
          <w:rFonts w:hint="eastAsia" w:ascii="仿宋" w:hAnsi="仿宋" w:eastAsia="仿宋" w:cs="仿宋"/>
          <w:sz w:val="32"/>
          <w:szCs w:val="32"/>
          <w:lang w:val="en-US" w:eastAsia="zh-CN"/>
        </w:rPr>
        <w:t>2018年起从仅反映一般公共预算基本支出经济分类项目预算调整为</w:t>
      </w:r>
      <w:r>
        <w:rPr>
          <w:rFonts w:hint="eastAsia" w:ascii="仿宋" w:hAnsi="仿宋" w:eastAsia="仿宋" w:cs="仿宋"/>
          <w:sz w:val="32"/>
          <w:szCs w:val="32"/>
        </w:rPr>
        <w:t>按两套经济分类科目分别反应不同资金来源的全部预算支出。</w:t>
      </w:r>
    </w:p>
    <w:p>
      <w:pPr>
        <w:widowControl w:val="0"/>
        <w:wordWrap/>
        <w:adjustRightInd/>
        <w:snapToGrid w:val="0"/>
        <w:spacing w:line="560" w:lineRule="exact"/>
        <w:ind w:firstLine="640" w:firstLineChars="200"/>
        <w:textAlignment w:val="auto"/>
        <w:rPr>
          <w:rFonts w:hint="eastAsia" w:ascii="仿宋" w:hAnsi="仿宋" w:eastAsia="仿宋" w:cs="仿宋"/>
          <w:color w:val="FF0000"/>
          <w:sz w:val="32"/>
          <w:szCs w:val="32"/>
          <w:highlight w:val="none"/>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年预算支出</w:t>
      </w:r>
      <w:r>
        <w:rPr>
          <w:rFonts w:hint="eastAsia" w:ascii="仿宋" w:hAnsi="仿宋" w:eastAsia="仿宋" w:cs="仿宋"/>
          <w:sz w:val="32"/>
          <w:szCs w:val="32"/>
          <w:lang w:val="en-US" w:eastAsia="zh-CN"/>
        </w:rPr>
        <w:t>2361.58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其中：基本支出</w:t>
      </w:r>
      <w:r>
        <w:rPr>
          <w:rFonts w:hint="eastAsia" w:ascii="仿宋" w:hAnsi="仿宋" w:eastAsia="仿宋" w:cs="仿宋"/>
          <w:sz w:val="32"/>
          <w:szCs w:val="32"/>
          <w:lang w:val="en-US" w:eastAsia="zh-CN"/>
        </w:rPr>
        <w:t>2009.62</w:t>
      </w:r>
      <w:r>
        <w:rPr>
          <w:rFonts w:hint="eastAsia" w:ascii="仿宋" w:hAnsi="仿宋" w:eastAsia="仿宋" w:cs="仿宋"/>
          <w:sz w:val="32"/>
          <w:szCs w:val="32"/>
        </w:rPr>
        <w:t>万元，主要包括：基本工资、津贴补贴、奖金、绩效工资、机关事业单位基本养老保险缴费、职业年金缴费、医疗保险缴费、其他社会保障缴费、住房公积金、其他工资福利支出、退休费、其他对个人和家庭的补助支出；项目支出</w:t>
      </w:r>
      <w:r>
        <w:rPr>
          <w:rFonts w:hint="eastAsia" w:ascii="仿宋" w:hAnsi="仿宋" w:eastAsia="仿宋" w:cs="仿宋"/>
          <w:sz w:val="32"/>
          <w:szCs w:val="32"/>
          <w:lang w:val="en-US" w:eastAsia="zh-CN"/>
        </w:rPr>
        <w:t>351.96</w:t>
      </w:r>
      <w:r>
        <w:rPr>
          <w:rFonts w:hint="eastAsia" w:ascii="仿宋" w:hAnsi="仿宋" w:eastAsia="仿宋" w:cs="仿宋"/>
          <w:sz w:val="32"/>
          <w:szCs w:val="32"/>
        </w:rPr>
        <w:t>万元，主要包括：办公费、印刷费、邮电费、差旅</w:t>
      </w:r>
      <w:r>
        <w:rPr>
          <w:rFonts w:hint="eastAsia" w:ascii="仿宋" w:hAnsi="仿宋" w:eastAsia="仿宋" w:cs="仿宋"/>
          <w:sz w:val="32"/>
          <w:szCs w:val="32"/>
        </w:rPr>
        <w:tab/>
      </w:r>
      <w:r>
        <w:rPr>
          <w:rFonts w:hint="eastAsia" w:ascii="仿宋" w:hAnsi="仿宋" w:eastAsia="仿宋" w:cs="仿宋"/>
          <w:sz w:val="32"/>
          <w:szCs w:val="32"/>
        </w:rPr>
        <w:t>费、维修（护）费、租赁费、会议费、培训费、公务接待费、劳务费、福利费、公务用车运行维护费、其他</w:t>
      </w:r>
      <w:r>
        <w:rPr>
          <w:rFonts w:hint="eastAsia" w:ascii="仿宋" w:hAnsi="仿宋" w:eastAsia="仿宋" w:cs="仿宋"/>
          <w:sz w:val="32"/>
          <w:szCs w:val="32"/>
        </w:rPr>
        <w:tab/>
      </w:r>
      <w:r>
        <w:rPr>
          <w:rFonts w:hint="eastAsia" w:ascii="仿宋" w:hAnsi="仿宋" w:eastAsia="仿宋" w:cs="仿宋"/>
          <w:sz w:val="32"/>
          <w:szCs w:val="32"/>
        </w:rPr>
        <w:t>交通费用、其他商品和服务支出、办公设备购置、信息网络及软件购置更新和其他支出。</w:t>
      </w:r>
      <w:r>
        <w:rPr>
          <w:rFonts w:hint="eastAsia" w:ascii="仿宋" w:hAnsi="仿宋" w:eastAsia="仿宋" w:cs="仿宋"/>
          <w:color w:val="FF0000"/>
          <w:sz w:val="32"/>
          <w:szCs w:val="32"/>
          <w:highlight w:val="none"/>
        </w:rPr>
        <w:tab/>
      </w:r>
      <w:r>
        <w:rPr>
          <w:rFonts w:hint="eastAsia" w:ascii="仿宋" w:hAnsi="仿宋" w:eastAsia="仿宋" w:cs="仿宋"/>
          <w:color w:val="FF0000"/>
          <w:sz w:val="32"/>
          <w:szCs w:val="32"/>
          <w:highlight w:val="none"/>
        </w:rPr>
        <w:tab/>
      </w:r>
    </w:p>
    <w:p>
      <w:pPr>
        <w:widowControl w:val="0"/>
        <w:wordWrap/>
        <w:adjustRightInd/>
        <w:snapToGrid w:val="0"/>
        <w:spacing w:line="560" w:lineRule="exact"/>
        <w:ind w:firstLine="643" w:firstLineChars="200"/>
        <w:textAlignment w:val="auto"/>
        <w:rPr>
          <w:rFonts w:hint="eastAsia" w:ascii="仿宋" w:hAnsi="仿宋" w:eastAsia="仿宋" w:cs="仿宋"/>
          <w:sz w:val="32"/>
          <w:szCs w:val="32"/>
        </w:rPr>
      </w:pPr>
      <w:r>
        <w:rPr>
          <w:rFonts w:hint="eastAsia" w:ascii="宋体" w:hAnsi="宋体" w:eastAsia="宋体" w:cs="宋体"/>
          <w:b/>
          <w:bCs/>
          <w:sz w:val="32"/>
          <w:szCs w:val="32"/>
          <w:lang w:eastAsia="zh-CN"/>
        </w:rPr>
        <w:t>七、“三公”经费支出预算情况说明</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2021年“三公”经费公共预算</w:t>
      </w:r>
      <w:r>
        <w:rPr>
          <w:rFonts w:hint="eastAsia" w:ascii="仿宋" w:hAnsi="仿宋" w:eastAsia="仿宋" w:cs="仿宋"/>
          <w:sz w:val="32"/>
          <w:szCs w:val="32"/>
          <w:lang w:val="en-US" w:eastAsia="zh-CN"/>
        </w:rPr>
        <w:t>3</w:t>
      </w:r>
      <w:r>
        <w:rPr>
          <w:rFonts w:hint="eastAsia" w:ascii="仿宋" w:hAnsi="仿宋" w:eastAsia="仿宋" w:cs="仿宋"/>
          <w:sz w:val="32"/>
          <w:szCs w:val="32"/>
        </w:rPr>
        <w:t>万元。2021年“三公”经费支出预算数比上年减少</w:t>
      </w:r>
      <w:r>
        <w:rPr>
          <w:rFonts w:hint="eastAsia" w:ascii="仿宋" w:hAnsi="仿宋" w:eastAsia="仿宋" w:cs="仿宋"/>
          <w:sz w:val="32"/>
          <w:szCs w:val="32"/>
          <w:lang w:val="en-US" w:eastAsia="zh-CN"/>
        </w:rPr>
        <w:t>0.2</w:t>
      </w:r>
      <w:r>
        <w:rPr>
          <w:rFonts w:hint="eastAsia" w:ascii="仿宋" w:hAnsi="仿宋" w:eastAsia="仿宋" w:cs="仿宋"/>
          <w:sz w:val="32"/>
          <w:szCs w:val="32"/>
        </w:rPr>
        <w:t>万元，主要原因是认真贯彻落实中央八项规定精神，坚持厉行勤俭节约</w:t>
      </w:r>
      <w:r>
        <w:rPr>
          <w:rFonts w:hint="eastAsia" w:ascii="仿宋" w:hAnsi="仿宋" w:eastAsia="仿宋" w:cs="仿宋"/>
          <w:sz w:val="32"/>
          <w:szCs w:val="32"/>
          <w:lang w:eastAsia="zh-CN"/>
        </w:rPr>
        <w:t>，</w:t>
      </w:r>
      <w:r>
        <w:rPr>
          <w:rFonts w:hint="eastAsia" w:ascii="仿宋" w:hAnsi="仿宋" w:eastAsia="仿宋" w:cs="仿宋"/>
          <w:sz w:val="32"/>
          <w:szCs w:val="32"/>
        </w:rPr>
        <w:t>其中：</w:t>
      </w:r>
      <w:r>
        <w:rPr>
          <w:rFonts w:hint="eastAsia" w:ascii="仿宋" w:hAnsi="仿宋" w:eastAsia="仿宋" w:cs="仿宋"/>
          <w:sz w:val="32"/>
          <w:szCs w:val="32"/>
          <w:highlight w:val="none"/>
        </w:rPr>
        <w:tab/>
      </w:r>
      <w:r>
        <w:rPr>
          <w:rFonts w:hint="eastAsia" w:ascii="仿宋" w:hAnsi="仿宋" w:eastAsia="仿宋" w:cs="仿宋"/>
          <w:sz w:val="32"/>
          <w:szCs w:val="32"/>
        </w:rPr>
        <w:tab/>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（一）因公出国（境）费</w:t>
      </w:r>
      <w:r>
        <w:rPr>
          <w:rFonts w:hint="eastAsia" w:ascii="仿宋" w:hAnsi="仿宋" w:eastAsia="仿宋" w:cs="仿宋"/>
          <w:sz w:val="32"/>
          <w:szCs w:val="32"/>
        </w:rPr>
        <w:t>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万元，预算数与上年持平。预算数与 2020 年持平，主要原因是</w:t>
      </w:r>
      <w:r>
        <w:rPr>
          <w:rFonts w:hint="eastAsia" w:ascii="仿宋" w:hAnsi="仿宋" w:eastAsia="仿宋" w:cs="仿宋"/>
          <w:sz w:val="32"/>
          <w:szCs w:val="32"/>
          <w:lang w:val="en-US"/>
        </w:rPr>
        <w:t>我单位</w:t>
      </w:r>
      <w:r>
        <w:rPr>
          <w:rFonts w:hint="default" w:ascii="仿宋" w:hAnsi="仿宋" w:eastAsia="仿宋" w:cs="仿宋"/>
          <w:sz w:val="32"/>
          <w:szCs w:val="32"/>
        </w:rPr>
        <w:t>2021</w:t>
      </w:r>
      <w:r>
        <w:rPr>
          <w:rFonts w:hint="eastAsia" w:ascii="仿宋" w:hAnsi="仿宋" w:eastAsia="仿宋" w:cs="仿宋"/>
          <w:sz w:val="32"/>
          <w:szCs w:val="32"/>
          <w:lang w:val="en-US"/>
        </w:rPr>
        <w:t>年无因公出国境任务</w:t>
      </w:r>
      <w:r>
        <w:rPr>
          <w:rFonts w:hint="eastAsia" w:ascii="仿宋" w:hAnsi="仿宋" w:eastAsia="仿宋" w:cs="仿宋"/>
          <w:sz w:val="32"/>
          <w:szCs w:val="32"/>
        </w:rPr>
        <w:t>。</w:t>
      </w:r>
    </w:p>
    <w:p>
      <w:pPr>
        <w:widowControl w:val="0"/>
        <w:wordWrap/>
        <w:adjustRightInd/>
        <w:snapToGrid w:val="0"/>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(二)公务用车购置及运行费</w:t>
      </w:r>
      <w:r>
        <w:rPr>
          <w:rFonts w:hint="eastAsia" w:ascii="仿宋" w:hAnsi="仿宋" w:eastAsia="仿宋" w:cs="仿宋"/>
          <w:sz w:val="32"/>
          <w:szCs w:val="32"/>
          <w:lang w:val="en-US" w:eastAsia="zh-CN"/>
        </w:rPr>
        <w:t>预算3万元，占“三公”经费总额的100%。</w:t>
      </w:r>
      <w:r>
        <w:rPr>
          <w:rFonts w:hint="eastAsia" w:ascii="仿宋" w:hAnsi="仿宋" w:eastAsia="仿宋" w:cs="仿宋"/>
          <w:sz w:val="32"/>
          <w:szCs w:val="32"/>
        </w:rPr>
        <w:t>其中，公务用车运行费</w:t>
      </w: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万元，与上年相比减少</w:t>
      </w:r>
      <w:r>
        <w:rPr>
          <w:rFonts w:hint="eastAsia" w:ascii="仿宋" w:hAnsi="仿宋" w:eastAsia="仿宋" w:cs="仿宋"/>
          <w:sz w:val="32"/>
          <w:szCs w:val="32"/>
          <w:lang w:val="en-US" w:eastAsia="zh-CN"/>
        </w:rPr>
        <w:t>0.2</w:t>
      </w:r>
      <w:r>
        <w:rPr>
          <w:rFonts w:hint="eastAsia" w:ascii="仿宋" w:hAnsi="仿宋" w:eastAsia="仿宋" w:cs="仿宋"/>
          <w:sz w:val="32"/>
          <w:szCs w:val="32"/>
        </w:rPr>
        <w:t>万元。主要原因是继续贯彻落实中央八项规定精神，坚持厉行勤俭节约，进一步规范公务用车制度，严格控制公务用车范围，主要用于日常公务发生的燃料费、维修费、过路过桥费、保险费等支出；公务用车购置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占“三公”经费总额的0%，</w:t>
      </w:r>
      <w:r>
        <w:rPr>
          <w:rFonts w:hint="eastAsia" w:ascii="仿宋" w:hAnsi="仿宋" w:eastAsia="仿宋" w:cs="仿宋"/>
          <w:sz w:val="32"/>
          <w:szCs w:val="32"/>
        </w:rPr>
        <w:t>主要原因是落实公车改革政策、加强公务用车管理，严控公务用车支出。</w:t>
      </w:r>
      <w:r>
        <w:rPr>
          <w:rFonts w:hint="eastAsia" w:ascii="仿宋" w:hAnsi="仿宋" w:eastAsia="仿宋" w:cs="仿宋"/>
          <w:sz w:val="32"/>
          <w:szCs w:val="32"/>
          <w:lang w:val="en-US" w:eastAsia="zh-CN"/>
        </w:rPr>
        <w:t xml:space="preserve">                                      </w:t>
      </w:r>
    </w:p>
    <w:p>
      <w:pPr>
        <w:widowControl w:val="0"/>
        <w:wordWrap/>
        <w:adjustRightInd/>
        <w:snapToGrid/>
        <w:spacing w:before="0" w:after="0" w:line="580" w:lineRule="exact"/>
        <w:ind w:left="0" w:leftChars="0" w:right="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bookmarkStart w:id="0" w:name="_GoBack"/>
      <w:bookmarkEnd w:id="0"/>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公务接待费</w:t>
      </w:r>
      <w:r>
        <w:rPr>
          <w:rFonts w:hint="eastAsia" w:ascii="仿宋" w:hAnsi="仿宋" w:eastAsia="仿宋" w:cs="仿宋"/>
          <w:sz w:val="32"/>
          <w:szCs w:val="32"/>
        </w:rPr>
        <w:t>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万元，预算数比上年增长</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r>
        <w:rPr>
          <w:rFonts w:hint="eastAsia" w:ascii="仿宋" w:hAnsi="仿宋" w:eastAsia="仿宋" w:cs="仿宋"/>
          <w:b/>
          <w:bCs/>
          <w:sz w:val="32"/>
          <w:szCs w:val="32"/>
        </w:rPr>
        <w:t xml:space="preserve"> </w:t>
      </w:r>
    </w:p>
    <w:p>
      <w:pPr>
        <w:widowControl w:val="0"/>
        <w:wordWrap/>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八、</w:t>
      </w:r>
      <w:r>
        <w:rPr>
          <w:rFonts w:hint="eastAsia" w:ascii="宋体" w:hAnsi="宋体" w:eastAsia="宋体" w:cs="宋体"/>
          <w:b/>
          <w:bCs/>
          <w:sz w:val="32"/>
          <w:szCs w:val="32"/>
        </w:rPr>
        <w:t>政府性基金预算支出情况</w:t>
      </w:r>
      <w:r>
        <w:rPr>
          <w:rFonts w:hint="eastAsia" w:ascii="宋体" w:hAnsi="宋体" w:eastAsia="宋体" w:cs="宋体"/>
          <w:b/>
          <w:bCs/>
          <w:sz w:val="32"/>
          <w:szCs w:val="32"/>
          <w:lang w:eastAsia="zh-CN"/>
        </w:rPr>
        <w:t>说明</w:t>
      </w:r>
    </w:p>
    <w:p>
      <w:pPr>
        <w:widowControl w:val="0"/>
        <w:wordWrap/>
        <w:adjustRightInd/>
        <w:snapToGrid w:val="0"/>
        <w:spacing w:line="560" w:lineRule="exact"/>
        <w:ind w:firstLine="640" w:firstLineChars="200"/>
        <w:textAlignment w:val="auto"/>
        <w:rPr>
          <w:rFonts w:hint="eastAsia" w:ascii="宋体" w:hAnsi="宋体" w:eastAsia="宋体" w:cs="宋体"/>
          <w:b/>
          <w:bCs/>
          <w:kern w:val="2"/>
          <w:sz w:val="32"/>
          <w:szCs w:val="32"/>
          <w:lang w:val="en-US" w:eastAsia="zh-CN" w:bidi="ar-SA"/>
        </w:rPr>
      </w:pPr>
      <w:r>
        <w:rPr>
          <w:rFonts w:hint="eastAsia" w:ascii="仿宋" w:hAnsi="仿宋" w:eastAsia="仿宋" w:cs="仿宋"/>
          <w:sz w:val="32"/>
          <w:szCs w:val="32"/>
        </w:rPr>
        <w:t>部门2021年政府性基金预算支出</w:t>
      </w:r>
      <w:r>
        <w:rPr>
          <w:rFonts w:hint="eastAsia" w:ascii="仿宋" w:hAnsi="仿宋" w:eastAsia="仿宋" w:cs="仿宋"/>
          <w:sz w:val="32"/>
          <w:szCs w:val="32"/>
        </w:rPr>
        <w:tab/>
      </w:r>
      <w:r>
        <w:rPr>
          <w:rFonts w:hint="eastAsia" w:ascii="仿宋" w:hAnsi="仿宋" w:eastAsia="仿宋" w:cs="仿宋"/>
          <w:sz w:val="32"/>
          <w:szCs w:val="32"/>
        </w:rPr>
        <w:t xml:space="preserve">0.00 </w:t>
      </w:r>
      <w:r>
        <w:rPr>
          <w:rFonts w:hint="eastAsia" w:ascii="仿宋" w:hAnsi="仿宋" w:eastAsia="仿宋" w:cs="仿宋"/>
          <w:sz w:val="32"/>
          <w:szCs w:val="32"/>
        </w:rPr>
        <w:tab/>
      </w:r>
      <w:r>
        <w:rPr>
          <w:rFonts w:hint="eastAsia" w:ascii="仿宋" w:hAnsi="仿宋" w:eastAsia="仿宋" w:cs="仿宋"/>
          <w:sz w:val="32"/>
          <w:szCs w:val="32"/>
        </w:rPr>
        <w:t>万元，预算数与上年持平。</w:t>
      </w:r>
      <w:r>
        <w:rPr>
          <w:rFonts w:hint="eastAsia" w:ascii="仿宋" w:hAnsi="仿宋" w:eastAsia="仿宋" w:cs="仿宋"/>
          <w:b/>
          <w:bCs/>
          <w:sz w:val="32"/>
          <w:szCs w:val="32"/>
          <w:lang w:val="en-US" w:eastAsia="zh-CN"/>
        </w:rPr>
        <w:t xml:space="preserve">                           </w:t>
      </w:r>
    </w:p>
    <w:p>
      <w:pPr>
        <w:widowControl w:val="0"/>
        <w:wordWrap/>
        <w:adjustRightInd/>
        <w:snapToGrid/>
        <w:ind w:firstLine="643" w:firstLineChars="200"/>
        <w:textAlignment w:val="auto"/>
        <w:rPr>
          <w:rFonts w:hint="eastAsia" w:ascii="仿宋" w:hAnsi="仿宋" w:eastAsia="仿宋" w:cs="仿宋"/>
          <w:sz w:val="32"/>
          <w:szCs w:val="32"/>
        </w:rPr>
      </w:pPr>
      <w:r>
        <w:rPr>
          <w:rFonts w:hint="eastAsia" w:ascii="宋体" w:hAnsi="宋体" w:eastAsia="宋体" w:cs="宋体"/>
          <w:b/>
          <w:bCs/>
          <w:kern w:val="2"/>
          <w:sz w:val="32"/>
          <w:szCs w:val="32"/>
          <w:lang w:val="en-US" w:eastAsia="zh-CN" w:bidi="ar-SA"/>
        </w:rPr>
        <w:t>九、其他重要事项情况说明</w:t>
      </w:r>
      <w:r>
        <w:rPr>
          <w:rFonts w:hint="eastAsia" w:ascii="宋体" w:hAnsi="宋体" w:eastAsia="宋体" w:cs="宋体"/>
          <w:b/>
          <w:bCs/>
          <w:kern w:val="2"/>
          <w:sz w:val="32"/>
          <w:szCs w:val="32"/>
          <w:lang w:val="en-US" w:eastAsia="zh-CN" w:bidi="ar-SA"/>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widowControl w:val="0"/>
        <w:wordWrap/>
        <w:adjustRightInd/>
        <w:snapToGrid w:val="0"/>
        <w:spacing w:beforeAutospacing="0" w:afterAutospacing="0" w:line="560" w:lineRule="atLeas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（一）机关运行经费预算</w:t>
      </w:r>
      <w:r>
        <w:rPr>
          <w:rFonts w:hint="eastAsia" w:ascii="仿宋" w:hAnsi="仿宋" w:eastAsia="仿宋" w:cs="仿宋"/>
          <w:b/>
          <w:bCs/>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beforeAutospacing="0" w:afterAutospacing="0" w:line="560" w:lineRule="atLeas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rPr>
        <w:t>2021年，机关运行经费支出预算</w:t>
      </w:r>
      <w:r>
        <w:rPr>
          <w:rFonts w:hint="eastAsia" w:ascii="仿宋" w:hAnsi="仿宋" w:eastAsia="仿宋" w:cs="仿宋"/>
          <w:sz w:val="32"/>
          <w:szCs w:val="32"/>
          <w:lang w:val="en-US" w:eastAsia="zh-CN"/>
        </w:rPr>
        <w:t>403.66</w:t>
      </w:r>
      <w:r>
        <w:rPr>
          <w:rFonts w:hint="eastAsia" w:ascii="仿宋" w:hAnsi="仿宋" w:eastAsia="仿宋" w:cs="仿宋"/>
          <w:sz w:val="32"/>
          <w:szCs w:val="32"/>
        </w:rPr>
        <w:t>万元，主要用于办公及印刷费、邮电费、差旅费</w:t>
      </w:r>
      <w:r>
        <w:rPr>
          <w:rFonts w:hint="eastAsia" w:ascii="仿宋" w:hAnsi="仿宋" w:eastAsia="仿宋" w:cs="仿宋"/>
          <w:sz w:val="32"/>
          <w:szCs w:val="32"/>
          <w:highlight w:val="none"/>
        </w:rPr>
        <w:t>、</w:t>
      </w:r>
      <w:r>
        <w:rPr>
          <w:rFonts w:hint="eastAsia" w:ascii="仿宋" w:hAnsi="仿宋" w:eastAsia="仿宋" w:cs="仿宋"/>
          <w:sz w:val="32"/>
          <w:szCs w:val="32"/>
        </w:rPr>
        <w:t>会议费、水、电、暖、物业管理等运行维护费、公务用车运行维护费以及其他费用。</w:t>
      </w:r>
      <w:r>
        <w:rPr>
          <w:rFonts w:hint="eastAsia" w:ascii="仿宋" w:hAnsi="仿宋" w:eastAsia="仿宋" w:cs="仿宋"/>
          <w:sz w:val="32"/>
          <w:szCs w:val="32"/>
          <w:highlight w:val="none"/>
        </w:rPr>
        <w:tab/>
      </w:r>
    </w:p>
    <w:p>
      <w:pPr>
        <w:widowControl w:val="0"/>
        <w:wordWrap/>
        <w:adjustRightInd/>
        <w:snapToGrid w:val="0"/>
        <w:spacing w:beforeAutospacing="0" w:afterAutospacing="0" w:line="560" w:lineRule="atLeas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二</w:t>
      </w:r>
      <w:r>
        <w:rPr>
          <w:rFonts w:hint="eastAsia" w:ascii="仿宋" w:hAnsi="仿宋" w:eastAsia="仿宋" w:cs="仿宋"/>
          <w:b/>
          <w:bCs/>
          <w:sz w:val="32"/>
          <w:szCs w:val="32"/>
        </w:rPr>
        <w:t>）</w:t>
      </w:r>
      <w:r>
        <w:rPr>
          <w:rFonts w:hint="eastAsia" w:ascii="仿宋" w:hAnsi="仿宋" w:eastAsia="仿宋" w:cs="仿宋"/>
          <w:b/>
          <w:bCs/>
          <w:sz w:val="32"/>
          <w:szCs w:val="32"/>
          <w:lang w:eastAsia="zh-CN"/>
        </w:rPr>
        <w:t>政府采购支出</w:t>
      </w:r>
      <w:r>
        <w:rPr>
          <w:rFonts w:hint="eastAsia" w:ascii="仿宋" w:hAnsi="仿宋" w:eastAsia="仿宋" w:cs="仿宋"/>
          <w:b/>
          <w:bCs/>
          <w:sz w:val="32"/>
          <w:szCs w:val="32"/>
        </w:rPr>
        <w:t>情况</w:t>
      </w:r>
    </w:p>
    <w:p>
      <w:pPr>
        <w:pStyle w:val="6"/>
        <w:widowControl/>
        <w:wordWrap/>
        <w:adjustRightInd/>
        <w:spacing w:beforeAutospacing="0" w:afterAutospacing="0"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2021年，政府采购预算安排</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 。主要用于办公设备、办公用品购置及印刷品。预算数与 2020 年相比减少</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万元。 </w:t>
      </w:r>
      <w:r>
        <w:rPr>
          <w:rFonts w:hint="eastAsia" w:ascii="仿宋" w:hAnsi="仿宋" w:eastAsia="仿宋" w:cs="仿宋"/>
          <w:sz w:val="32"/>
          <w:szCs w:val="32"/>
          <w:highlight w:val="none"/>
        </w:rPr>
        <w:tab/>
      </w:r>
    </w:p>
    <w:p>
      <w:pPr>
        <w:widowControl w:val="0"/>
        <w:wordWrap/>
        <w:adjustRightInd/>
        <w:snapToGrid w:val="0"/>
        <w:spacing w:beforeAutospacing="0" w:afterAutospacing="0" w:line="560" w:lineRule="atLeas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（三）绩效目标设置情况</w:t>
      </w:r>
    </w:p>
    <w:p>
      <w:pPr>
        <w:widowControl w:val="0"/>
        <w:wordWrap/>
        <w:adjustRightInd/>
        <w:snapToGrid w:val="0"/>
        <w:spacing w:beforeAutospacing="0" w:afterAutospacing="0" w:line="560" w:lineRule="atLeast"/>
        <w:textAlignment w:val="auto"/>
        <w:rPr>
          <w:rFonts w:hint="eastAsia" w:ascii="仿宋" w:hAnsi="仿宋" w:eastAsia="仿宋" w:cs="仿宋"/>
          <w:sz w:val="32"/>
          <w:szCs w:val="32"/>
        </w:rPr>
      </w:pPr>
      <w:r>
        <w:rPr>
          <w:rFonts w:hint="eastAsia" w:ascii="仿宋" w:hAnsi="仿宋" w:eastAsia="仿宋" w:cs="仿宋"/>
          <w:sz w:val="32"/>
          <w:szCs w:val="32"/>
        </w:rPr>
        <w:t xml:space="preserve">    2021年，我单位按要求编制了绩效目标，从项目产出、项目效益、满意度等方面设置了绩效指标，综合反映项目预期完成的数量、实效、质量，预期达到的社会经济效益、可持续影响以及服务对象满意度等情况。</w:t>
      </w:r>
    </w:p>
    <w:p>
      <w:pPr>
        <w:widowControl w:val="0"/>
        <w:wordWrap/>
        <w:adjustRightInd/>
        <w:snapToGrid w:val="0"/>
        <w:spacing w:beforeAutospacing="0" w:afterAutospacing="0" w:line="560" w:lineRule="atLeas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w:t>
      </w:r>
      <w:r>
        <w:rPr>
          <w:rFonts w:hint="eastAsia" w:ascii="仿宋" w:hAnsi="仿宋" w:eastAsia="仿宋" w:cs="仿宋"/>
          <w:b/>
          <w:bCs/>
          <w:sz w:val="32"/>
          <w:szCs w:val="32"/>
          <w:lang w:eastAsia="zh-CN"/>
        </w:rPr>
        <w:t>四</w:t>
      </w:r>
      <w:r>
        <w:rPr>
          <w:rFonts w:hint="eastAsia" w:ascii="仿宋" w:hAnsi="仿宋" w:eastAsia="仿宋" w:cs="仿宋"/>
          <w:b/>
          <w:bCs/>
          <w:sz w:val="32"/>
          <w:szCs w:val="32"/>
        </w:rPr>
        <w:t>）国有资产占用情况</w:t>
      </w:r>
    </w:p>
    <w:p>
      <w:pPr>
        <w:widowControl w:val="0"/>
        <w:wordWrap/>
        <w:adjustRightInd/>
        <w:snapToGrid w:val="0"/>
        <w:spacing w:beforeAutospacing="0" w:afterAutospacing="0" w:line="560" w:lineRule="atLeas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0</w:t>
      </w:r>
      <w:r>
        <w:rPr>
          <w:rFonts w:hint="eastAsia" w:ascii="仿宋" w:hAnsi="仿宋" w:eastAsia="仿宋" w:cs="仿宋"/>
          <w:sz w:val="32"/>
          <w:szCs w:val="32"/>
        </w:rPr>
        <w:t>年</w:t>
      </w:r>
      <w:r>
        <w:rPr>
          <w:rFonts w:hint="eastAsia" w:ascii="仿宋" w:hAnsi="仿宋" w:eastAsia="仿宋" w:cs="仿宋"/>
          <w:sz w:val="32"/>
          <w:szCs w:val="32"/>
          <w:lang w:eastAsia="zh-CN"/>
        </w:rPr>
        <w:t>期末</w:t>
      </w:r>
      <w:r>
        <w:rPr>
          <w:rFonts w:hint="eastAsia" w:ascii="仿宋" w:hAnsi="仿宋" w:eastAsia="仿宋" w:cs="仿宋"/>
          <w:sz w:val="32"/>
          <w:szCs w:val="32"/>
        </w:rPr>
        <w:t>，我单位共有车辆</w:t>
      </w:r>
      <w:r>
        <w:rPr>
          <w:rFonts w:hint="eastAsia" w:ascii="仿宋" w:hAnsi="仿宋" w:eastAsia="仿宋" w:cs="仿宋"/>
          <w:sz w:val="32"/>
          <w:szCs w:val="32"/>
          <w:lang w:val="en-US" w:eastAsia="zh-CN"/>
        </w:rPr>
        <w:t>20</w:t>
      </w:r>
      <w:r>
        <w:rPr>
          <w:rFonts w:hint="eastAsia" w:ascii="仿宋" w:hAnsi="仿宋" w:eastAsia="仿宋" w:cs="仿宋"/>
          <w:sz w:val="32"/>
          <w:szCs w:val="32"/>
        </w:rPr>
        <w:t>辆，其中：一般公务用车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20</w:t>
      </w:r>
      <w:r>
        <w:rPr>
          <w:rFonts w:hint="eastAsia" w:ascii="仿宋" w:hAnsi="仿宋" w:eastAsia="仿宋" w:cs="仿宋"/>
          <w:sz w:val="32"/>
          <w:szCs w:val="32"/>
        </w:rPr>
        <w:t>辆、特种专业技术用车0辆，其他用车0辆；单价50万元以上通用设备0套，单位价值100万元以上专用设备0套。</w:t>
      </w:r>
    </w:p>
    <w:p>
      <w:pPr>
        <w:widowControl w:val="0"/>
        <w:wordWrap/>
        <w:adjustRightInd/>
        <w:snapToGrid w:val="0"/>
        <w:spacing w:beforeAutospacing="0" w:afterAutospacing="0" w:line="560" w:lineRule="atLeas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w:t>
      </w:r>
      <w:r>
        <w:rPr>
          <w:rFonts w:hint="eastAsia" w:ascii="仿宋" w:hAnsi="仿宋" w:eastAsia="仿宋" w:cs="仿宋"/>
          <w:b/>
          <w:bCs/>
          <w:sz w:val="32"/>
          <w:szCs w:val="32"/>
          <w:lang w:eastAsia="zh-CN"/>
        </w:rPr>
        <w:t>五</w:t>
      </w:r>
      <w:r>
        <w:rPr>
          <w:rFonts w:hint="eastAsia" w:ascii="仿宋" w:hAnsi="仿宋" w:eastAsia="仿宋" w:cs="仿宋"/>
          <w:b/>
          <w:bCs/>
          <w:sz w:val="32"/>
          <w:szCs w:val="32"/>
        </w:rPr>
        <w:t>）专项转移支付项目情况</w:t>
      </w:r>
    </w:p>
    <w:p>
      <w:pPr>
        <w:widowControl w:val="0"/>
        <w:wordWrap/>
        <w:adjustRightInd/>
        <w:snapToGrid w:val="0"/>
        <w:spacing w:beforeAutospacing="0" w:afterAutospacing="0" w:line="560" w:lineRule="atLeast"/>
        <w:textAlignment w:val="auto"/>
        <w:rPr>
          <w:rFonts w:hint="eastAsia" w:ascii="仿宋" w:hAnsi="仿宋" w:eastAsia="仿宋" w:cs="仿宋"/>
          <w:sz w:val="32"/>
          <w:szCs w:val="32"/>
        </w:rPr>
      </w:pPr>
      <w:r>
        <w:rPr>
          <w:rFonts w:hint="eastAsia" w:ascii="仿宋" w:hAnsi="仿宋" w:eastAsia="仿宋" w:cs="仿宋"/>
          <w:sz w:val="32"/>
          <w:szCs w:val="32"/>
        </w:rPr>
        <w:t xml:space="preserve">    我单位2021年没有专项转移支付项目。</w:t>
      </w:r>
    </w:p>
    <w:p>
      <w:pPr>
        <w:widowControl w:val="0"/>
        <w:wordWrap/>
        <w:adjustRightInd/>
        <w:snapToGrid w:val="0"/>
        <w:spacing w:beforeAutospacing="0" w:afterAutospacing="0" w:line="560" w:lineRule="atLeast"/>
        <w:textAlignment w:val="auto"/>
        <w:rPr>
          <w:rFonts w:hint="eastAsia" w:ascii="仿宋" w:hAnsi="仿宋" w:eastAsia="仿宋" w:cs="仿宋"/>
          <w:sz w:val="32"/>
          <w:szCs w:val="32"/>
        </w:rPr>
      </w:pPr>
    </w:p>
    <w:p>
      <w:pPr>
        <w:widowControl w:val="0"/>
        <w:wordWrap/>
        <w:adjustRightInd/>
        <w:snapToGrid w:val="0"/>
        <w:spacing w:beforeAutospacing="0" w:afterAutospacing="0" w:line="560" w:lineRule="atLeast"/>
        <w:textAlignment w:val="auto"/>
        <w:rPr>
          <w:rFonts w:hint="eastAsia" w:ascii="仿宋" w:hAnsi="仿宋" w:eastAsia="仿宋" w:cs="仿宋"/>
          <w:sz w:val="32"/>
          <w:szCs w:val="32"/>
        </w:rPr>
      </w:pPr>
    </w:p>
    <w:p>
      <w:pPr>
        <w:widowControl w:val="0"/>
        <w:wordWrap/>
        <w:adjustRightInd/>
        <w:snapToGrid w:val="0"/>
        <w:spacing w:beforeAutospacing="0" w:afterAutospacing="0" w:line="560" w:lineRule="atLeast"/>
        <w:textAlignment w:val="auto"/>
        <w:rPr>
          <w:rFonts w:hint="eastAsia" w:ascii="仿宋" w:hAnsi="仿宋" w:eastAsia="仿宋" w:cs="仿宋"/>
          <w:sz w:val="32"/>
          <w:szCs w:val="32"/>
        </w:rPr>
      </w:pPr>
    </w:p>
    <w:p>
      <w:pPr>
        <w:widowControl w:val="0"/>
        <w:wordWrap/>
        <w:adjustRightInd/>
        <w:snapToGrid w:val="0"/>
        <w:spacing w:beforeAutospacing="0" w:afterAutospacing="0" w:line="560" w:lineRule="atLeast"/>
        <w:textAlignment w:val="auto"/>
        <w:rPr>
          <w:rFonts w:hint="eastAsia" w:ascii="仿宋" w:hAnsi="仿宋" w:eastAsia="仿宋" w:cs="仿宋"/>
          <w:sz w:val="32"/>
          <w:szCs w:val="32"/>
        </w:rPr>
      </w:pPr>
    </w:p>
    <w:p>
      <w:pPr>
        <w:widowControl w:val="0"/>
        <w:wordWrap/>
        <w:adjustRightInd/>
        <w:snapToGrid w:val="0"/>
        <w:spacing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第三部分 </w:t>
      </w:r>
    </w:p>
    <w:p>
      <w:pPr>
        <w:widowControl w:val="0"/>
        <w:wordWrap/>
        <w:adjustRightInd/>
        <w:snapToGrid w:val="0"/>
        <w:spacing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名词解释</w:t>
      </w:r>
    </w:p>
    <w:p>
      <w:pPr>
        <w:widowControl w:val="0"/>
        <w:wordWrap/>
        <w:adjustRightInd/>
        <w:snapToGrid w:val="0"/>
        <w:spacing w:line="560" w:lineRule="exact"/>
        <w:jc w:val="center"/>
        <w:textAlignment w:val="auto"/>
        <w:rPr>
          <w:rFonts w:hint="eastAsia" w:ascii="宋体" w:hAnsi="宋体" w:eastAsia="宋体" w:cs="宋体"/>
          <w:b/>
          <w:bCs/>
          <w:sz w:val="32"/>
          <w:szCs w:val="32"/>
        </w:rPr>
      </w:pP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一、财政拨款收入：是指省级财政当年拨付的资金。</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二、事业收入：是指事业单位开展专业活动及辅助活动所取得的收入。</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三、其他收入：是指部门取得的除“财政拨款”、“事业收入”、“事业单位经营收入”等以外的收入。</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四、用事业基金弥补收支差额：是指事业单位在当年的“财政拨款收入”、“事业收入”、“经营收入”和“其他收入”不足以安排当年支出的情况下，使用以前年度积累的事业基金</w:t>
      </w:r>
      <w:r>
        <w:rPr>
          <w:rFonts w:hint="eastAsia" w:ascii="仿宋" w:hAnsi="仿宋" w:eastAsia="仿宋" w:cs="仿宋"/>
          <w:sz w:val="32"/>
          <w:szCs w:val="32"/>
          <w:highlight w:val="none"/>
          <w:lang w:eastAsia="zh-CN"/>
        </w:rPr>
        <w:t>（</w:t>
      </w:r>
      <w:r>
        <w:rPr>
          <w:rFonts w:hint="eastAsia" w:ascii="仿宋" w:hAnsi="仿宋" w:eastAsia="仿宋" w:cs="仿宋"/>
          <w:sz w:val="32"/>
          <w:szCs w:val="32"/>
        </w:rPr>
        <w:t>即事业单位以前各年度收支相抵后，按国家规定提取、用于弥补以后年度收支差额的基金</w:t>
      </w:r>
      <w:r>
        <w:rPr>
          <w:rFonts w:hint="eastAsia" w:ascii="仿宋" w:hAnsi="仿宋" w:eastAsia="仿宋" w:cs="仿宋"/>
          <w:sz w:val="32"/>
          <w:szCs w:val="32"/>
          <w:highlight w:val="none"/>
          <w:lang w:eastAsia="zh-CN"/>
        </w:rPr>
        <w:t>）</w:t>
      </w:r>
      <w:r>
        <w:rPr>
          <w:rFonts w:hint="eastAsia" w:ascii="仿宋" w:hAnsi="仿宋" w:eastAsia="仿宋" w:cs="仿宋"/>
          <w:sz w:val="32"/>
          <w:szCs w:val="32"/>
        </w:rPr>
        <w:t>弥补当年收支缺口的资金。</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五、基本支出：是指为保障机构正常运转、完成日常工作任务所必需的开支，其内容包括人员经费和日常公用经费两部分。</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六、项目支出：是指在基本支出之外，为完成特定的行政工作任务或事业发展目标所发生的支出。</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七、“三公”经费：是指纳入省级财政预算管理，部门使用财政拨款安排的因公出国</w:t>
      </w:r>
      <w:r>
        <w:rPr>
          <w:rFonts w:hint="eastAsia" w:ascii="仿宋" w:hAnsi="仿宋" w:eastAsia="仿宋" w:cs="仿宋"/>
          <w:sz w:val="32"/>
          <w:szCs w:val="32"/>
          <w:highlight w:val="none"/>
          <w:lang w:eastAsia="zh-CN"/>
        </w:rPr>
        <w:t>（</w:t>
      </w:r>
      <w:r>
        <w:rPr>
          <w:rFonts w:hint="eastAsia" w:ascii="仿宋" w:hAnsi="仿宋" w:eastAsia="仿宋" w:cs="仿宋"/>
          <w:sz w:val="32"/>
          <w:szCs w:val="32"/>
        </w:rPr>
        <w:t>境</w:t>
      </w:r>
      <w:r>
        <w:rPr>
          <w:rFonts w:hint="eastAsia" w:ascii="仿宋" w:hAnsi="仿宋" w:eastAsia="仿宋" w:cs="仿宋"/>
          <w:sz w:val="32"/>
          <w:szCs w:val="32"/>
          <w:highlight w:val="none"/>
          <w:lang w:eastAsia="zh-CN"/>
        </w:rPr>
        <w:t>）</w:t>
      </w:r>
      <w:r>
        <w:rPr>
          <w:rFonts w:hint="eastAsia" w:ascii="仿宋" w:hAnsi="仿宋" w:eastAsia="仿宋" w:cs="仿宋"/>
          <w:sz w:val="32"/>
          <w:szCs w:val="32"/>
        </w:rPr>
        <w:t>费、公务用车购置及运行费和公务接待费。其中，因公出国</w:t>
      </w:r>
      <w:r>
        <w:rPr>
          <w:rFonts w:hint="eastAsia" w:ascii="仿宋" w:hAnsi="仿宋" w:eastAsia="仿宋" w:cs="仿宋"/>
          <w:sz w:val="32"/>
          <w:szCs w:val="32"/>
          <w:highlight w:val="none"/>
          <w:lang w:eastAsia="zh-CN"/>
        </w:rPr>
        <w:t>（</w:t>
      </w:r>
      <w:r>
        <w:rPr>
          <w:rFonts w:hint="eastAsia" w:ascii="仿宋" w:hAnsi="仿宋" w:eastAsia="仿宋" w:cs="仿宋"/>
          <w:sz w:val="32"/>
          <w:szCs w:val="32"/>
        </w:rPr>
        <w:t>境</w:t>
      </w:r>
      <w:r>
        <w:rPr>
          <w:rFonts w:hint="eastAsia" w:ascii="仿宋" w:hAnsi="仿宋" w:eastAsia="仿宋" w:cs="仿宋"/>
          <w:sz w:val="32"/>
          <w:szCs w:val="32"/>
          <w:highlight w:val="none"/>
          <w:lang w:eastAsia="zh-CN"/>
        </w:rPr>
        <w:t>）</w:t>
      </w:r>
      <w:r>
        <w:rPr>
          <w:rFonts w:hint="eastAsia" w:ascii="仿宋" w:hAnsi="仿宋" w:eastAsia="仿宋" w:cs="仿宋"/>
          <w:sz w:val="32"/>
          <w:szCs w:val="32"/>
        </w:rPr>
        <w:t>费反映单位公务出国</w:t>
      </w:r>
      <w:r>
        <w:rPr>
          <w:rFonts w:hint="eastAsia" w:ascii="仿宋" w:hAnsi="仿宋" w:eastAsia="仿宋" w:cs="仿宋"/>
          <w:sz w:val="32"/>
          <w:szCs w:val="32"/>
          <w:highlight w:val="none"/>
          <w:lang w:eastAsia="zh-CN"/>
        </w:rPr>
        <w:t>（</w:t>
      </w:r>
      <w:r>
        <w:rPr>
          <w:rFonts w:hint="eastAsia" w:ascii="仿宋" w:hAnsi="仿宋" w:eastAsia="仿宋" w:cs="仿宋"/>
          <w:sz w:val="32"/>
          <w:szCs w:val="32"/>
        </w:rPr>
        <w:t>境</w:t>
      </w:r>
      <w:r>
        <w:rPr>
          <w:rFonts w:hint="eastAsia" w:ascii="仿宋" w:hAnsi="仿宋" w:eastAsia="仿宋" w:cs="仿宋"/>
          <w:sz w:val="32"/>
          <w:szCs w:val="32"/>
          <w:highlight w:val="none"/>
          <w:lang w:eastAsia="zh-CN"/>
        </w:rPr>
        <w:t>）</w:t>
      </w:r>
      <w:r>
        <w:rPr>
          <w:rFonts w:hint="eastAsia" w:ascii="仿宋" w:hAnsi="仿宋" w:eastAsia="仿宋" w:cs="仿宋"/>
          <w:sz w:val="32"/>
          <w:szCs w:val="32"/>
        </w:rPr>
        <w:t>的住宿费、旅费、伙食补助费、杂费、培训费等支出；公务用车购置及运行费反映单位公务用车购置费及租用费、燃料费、维修费、过路过桥费、保险费、安全奖励费用等支出；公务接待费反映单位按规定开支的各类公务接待</w:t>
      </w:r>
      <w:r>
        <w:rPr>
          <w:rFonts w:hint="eastAsia" w:ascii="仿宋" w:hAnsi="仿宋" w:eastAsia="仿宋" w:cs="仿宋"/>
          <w:sz w:val="32"/>
          <w:szCs w:val="32"/>
          <w:highlight w:val="none"/>
          <w:lang w:eastAsia="zh-CN"/>
        </w:rPr>
        <w:t>（</w:t>
      </w:r>
      <w:r>
        <w:rPr>
          <w:rFonts w:hint="eastAsia" w:ascii="仿宋" w:hAnsi="仿宋" w:eastAsia="仿宋" w:cs="仿宋"/>
          <w:sz w:val="32"/>
          <w:szCs w:val="32"/>
        </w:rPr>
        <w:t>含外宾接待</w:t>
      </w:r>
      <w:r>
        <w:rPr>
          <w:rFonts w:hint="eastAsia" w:ascii="仿宋" w:hAnsi="仿宋" w:eastAsia="仿宋" w:cs="仿宋"/>
          <w:sz w:val="32"/>
          <w:szCs w:val="32"/>
          <w:highlight w:val="none"/>
          <w:lang w:eastAsia="zh-CN"/>
        </w:rPr>
        <w:t>）</w:t>
      </w:r>
      <w:r>
        <w:rPr>
          <w:rFonts w:hint="eastAsia" w:ascii="仿宋" w:hAnsi="仿宋" w:eastAsia="仿宋" w:cs="仿宋"/>
          <w:sz w:val="32"/>
          <w:szCs w:val="32"/>
        </w:rPr>
        <w:t>支出。</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八、机关运行经费：是指为保障行政单位</w:t>
      </w:r>
      <w:r>
        <w:rPr>
          <w:rFonts w:hint="eastAsia" w:ascii="仿宋" w:hAnsi="仿宋" w:eastAsia="仿宋" w:cs="仿宋"/>
          <w:sz w:val="32"/>
          <w:szCs w:val="32"/>
          <w:highlight w:val="none"/>
          <w:lang w:eastAsia="zh-CN"/>
        </w:rPr>
        <w:t>（</w:t>
      </w:r>
      <w:r>
        <w:rPr>
          <w:rFonts w:hint="eastAsia" w:ascii="仿宋" w:hAnsi="仿宋" w:eastAsia="仿宋" w:cs="仿宋"/>
          <w:sz w:val="32"/>
          <w:szCs w:val="32"/>
        </w:rPr>
        <w:t>含参照公务员法管理的事业单位</w:t>
      </w:r>
      <w:r>
        <w:rPr>
          <w:rFonts w:hint="eastAsia" w:ascii="仿宋" w:hAnsi="仿宋" w:eastAsia="仿宋" w:cs="仿宋"/>
          <w:sz w:val="32"/>
          <w:szCs w:val="32"/>
          <w:highlight w:val="none"/>
          <w:lang w:eastAsia="zh-CN"/>
        </w:rPr>
        <w:t>）</w:t>
      </w:r>
      <w:r>
        <w:rPr>
          <w:rFonts w:hint="eastAsia" w:ascii="仿宋" w:hAnsi="仿宋" w:eastAsia="仿宋" w:cs="仿宋"/>
          <w:sz w:val="32"/>
          <w:szCs w:val="32"/>
        </w:rPr>
        <w:t>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 w:hAnsi="仿宋" w:eastAsia="仿宋" w:cs="仿宋"/>
          <w:sz w:val="32"/>
          <w:szCs w:val="32"/>
          <w:lang w:eastAsia="zh-CN"/>
        </w:rPr>
        <w:t>。</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lang w:eastAsia="zh-CN"/>
        </w:rPr>
      </w:pPr>
    </w:p>
    <w:p>
      <w:pPr>
        <w:widowControl w:val="0"/>
        <w:wordWrap/>
        <w:adjustRightInd/>
        <w:snapToGrid w:val="0"/>
        <w:spacing w:line="560" w:lineRule="exact"/>
        <w:ind w:firstLine="640" w:firstLineChars="200"/>
        <w:textAlignment w:val="auto"/>
        <w:rPr>
          <w:rFonts w:hint="eastAsia" w:ascii="仿宋" w:hAnsi="仿宋" w:eastAsia="仿宋" w:cs="仿宋"/>
          <w:sz w:val="32"/>
          <w:szCs w:val="32"/>
          <w:lang w:eastAsia="zh-CN"/>
        </w:rPr>
      </w:pPr>
    </w:p>
    <w:p>
      <w:pPr>
        <w:widowControl w:val="0"/>
        <w:wordWrap/>
        <w:adjustRightInd/>
        <w:snapToGrid w:val="0"/>
        <w:spacing w:line="560" w:lineRule="exact"/>
        <w:textAlignment w:val="auto"/>
        <w:rPr>
          <w:rFonts w:hint="eastAsia" w:ascii="宋体" w:hAnsi="宋体" w:eastAsia="宋体" w:cs="宋体"/>
          <w:b/>
          <w:bCs w:val="0"/>
          <w:kern w:val="0"/>
          <w:sz w:val="32"/>
          <w:szCs w:val="32"/>
          <w:highlight w:val="none"/>
          <w:lang w:eastAsia="zh-CN"/>
        </w:rPr>
      </w:pPr>
      <w:r>
        <w:rPr>
          <w:rFonts w:hint="eastAsia" w:ascii="宋体" w:hAnsi="宋体" w:eastAsia="宋体" w:cs="宋体"/>
          <w:b/>
          <w:bCs w:val="0"/>
          <w:kern w:val="0"/>
          <w:sz w:val="32"/>
          <w:szCs w:val="32"/>
          <w:highlight w:val="none"/>
          <w:lang w:eastAsia="zh-CN"/>
        </w:rPr>
        <w:t>附件：</w:t>
      </w:r>
    </w:p>
    <w:p>
      <w:pPr>
        <w:ind w:firstLine="1285" w:firstLineChars="400"/>
        <w:rPr>
          <w:rFonts w:hint="default" w:ascii="仿宋_GB2312" w:hAnsi="宋体" w:eastAsia="仿宋_GB2312" w:cs="宋体"/>
          <w:bCs/>
          <w:kern w:val="0"/>
          <w:sz w:val="32"/>
          <w:szCs w:val="32"/>
          <w:highlight w:val="none"/>
          <w:lang w:val="en-US" w:eastAsia="zh-CN"/>
        </w:rPr>
      </w:pPr>
      <w:r>
        <w:rPr>
          <w:rFonts w:hint="eastAsia" w:ascii="宋体" w:hAnsi="宋体" w:eastAsia="宋体" w:cs="宋体"/>
          <w:b/>
          <w:bCs w:val="0"/>
          <w:kern w:val="0"/>
          <w:sz w:val="32"/>
          <w:szCs w:val="32"/>
          <w:highlight w:val="none"/>
          <w:lang w:eastAsia="zh-CN"/>
        </w:rPr>
        <w:t>平顶山市卫东区</w:t>
      </w:r>
      <w:r>
        <w:rPr>
          <w:rFonts w:hint="eastAsia" w:ascii="宋体" w:hAnsi="宋体" w:cs="宋体"/>
          <w:b/>
          <w:bCs w:val="0"/>
          <w:kern w:val="0"/>
          <w:sz w:val="32"/>
          <w:szCs w:val="32"/>
          <w:highlight w:val="none"/>
          <w:lang w:eastAsia="zh-CN"/>
        </w:rPr>
        <w:t>城市管理</w:t>
      </w:r>
      <w:r>
        <w:rPr>
          <w:rFonts w:hint="eastAsia" w:ascii="宋体" w:hAnsi="宋体" w:eastAsia="宋体" w:cs="宋体"/>
          <w:b/>
          <w:bCs w:val="0"/>
          <w:kern w:val="0"/>
          <w:sz w:val="32"/>
          <w:szCs w:val="32"/>
          <w:highlight w:val="none"/>
          <w:lang w:eastAsia="zh-CN"/>
        </w:rPr>
        <w:t>局</w:t>
      </w:r>
      <w:r>
        <w:rPr>
          <w:rFonts w:hint="eastAsia" w:ascii="宋体" w:hAnsi="宋体" w:eastAsia="宋体" w:cs="宋体"/>
          <w:b/>
          <w:bCs w:val="0"/>
          <w:kern w:val="0"/>
          <w:sz w:val="32"/>
          <w:szCs w:val="32"/>
          <w:highlight w:val="none"/>
          <w:lang w:val="en-US" w:eastAsia="zh-CN"/>
        </w:rPr>
        <w:t>2021年部门预算表</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p>
    <w:p>
      <w:pPr>
        <w:widowControl w:val="0"/>
        <w:wordWrap/>
        <w:adjustRightInd/>
        <w:snapToGrid w:val="0"/>
        <w:spacing w:line="560" w:lineRule="exact"/>
        <w:textAlignment w:val="auto"/>
      </w:pPr>
      <w:r>
        <w:rPr>
          <w:rFonts w:hint="eastAsia" w:ascii="仿宋" w:hAnsi="仿宋" w:eastAsia="仿宋" w:cs="仿宋"/>
          <w:sz w:val="32"/>
          <w:szCs w:val="32"/>
        </w:rPr>
        <w:tab/>
      </w:r>
      <w:r>
        <w:rPr>
          <w:rFonts w:hint="eastAsia" w:ascii="仿宋" w:hAnsi="仿宋" w:eastAsia="仿宋" w:cs="仿宋"/>
          <w:sz w:val="32"/>
          <w:szCs w:val="32"/>
        </w:rPr>
        <w:tab/>
      </w:r>
    </w:p>
    <w:sectPr>
      <w:headerReference r:id="rId4" w:type="default"/>
      <w:footerReference r:id="rId5" w:type="default"/>
      <w:pgSz w:w="11906" w:h="16838"/>
      <w:pgMar w:top="2098" w:right="1474" w:bottom="1984" w:left="1587" w:header="851" w:footer="992" w:gutter="0"/>
      <w:pgNumType w:fmt="decimal"/>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E10002FF" w:usb1="4000ACFF" w:usb2="00000009" w:usb3="00000000" w:csb0="2000019F"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Strong"/>
    <w:basedOn w:val="4"/>
    <w:rPr>
      <w:b/>
      <w:bCs/>
    </w:rPr>
  </w:style>
  <w:style w:type="paragraph" w:customStyle="1" w:styleId="6">
    <w:name w:val="Normal (Web)"/>
    <w:basedOn w:val="1"/>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2021-03-04T08:17:00Z</dcterms:created>
  <dc:creator>翾1367974113</dc:creator>
  <dcterms:modified xsi:type="dcterms:W3CDTF">2021-06-09T17:34:24Z</dcterms:modified>
  <dc:title>爱喝酸奶的奥利奥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162570FEAD8F49179D27C149F100B8E0</vt:lpwstr>
  </property>
</Properties>
</file>