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textAlignment w:val="auto"/>
        <w:rPr>
          <w:rFonts w:ascii="Times New Roman" w:hAnsi="Times New Roman" w:eastAsia="仿宋_GB2312"/>
          <w:color w:val="000000"/>
          <w:sz w:val="11"/>
          <w:szCs w:val="11"/>
        </w:rPr>
      </w:pPr>
      <w:r>
        <w:rPr>
          <w:rFonts w:hAnsi="宋体" w:cs="宋体"/>
          <w:sz w:val="11"/>
          <w:szCs w:val="11"/>
        </w:rPr>
        <w:t xml:space="preserve"> </w:t>
      </w:r>
      <w:r>
        <w:rPr>
          <w:rFonts w:hint="eastAsia" w:ascii="仿宋_GB2312" w:hAnsi="仿宋_GB2312" w:eastAsia="仿宋_GB2312" w:cs="仿宋_GB2312"/>
          <w:sz w:val="11"/>
          <w:szCs w:val="11"/>
        </w:rPr>
        <w:t xml:space="preserve">     </w:t>
      </w:r>
      <w:r>
        <w:rPr>
          <w:rFonts w:hAnsi="宋体" w:cs="宋体"/>
          <w:sz w:val="11"/>
          <w:szCs w:val="11"/>
        </w:rPr>
        <w:t xml:space="preserve"> </w:t>
      </w:r>
      <w:r>
        <w:rPr>
          <w:rFonts w:hint="eastAsia" w:ascii="仿宋_GB2312" w:hAnsi="仿宋_GB2312" w:eastAsia="仿宋_GB2312" w:cs="仿宋_GB2312"/>
          <w:sz w:val="11"/>
          <w:szCs w:val="11"/>
        </w:rPr>
        <w:t xml:space="preserve">             </w:t>
      </w:r>
      <w:r>
        <w:rPr>
          <w:rFonts w:ascii="Times New Roman" w:hAnsi="Times New Roman" w:eastAsia="仿宋_GB2312"/>
          <w:color w:val="000000"/>
          <w:sz w:val="11"/>
          <w:szCs w:val="11"/>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textAlignment w:val="auto"/>
        <w:rPr>
          <w:rFonts w:ascii="Times New Roman" w:hAnsi="Times New Roman" w:eastAsia="仿宋_GB2312"/>
          <w:color w:val="000000"/>
          <w:sz w:val="11"/>
          <w:szCs w:val="11"/>
        </w:rPr>
      </w:pPr>
    </w:p>
    <w:p>
      <w:pPr>
        <w:keepNext w:val="0"/>
        <w:keepLines w:val="0"/>
        <w:pageBreakBefore w:val="0"/>
        <w:widowControl w:val="0"/>
        <w:kinsoku/>
        <w:wordWrap/>
        <w:overflowPunct/>
        <w:topLinePunct w:val="0"/>
        <w:autoSpaceDE/>
        <w:autoSpaceDN/>
        <w:bidi w:val="0"/>
        <w:adjustRightInd/>
        <w:snapToGrid/>
        <w:spacing w:line="360" w:lineRule="exact"/>
        <w:ind w:left="2625" w:leftChars="1250" w:firstLine="110" w:firstLineChars="100"/>
        <w:jc w:val="right"/>
        <w:textAlignment w:val="auto"/>
        <w:rPr>
          <w:rFonts w:ascii="Times New Roman" w:hAnsi="Times New Roman" w:eastAsia="仿宋_GB2312"/>
          <w:color w:val="000000"/>
          <w:sz w:val="11"/>
          <w:szCs w:val="11"/>
        </w:rPr>
      </w:pPr>
      <w:r>
        <w:rPr>
          <w:rFonts w:ascii="Times New Roman" w:hAnsi="Times New Roman" w:eastAsia="仿宋_GB2312"/>
          <w:color w:val="000000"/>
          <w:sz w:val="11"/>
          <w:szCs w:val="11"/>
        </w:rPr>
        <w:t xml:space="preserve"> </w:t>
      </w:r>
    </w:p>
    <w:p>
      <w:pPr>
        <w:spacing w:line="400" w:lineRule="exact"/>
        <w:jc w:val="both"/>
        <w:rPr>
          <w:rFonts w:ascii="Times New Roman" w:hAnsi="Times New Roman" w:eastAsia="仿宋_GB2312"/>
          <w:color w:val="000000"/>
          <w:sz w:val="28"/>
          <w:szCs w:val="28"/>
        </w:rPr>
      </w:pPr>
    </w:p>
    <w:p>
      <w:pPr>
        <w:jc w:val="right"/>
        <w:rPr>
          <w:rFonts w:hint="eastAsia" w:ascii="宋体" w:hAnsi="宋体" w:eastAsia="宋体" w:cs="宋体"/>
          <w:b/>
          <w:bCs/>
          <w:sz w:val="36"/>
          <w:szCs w:val="36"/>
        </w:rPr>
      </w:pPr>
      <w:r>
        <w:rPr>
          <w:rFonts w:hint="eastAsia" w:ascii="仿宋_GB2312" w:hAnsi="仿宋_GB2312" w:eastAsia="仿宋_GB2312" w:cs="仿宋_GB2312"/>
          <w:sz w:val="32"/>
          <w:szCs w:val="32"/>
        </w:rPr>
        <w:t xml:space="preserve"> 平卫环</w:t>
      </w:r>
      <w:r>
        <w:rPr>
          <w:rFonts w:hint="eastAsia" w:ascii="仿宋_GB2312" w:hAnsi="仿宋_GB2312" w:eastAsia="仿宋_GB2312" w:cs="仿宋_GB2312"/>
          <w:sz w:val="32"/>
          <w:szCs w:val="32"/>
          <w:lang w:val="en-US" w:eastAsia="zh-CN"/>
        </w:rPr>
        <w:t>诺[2020]</w:t>
      </w:r>
      <w:r>
        <w:rPr>
          <w:rFonts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rPr>
        <w:t>关于</w:t>
      </w:r>
      <w:r>
        <w:rPr>
          <w:rFonts w:hint="eastAsia" w:ascii="宋体" w:hAnsi="宋体" w:eastAsia="宋体" w:cs="宋体"/>
          <w:b/>
          <w:bCs/>
          <w:sz w:val="44"/>
          <w:szCs w:val="44"/>
          <w:lang w:val="en-US" w:eastAsia="zh-CN"/>
        </w:rPr>
        <w:t>平煤神马机械装备集团河南矿机有限公司液压支架生产系统智能化改造项目</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环境影响报告表的批复</w:t>
      </w: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center"/>
        <w:textAlignment w:val="auto"/>
        <w:outlineLvl w:val="9"/>
        <w:rPr>
          <w:rFonts w:hint="eastAsia" w:ascii="宋体" w:hAnsi="宋体" w:eastAsia="宋体" w:cs="宋体"/>
          <w:b/>
          <w:bCs/>
          <w:sz w:val="36"/>
          <w:szCs w:val="36"/>
        </w:rPr>
      </w:pPr>
    </w:p>
    <w:p>
      <w:pPr>
        <w:pStyle w:val="4"/>
        <w:keepNext w:val="0"/>
        <w:keepLines w:val="0"/>
        <w:pageBreakBefore w:val="0"/>
        <w:widowControl w:val="0"/>
        <w:kinsoku/>
        <w:wordWrap/>
        <w:overflowPunct/>
        <w:topLinePunct w:val="0"/>
        <w:autoSpaceDE/>
        <w:autoSpaceDN/>
        <w:bidi w:val="0"/>
        <w:spacing w:before="0" w:beforeAutospacing="0" w:after="0" w:afterAutospacing="0" w:line="590" w:lineRule="exact"/>
        <w:ind w:firstLine="0" w:firstLineChars="0"/>
        <w:jc w:val="both"/>
        <w:textAlignment w:val="auto"/>
        <w:outlineLvl w:val="9"/>
        <w:rPr>
          <w:rFonts w:hint="eastAsia" w:ascii="仿宋_GB2312" w:hAnsi="仿宋_GB2312" w:eastAsia="仿宋_GB2312" w:cs="仿宋_GB2312"/>
          <w:b w:val="0"/>
          <w:bCs w:val="0"/>
          <w:sz w:val="30"/>
          <w:szCs w:val="30"/>
        </w:rPr>
      </w:pPr>
      <w:r>
        <w:rPr>
          <w:rFonts w:hint="eastAsia" w:ascii="仿宋_GB2312" w:hAnsi="仿宋_GB2312" w:eastAsia="仿宋_GB2312" w:cs="仿宋_GB2312"/>
          <w:color w:val="000000"/>
          <w:kern w:val="0"/>
          <w:sz w:val="30"/>
          <w:szCs w:val="30"/>
          <w:lang w:val="en-US" w:eastAsia="zh-CN"/>
        </w:rPr>
        <w:t>平煤神马机械装备集团河南矿机有限公司</w:t>
      </w:r>
      <w:r>
        <w:rPr>
          <w:rFonts w:hint="eastAsia" w:ascii="仿宋_GB2312" w:hAnsi="仿宋_GB2312" w:eastAsia="仿宋_GB2312" w:cs="仿宋_GB2312"/>
          <w:b w:val="0"/>
          <w:bCs w:val="0"/>
          <w:sz w:val="30"/>
          <w:szCs w:val="30"/>
        </w:rPr>
        <w:t>:</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你公司（统一社会信用代码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914104000522699332</w:t>
      </w:r>
      <w:r>
        <w:rPr>
          <w:rFonts w:hint="eastAsia" w:ascii="仿宋_GB2312" w:hAnsi="仿宋_GB2312" w:eastAsia="仿宋_GB2312" w:cs="仿宋_GB2312"/>
          <w:sz w:val="30"/>
          <w:szCs w:val="30"/>
        </w:rPr>
        <w:t>）关于《</w:t>
      </w:r>
      <w:r>
        <w:rPr>
          <w:rFonts w:hint="eastAsia" w:ascii="仿宋_GB2312" w:hAnsi="仿宋_GB2312" w:eastAsia="仿宋_GB2312" w:cs="仿宋_GB2312"/>
          <w:sz w:val="30"/>
          <w:szCs w:val="30"/>
          <w:lang w:val="en-US" w:eastAsia="zh-CN"/>
        </w:rPr>
        <w:t>平煤神马机械装备集团河南矿机有限公司液压支架生产系统智能化改造项目</w:t>
      </w:r>
      <w:r>
        <w:rPr>
          <w:rFonts w:hint="eastAsia" w:ascii="仿宋_GB2312" w:hAnsi="仿宋_GB2312" w:eastAsia="仿宋_GB2312" w:cs="仿宋_GB2312"/>
          <w:sz w:val="30"/>
          <w:szCs w:val="30"/>
        </w:rPr>
        <w:t>环境影响报告表》的告知承诺制审批的申请收悉。该项目审批事项在我</w:t>
      </w:r>
      <w:r>
        <w:rPr>
          <w:rFonts w:hint="eastAsia" w:ascii="仿宋_GB2312" w:hAnsi="仿宋_GB2312" w:eastAsia="仿宋_GB2312" w:cs="仿宋_GB2312"/>
          <w:sz w:val="30"/>
          <w:szCs w:val="30"/>
          <w:lang w:val="en-US" w:eastAsia="zh-CN"/>
        </w:rPr>
        <w:t>区</w:t>
      </w:r>
      <w:bookmarkStart w:id="0" w:name="_GoBack"/>
      <w:bookmarkEnd w:id="0"/>
      <w:r>
        <w:rPr>
          <w:rFonts w:hint="eastAsia" w:ascii="仿宋_GB2312" w:hAnsi="仿宋_GB2312" w:eastAsia="仿宋_GB2312" w:cs="仿宋_GB2312"/>
          <w:sz w:val="30"/>
          <w:szCs w:val="30"/>
        </w:rPr>
        <w:t>网站公示期满。根据《中华人民共和国环境保护法》《中华人民共和国行政许可法》《中华人民共和国环境影响评价法》《建设项目环境保护管理条例》以及生态环境部《关于统筹做好疫情防控和经济社会发展生态环保工作的指导意见》（环综合〔2020〕13号》等规定，依据你公司及环评文件编制单位的承诺，我局原则同意你公司按照《环境影响报告书（表）》所列项目的性质、规模、地点、采用的生产工艺和环境保护对策措施进行项目建设。</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ind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你公司应全面落实《环境影响报告书（表）》提出的各项环境保护措施，各项环境保护设施与主体工程同时设计、同时施工、同时投入使用，确保各项污染物达标排放，并满足总量控制要求。该批复有效期为5年，如该项目逾期方开工建设，其环境影响报告书（表）应报我局重新审核。在项目投产前，取得污染物排放总量指标，并作为申报排污许可证的条件。按照规定及时进行竣工环境保护验收。</w:t>
      </w:r>
    </w:p>
    <w:p>
      <w:pPr>
        <w:pStyle w:val="3"/>
        <w:keepNext w:val="0"/>
        <w:keepLines w:val="0"/>
        <w:pageBreakBefore w:val="0"/>
        <w:widowControl w:val="0"/>
        <w:tabs>
          <w:tab w:val="left" w:pos="7938"/>
        </w:tabs>
        <w:kinsoku/>
        <w:wordWrap/>
        <w:overflowPunct/>
        <w:topLinePunct w:val="0"/>
        <w:autoSpaceDE/>
        <w:autoSpaceDN/>
        <w:bidi w:val="0"/>
        <w:adjustRightInd w:val="0"/>
        <w:snapToGrid w:val="0"/>
        <w:spacing w:after="0" w:line="590" w:lineRule="exact"/>
        <w:jc w:val="both"/>
        <w:textAlignment w:val="auto"/>
        <w:outlineLvl w:val="9"/>
        <w:rPr>
          <w:rFonts w:hint="eastAsia" w:ascii="仿宋_GB2312" w:hAnsi="仿宋_GB2312" w:eastAsia="仿宋_GB2312" w:cs="仿宋_GB2312"/>
          <w:sz w:val="30"/>
          <w:szCs w:val="30"/>
          <w:lang w:val="en-US" w:eastAsia="zh-CN"/>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2020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5月7日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52B4B"/>
    <w:rsid w:val="06DC5A17"/>
    <w:rsid w:val="13852B4B"/>
    <w:rsid w:val="686461EC"/>
    <w:rsid w:val="7391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spacing w:line="440" w:lineRule="exact"/>
      <w:jc w:val="center"/>
      <w:outlineLvl w:val="0"/>
    </w:pPr>
    <w:rPr>
      <w:rFonts w:ascii="宋体" w:hAnsi="宋体"/>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rPr>
      <w:rFonts w:ascii="Times New Roman" w:hAnsi="Times New Roman"/>
      <w:szCs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2020-04-28T02:56:00Z</dcterms:created>
  <dc:creator>Administrator</dc:creator>
  <cp:lastModifiedBy>Administrator</cp:lastModifiedBy>
  <cp:lastPrinted>2020-04-30T01:13:00Z</cp:lastPrinted>
  <dcterms:modified xsi:type="dcterms:W3CDTF">2020-05-06T07:40:36Z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