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78"/>
        <w:ind w:firstLine="0" w:firstLineChars="0"/>
        <w:rPr>
          <w:rFonts w:hint="eastAsia" w:eastAsia="宋体"/>
          <w:b/>
          <w:lang w:eastAsia="zh-CN"/>
        </w:rPr>
      </w:pPr>
      <w:r>
        <w:rPr>
          <w:rFonts w:hint="eastAsia" w:eastAsia="宋体"/>
          <w:b/>
          <w:lang w:eastAsia="zh-CN"/>
        </w:rPr>
        <w:drawing>
          <wp:anchor distT="0" distB="0" distL="114300" distR="114300" simplePos="0" relativeHeight="251657216" behindDoc="0" locked="0" layoutInCell="1" allowOverlap="1">
            <wp:simplePos x="0" y="0"/>
            <wp:positionH relativeFrom="column">
              <wp:posOffset>-552450</wp:posOffset>
            </wp:positionH>
            <wp:positionV relativeFrom="paragraph">
              <wp:posOffset>-683260</wp:posOffset>
            </wp:positionV>
            <wp:extent cx="6807200" cy="9860915"/>
            <wp:effectExtent l="0" t="0" r="12700" b="6985"/>
            <wp:wrapNone/>
            <wp:docPr id="2" name="图片 2" descr="13250659333973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3250659333973600"/>
                    <pic:cNvPicPr>
                      <a:picLocks noChangeAspect="1"/>
                    </pic:cNvPicPr>
                  </pic:nvPicPr>
                  <pic:blipFill>
                    <a:blip r:embed="rId10"/>
                    <a:stretch>
                      <a:fillRect/>
                    </a:stretch>
                  </pic:blipFill>
                  <pic:spPr>
                    <a:xfrm>
                      <a:off x="0" y="0"/>
                      <a:ext cx="6807200" cy="9860915"/>
                    </a:xfrm>
                    <a:prstGeom prst="rect">
                      <a:avLst/>
                    </a:prstGeom>
                  </pic:spPr>
                </pic:pic>
              </a:graphicData>
            </a:graphic>
          </wp:anchor>
        </w:drawing>
      </w:r>
    </w:p>
    <w:p>
      <w:pPr>
        <w:rPr>
          <w:rFonts w:eastAsia="宋体"/>
          <w:b/>
        </w:rPr>
      </w:pPr>
      <w:r>
        <w:rPr>
          <w:rFonts w:eastAsia="宋体"/>
          <w:b/>
        </w:rPr>
        <w:br w:type="page"/>
      </w:r>
    </w:p>
    <w:p>
      <w:pPr>
        <w:keepNext w:val="0"/>
        <w:keepLines w:val="0"/>
        <w:pageBreakBefore w:val="0"/>
        <w:widowControl w:val="0"/>
        <w:kinsoku/>
        <w:wordWrap/>
        <w:overflowPunct/>
        <w:topLinePunct w:val="0"/>
        <w:autoSpaceDE/>
        <w:autoSpaceDN/>
        <w:bidi w:val="0"/>
        <w:adjustRightInd/>
        <w:snapToGrid/>
        <w:spacing w:line="360" w:lineRule="auto"/>
        <w:ind w:firstLine="0"/>
        <w:jc w:val="center"/>
        <w:textAlignment w:val="auto"/>
        <w:rPr>
          <w:rFonts w:hint="eastAsia" w:ascii="Times New Roman" w:hAnsi="Times New Roman" w:eastAsia="宋体"/>
          <w:b/>
          <w:bCs/>
          <w:sz w:val="38"/>
          <w:szCs w:val="22"/>
          <w:lang w:eastAsia="zh-CN"/>
        </w:rPr>
      </w:pPr>
      <w:r>
        <w:rPr>
          <w:rFonts w:hint="eastAsia" w:ascii="Times New Roman" w:hAnsi="Times New Roman" w:eastAsia="宋体"/>
          <w:b/>
          <w:bCs/>
          <w:sz w:val="38"/>
          <w:szCs w:val="22"/>
          <w:lang w:eastAsia="zh-CN"/>
        </w:rPr>
        <w:drawing>
          <wp:inline distT="0" distB="0" distL="114300" distR="114300">
            <wp:extent cx="5753100" cy="8330565"/>
            <wp:effectExtent l="0" t="0" r="0" b="13335"/>
            <wp:docPr id="10" name="图片 10" descr="13250659334352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13250659334352600"/>
                    <pic:cNvPicPr>
                      <a:picLocks noChangeAspect="1"/>
                    </pic:cNvPicPr>
                  </pic:nvPicPr>
                  <pic:blipFill>
                    <a:blip r:embed="rId11"/>
                    <a:stretch>
                      <a:fillRect/>
                    </a:stretch>
                  </pic:blipFill>
                  <pic:spPr>
                    <a:xfrm>
                      <a:off x="0" y="0"/>
                      <a:ext cx="5753100" cy="8330565"/>
                    </a:xfrm>
                    <a:prstGeom prst="rect">
                      <a:avLst/>
                    </a:prstGeom>
                  </pic:spPr>
                </pic:pic>
              </a:graphicData>
            </a:graphic>
          </wp:inline>
        </w:drawing>
      </w:r>
      <w:r>
        <w:rPr>
          <w:rFonts w:hint="eastAsia" w:ascii="Times New Roman" w:hAnsi="Times New Roman" w:eastAsia="宋体"/>
          <w:b/>
          <w:bCs/>
          <w:sz w:val="38"/>
          <w:szCs w:val="22"/>
          <w:lang w:eastAsia="zh-CN"/>
        </w:rPr>
        <w:drawing>
          <wp:inline distT="0" distB="0" distL="114300" distR="114300">
            <wp:extent cx="5685155" cy="8143875"/>
            <wp:effectExtent l="0" t="0" r="10795" b="9525"/>
            <wp:docPr id="5" name="图片 5" descr="1325065933408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13250659334081600"/>
                    <pic:cNvPicPr>
                      <a:picLocks noChangeAspect="1"/>
                    </pic:cNvPicPr>
                  </pic:nvPicPr>
                  <pic:blipFill>
                    <a:blip r:embed="rId12"/>
                    <a:stretch>
                      <a:fillRect/>
                    </a:stretch>
                  </pic:blipFill>
                  <pic:spPr>
                    <a:xfrm>
                      <a:off x="0" y="0"/>
                      <a:ext cx="5685155" cy="8143875"/>
                    </a:xfrm>
                    <a:prstGeom prst="rect">
                      <a:avLst/>
                    </a:prstGeom>
                  </pic:spPr>
                </pic:pic>
              </a:graphicData>
            </a:graphic>
          </wp:inline>
        </w:drawing>
      </w:r>
      <w:r>
        <w:rPr>
          <w:rFonts w:hint="eastAsia" w:ascii="Times New Roman" w:hAnsi="Times New Roman" w:eastAsia="宋体"/>
          <w:b/>
          <w:bCs/>
          <w:sz w:val="38"/>
          <w:szCs w:val="22"/>
          <w:lang w:eastAsia="zh-CN"/>
        </w:rPr>
        <w:drawing>
          <wp:inline distT="0" distB="0" distL="114300" distR="114300">
            <wp:extent cx="5746115" cy="8524240"/>
            <wp:effectExtent l="0" t="0" r="6985" b="10160"/>
            <wp:docPr id="6" name="图片 6" descr="13250659334254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13250659334254600"/>
                    <pic:cNvPicPr>
                      <a:picLocks noChangeAspect="1"/>
                    </pic:cNvPicPr>
                  </pic:nvPicPr>
                  <pic:blipFill>
                    <a:blip r:embed="rId13"/>
                    <a:stretch>
                      <a:fillRect/>
                    </a:stretch>
                  </pic:blipFill>
                  <pic:spPr>
                    <a:xfrm>
                      <a:off x="0" y="0"/>
                      <a:ext cx="5746115" cy="8524240"/>
                    </a:xfrm>
                    <a:prstGeom prst="rect">
                      <a:avLst/>
                    </a:prstGeom>
                  </pic:spPr>
                </pic:pic>
              </a:graphicData>
            </a:graphic>
          </wp:inline>
        </w:drawing>
      </w:r>
      <w:r>
        <w:rPr>
          <w:rFonts w:hint="eastAsia" w:ascii="Times New Roman" w:hAnsi="Times New Roman" w:eastAsia="宋体"/>
          <w:b/>
          <w:bCs/>
          <w:sz w:val="38"/>
          <w:szCs w:val="22"/>
          <w:lang w:eastAsia="zh-CN"/>
        </w:rPr>
        <w:drawing>
          <wp:inline distT="0" distB="0" distL="114300" distR="114300">
            <wp:extent cx="5749290" cy="7724775"/>
            <wp:effectExtent l="0" t="0" r="3810" b="9525"/>
            <wp:docPr id="7" name="图片 7" descr="13250659334253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13250659334253600"/>
                    <pic:cNvPicPr>
                      <a:picLocks noChangeAspect="1"/>
                    </pic:cNvPicPr>
                  </pic:nvPicPr>
                  <pic:blipFill>
                    <a:blip r:embed="rId14"/>
                    <a:stretch>
                      <a:fillRect/>
                    </a:stretch>
                  </pic:blipFill>
                  <pic:spPr>
                    <a:xfrm>
                      <a:off x="0" y="0"/>
                      <a:ext cx="5749290" cy="7724775"/>
                    </a:xfrm>
                    <a:prstGeom prst="rect">
                      <a:avLst/>
                    </a:prstGeom>
                  </pic:spPr>
                </pic:pic>
              </a:graphicData>
            </a:graphic>
          </wp:inline>
        </w:drawing>
      </w:r>
      <w:r>
        <w:rPr>
          <w:rFonts w:hint="eastAsia" w:ascii="Times New Roman" w:hAnsi="Times New Roman" w:eastAsia="宋体"/>
          <w:b/>
          <w:bCs/>
          <w:sz w:val="38"/>
          <w:szCs w:val="22"/>
          <w:lang w:eastAsia="zh-CN"/>
        </w:rPr>
        <w:drawing>
          <wp:inline distT="0" distB="0" distL="114300" distR="114300">
            <wp:extent cx="5751830" cy="8255000"/>
            <wp:effectExtent l="0" t="0" r="1270" b="12700"/>
            <wp:docPr id="9" name="图片 9" descr="1325065933418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13250659334181600"/>
                    <pic:cNvPicPr>
                      <a:picLocks noChangeAspect="1"/>
                    </pic:cNvPicPr>
                  </pic:nvPicPr>
                  <pic:blipFill>
                    <a:blip r:embed="rId15"/>
                    <a:stretch>
                      <a:fillRect/>
                    </a:stretch>
                  </pic:blipFill>
                  <pic:spPr>
                    <a:xfrm>
                      <a:off x="0" y="0"/>
                      <a:ext cx="5751830" cy="8255000"/>
                    </a:xfrm>
                    <a:prstGeom prst="rect">
                      <a:avLst/>
                    </a:prstGeom>
                  </pic:spPr>
                </pic:pic>
              </a:graphicData>
            </a:graphic>
          </wp:inline>
        </w:drawing>
      </w:r>
    </w:p>
    <w:p>
      <w:pPr>
        <w:pStyle w:val="4"/>
        <w:spacing w:line="240" w:lineRule="auto"/>
        <w:ind w:left="0" w:firstLine="0" w:firstLineChars="0"/>
        <w:jc w:val="center"/>
        <w:rPr>
          <w:rFonts w:hint="eastAsia" w:ascii="Times New Roman" w:hAnsi="Times New Roman"/>
          <w:b/>
          <w:bCs/>
          <w:sz w:val="38"/>
          <w:szCs w:val="22"/>
        </w:rPr>
      </w:pPr>
      <w:r>
        <w:rPr>
          <w:rFonts w:hint="eastAsia" w:ascii="Times New Roman" w:hAnsi="Times New Roman"/>
          <w:b/>
          <w:bCs/>
          <w:sz w:val="38"/>
          <w:szCs w:val="22"/>
        </w:rPr>
        <w:t>《建设项目环境影响报告表》编制说明</w:t>
      </w:r>
    </w:p>
    <w:p>
      <w:pPr>
        <w:spacing w:line="480" w:lineRule="auto"/>
        <w:rPr>
          <w:rFonts w:hint="eastAsia"/>
          <w:sz w:val="28"/>
        </w:rPr>
      </w:pPr>
    </w:p>
    <w:p>
      <w:pPr>
        <w:spacing w:line="360" w:lineRule="auto"/>
        <w:ind w:firstLine="540"/>
        <w:rPr>
          <w:rFonts w:hint="eastAsia"/>
          <w:sz w:val="28"/>
          <w:szCs w:val="22"/>
        </w:rPr>
      </w:pPr>
      <w:r>
        <w:rPr>
          <w:rFonts w:hint="eastAsia"/>
          <w:sz w:val="28"/>
          <w:szCs w:val="22"/>
        </w:rPr>
        <w:t>《建设项目环境影响报告表》由具有从事环境影响评价工作资质的单位编制。</w:t>
      </w:r>
    </w:p>
    <w:p>
      <w:pPr>
        <w:spacing w:line="360" w:lineRule="auto"/>
        <w:ind w:firstLine="540"/>
        <w:rPr>
          <w:rFonts w:hint="eastAsia"/>
          <w:sz w:val="28"/>
          <w:szCs w:val="22"/>
        </w:rPr>
      </w:pPr>
      <w:r>
        <w:rPr>
          <w:rFonts w:hint="eastAsia"/>
          <w:sz w:val="28"/>
          <w:szCs w:val="22"/>
        </w:rPr>
        <w:t>1．项目名称――指项目立项批复时的名称，应不超过30个字（两个英文字段作一个汉字）。</w:t>
      </w:r>
    </w:p>
    <w:p>
      <w:pPr>
        <w:spacing w:line="360" w:lineRule="auto"/>
        <w:ind w:firstLine="540"/>
        <w:rPr>
          <w:rFonts w:hint="eastAsia"/>
          <w:sz w:val="28"/>
          <w:szCs w:val="22"/>
        </w:rPr>
      </w:pPr>
      <w:r>
        <w:rPr>
          <w:rFonts w:hint="eastAsia"/>
          <w:sz w:val="28"/>
          <w:szCs w:val="22"/>
        </w:rPr>
        <w:t>2．建设地点――指项目所在地详细地址，公路、铁路应填写起止地点。</w:t>
      </w:r>
    </w:p>
    <w:p>
      <w:pPr>
        <w:spacing w:line="360" w:lineRule="auto"/>
        <w:ind w:firstLine="540"/>
        <w:rPr>
          <w:rFonts w:hint="eastAsia"/>
          <w:sz w:val="28"/>
          <w:szCs w:val="22"/>
        </w:rPr>
      </w:pPr>
      <w:r>
        <w:rPr>
          <w:rFonts w:hint="eastAsia"/>
          <w:sz w:val="28"/>
          <w:szCs w:val="22"/>
        </w:rPr>
        <w:t>3．行业类别――按国标填写。</w:t>
      </w:r>
    </w:p>
    <w:p>
      <w:pPr>
        <w:spacing w:line="360" w:lineRule="auto"/>
        <w:ind w:firstLine="540"/>
        <w:rPr>
          <w:rFonts w:hint="eastAsia"/>
          <w:sz w:val="28"/>
          <w:szCs w:val="22"/>
        </w:rPr>
      </w:pPr>
      <w:r>
        <w:rPr>
          <w:rFonts w:hint="eastAsia"/>
          <w:sz w:val="28"/>
          <w:szCs w:val="22"/>
        </w:rPr>
        <w:t>4．总投资――指项目投资总额。</w:t>
      </w:r>
    </w:p>
    <w:p>
      <w:pPr>
        <w:spacing w:line="360" w:lineRule="auto"/>
        <w:ind w:firstLine="540"/>
        <w:rPr>
          <w:rFonts w:hint="eastAsia"/>
          <w:sz w:val="28"/>
          <w:szCs w:val="22"/>
        </w:rPr>
      </w:pPr>
      <w:r>
        <w:rPr>
          <w:rFonts w:hint="eastAsia"/>
          <w:sz w:val="28"/>
          <w:szCs w:val="22"/>
        </w:rPr>
        <w:t>5．主要环境保护目标――指项目区周围一定范围内集中居民住宅区、学校、医院、保护文物、风景名胜区、水源地和生态敏感点等，应尽可能给出保护目标、性质、规模和距厂界距离等。</w:t>
      </w:r>
    </w:p>
    <w:p>
      <w:pPr>
        <w:spacing w:line="360" w:lineRule="auto"/>
        <w:ind w:firstLine="540"/>
        <w:rPr>
          <w:rFonts w:hint="eastAsia"/>
          <w:sz w:val="28"/>
          <w:szCs w:val="22"/>
        </w:rPr>
      </w:pPr>
      <w:r>
        <w:rPr>
          <w:rFonts w:hint="eastAsia"/>
          <w:sz w:val="28"/>
          <w:szCs w:val="22"/>
        </w:rPr>
        <w:t>6．结论与建议――给出本项目清洁生产、达标排放和总量控制的分析结论，确定污染防治措施的有效性，说明本项目对环境造成的影响，给出建设项目环境可行性的明确结论。同时提出减少环境影响的其他建议。</w:t>
      </w:r>
    </w:p>
    <w:p>
      <w:pPr>
        <w:spacing w:line="360" w:lineRule="auto"/>
        <w:ind w:firstLine="540"/>
        <w:rPr>
          <w:rFonts w:hint="eastAsia"/>
          <w:sz w:val="28"/>
          <w:szCs w:val="22"/>
        </w:rPr>
      </w:pPr>
      <w:r>
        <w:rPr>
          <w:rFonts w:hint="eastAsia"/>
          <w:sz w:val="28"/>
          <w:szCs w:val="22"/>
        </w:rPr>
        <w:t>7．预审意见――由行业主管部门填写答复意见，无主管部门项目，可不填。</w:t>
      </w:r>
    </w:p>
    <w:p>
      <w:pPr>
        <w:spacing w:line="360" w:lineRule="auto"/>
        <w:ind w:firstLine="540"/>
      </w:pPr>
      <w:r>
        <w:rPr>
          <w:rFonts w:hint="eastAsia"/>
          <w:sz w:val="28"/>
          <w:szCs w:val="22"/>
        </w:rPr>
        <w:t>8．审批意见――由负责审批该项目的环境保护行政主管部门批复。</w:t>
      </w:r>
    </w:p>
    <w:p>
      <w:pPr>
        <w:rPr>
          <w:rFonts w:eastAsia="黑体"/>
          <w:b/>
          <w:sz w:val="30"/>
        </w:rPr>
        <w:sectPr>
          <w:headerReference r:id="rId3" w:type="default"/>
          <w:footerReference r:id="rId5" w:type="default"/>
          <w:headerReference r:id="rId4" w:type="even"/>
          <w:footerReference r:id="rId6" w:type="even"/>
          <w:pgSz w:w="11906" w:h="16838"/>
          <w:pgMar w:top="1440" w:right="1418" w:bottom="1440" w:left="1418" w:header="851" w:footer="992" w:gutter="0"/>
          <w:pgBorders>
            <w:top w:val="none" w:sz="0" w:space="0"/>
            <w:left w:val="none" w:sz="0" w:space="0"/>
            <w:bottom w:val="none" w:sz="0" w:space="0"/>
            <w:right w:val="none" w:sz="0" w:space="0"/>
          </w:pgBorders>
          <w:pgNumType w:start="1"/>
          <w:cols w:space="425" w:num="1"/>
          <w:docGrid w:type="lines" w:linePitch="312" w:charSpace="0"/>
        </w:sectPr>
      </w:pPr>
    </w:p>
    <w:p>
      <w:pPr>
        <w:rPr>
          <w:rFonts w:eastAsia="黑体"/>
          <w:b/>
          <w:sz w:val="30"/>
        </w:rPr>
      </w:pPr>
      <w:r>
        <w:rPr>
          <w:rFonts w:eastAsia="黑体"/>
          <w:b/>
          <w:sz w:val="30"/>
        </w:rPr>
        <w:t>建设项目基本情况</w:t>
      </w:r>
    </w:p>
    <w:tbl>
      <w:tblPr>
        <w:tblStyle w:val="23"/>
        <w:tblW w:w="9286"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473"/>
        <w:gridCol w:w="1260"/>
        <w:gridCol w:w="840"/>
        <w:gridCol w:w="945"/>
        <w:gridCol w:w="1575"/>
        <w:gridCol w:w="315"/>
        <w:gridCol w:w="1333"/>
        <w:gridCol w:w="32"/>
        <w:gridCol w:w="151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473" w:type="dxa"/>
          </w:tcPr>
          <w:p>
            <w:pPr>
              <w:spacing w:line="360" w:lineRule="auto"/>
              <w:jc w:val="center"/>
              <w:rPr>
                <w:rFonts w:ascii="Times New Roman" w:hAnsi="Times New Roman" w:eastAsia="宋体"/>
                <w:sz w:val="24"/>
              </w:rPr>
            </w:pPr>
            <w:r>
              <w:rPr>
                <w:rFonts w:ascii="Times New Roman" w:hAnsi="Times New Roman" w:eastAsia="宋体"/>
                <w:sz w:val="24"/>
              </w:rPr>
              <w:t>项目名称</w:t>
            </w:r>
          </w:p>
        </w:tc>
        <w:tc>
          <w:tcPr>
            <w:tcW w:w="7813" w:type="dxa"/>
            <w:gridSpan w:val="8"/>
          </w:tcPr>
          <w:p>
            <w:pPr>
              <w:spacing w:line="360" w:lineRule="auto"/>
              <w:jc w:val="center"/>
              <w:rPr>
                <w:rFonts w:hint="eastAsia" w:ascii="Times New Roman" w:hAnsi="Times New Roman" w:eastAsia="宋体"/>
                <w:sz w:val="24"/>
                <w:lang w:eastAsia="zh-CN"/>
              </w:rPr>
            </w:pPr>
            <w:r>
              <w:rPr>
                <w:rFonts w:hint="eastAsia" w:ascii="Times New Roman" w:hAnsi="Times New Roman" w:eastAsia="宋体"/>
                <w:bCs/>
                <w:sz w:val="24"/>
                <w:lang w:eastAsia="zh-CN"/>
              </w:rPr>
              <w:t>平顶山五环实业有限公司</w:t>
            </w:r>
            <w:r>
              <w:rPr>
                <w:rFonts w:hint="eastAsia"/>
                <w:bCs/>
                <w:sz w:val="24"/>
                <w:lang w:eastAsia="zh-CN"/>
              </w:rPr>
              <w:t>年产30000件钻探机具及配件项目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473" w:type="dxa"/>
          </w:tcPr>
          <w:p>
            <w:pPr>
              <w:spacing w:line="360" w:lineRule="auto"/>
              <w:jc w:val="center"/>
              <w:rPr>
                <w:rFonts w:ascii="Times New Roman" w:hAnsi="Times New Roman" w:eastAsia="宋体"/>
                <w:sz w:val="24"/>
              </w:rPr>
            </w:pPr>
            <w:r>
              <w:rPr>
                <w:rFonts w:ascii="Times New Roman" w:hAnsi="Times New Roman" w:eastAsia="宋体"/>
                <w:sz w:val="24"/>
              </w:rPr>
              <w:t>建设单位</w:t>
            </w:r>
          </w:p>
        </w:tc>
        <w:tc>
          <w:tcPr>
            <w:tcW w:w="7813" w:type="dxa"/>
            <w:gridSpan w:val="8"/>
          </w:tcPr>
          <w:p>
            <w:pPr>
              <w:spacing w:line="360" w:lineRule="auto"/>
              <w:jc w:val="center"/>
              <w:rPr>
                <w:rFonts w:hint="eastAsia" w:ascii="Times New Roman" w:hAnsi="Times New Roman" w:eastAsia="宋体"/>
                <w:sz w:val="24"/>
                <w:lang w:eastAsia="zh-CN"/>
              </w:rPr>
            </w:pPr>
            <w:r>
              <w:rPr>
                <w:rFonts w:hint="eastAsia" w:ascii="Times New Roman" w:hAnsi="Times New Roman" w:eastAsia="宋体"/>
                <w:bCs/>
                <w:sz w:val="24"/>
                <w:lang w:eastAsia="zh-CN"/>
              </w:rPr>
              <w:t>平顶山五环实业有限公司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473" w:type="dxa"/>
          </w:tcPr>
          <w:p>
            <w:pPr>
              <w:spacing w:line="360" w:lineRule="auto"/>
              <w:jc w:val="center"/>
              <w:rPr>
                <w:rFonts w:ascii="Times New Roman" w:hAnsi="Times New Roman" w:eastAsia="宋体"/>
                <w:sz w:val="24"/>
              </w:rPr>
            </w:pPr>
            <w:r>
              <w:rPr>
                <w:rFonts w:ascii="Times New Roman" w:hAnsi="Times New Roman" w:eastAsia="宋体"/>
                <w:sz w:val="24"/>
              </w:rPr>
              <w:t>法人代表</w:t>
            </w:r>
          </w:p>
        </w:tc>
        <w:tc>
          <w:tcPr>
            <w:tcW w:w="3045" w:type="dxa"/>
            <w:gridSpan w:val="3"/>
            <w:vAlign w:val="center"/>
          </w:tcPr>
          <w:p>
            <w:pPr>
              <w:spacing w:line="360" w:lineRule="auto"/>
              <w:jc w:val="center"/>
              <w:rPr>
                <w:rFonts w:hint="eastAsia" w:ascii="Times New Roman" w:hAnsi="Times New Roman" w:eastAsia="宋体"/>
                <w:color w:val="7030A0"/>
                <w:sz w:val="24"/>
                <w:lang w:eastAsia="zh-CN"/>
              </w:rPr>
            </w:pPr>
            <w:r>
              <w:rPr>
                <w:rFonts w:hint="eastAsia" w:ascii="Times New Roman" w:hAnsi="Times New Roman" w:eastAsia="宋体"/>
                <w:sz w:val="24"/>
                <w:lang w:eastAsia="zh-CN"/>
              </w:rPr>
              <w:t>高菊平</w:t>
            </w:r>
          </w:p>
        </w:tc>
        <w:tc>
          <w:tcPr>
            <w:tcW w:w="1890" w:type="dxa"/>
            <w:gridSpan w:val="2"/>
          </w:tcPr>
          <w:p>
            <w:pPr>
              <w:spacing w:line="360" w:lineRule="auto"/>
              <w:jc w:val="center"/>
              <w:rPr>
                <w:rFonts w:ascii="Times New Roman" w:hAnsi="Times New Roman" w:eastAsia="宋体"/>
                <w:sz w:val="24"/>
              </w:rPr>
            </w:pPr>
            <w:r>
              <w:rPr>
                <w:rFonts w:ascii="Times New Roman" w:hAnsi="Times New Roman" w:eastAsia="宋体"/>
                <w:sz w:val="24"/>
              </w:rPr>
              <w:t>联系人</w:t>
            </w:r>
          </w:p>
        </w:tc>
        <w:tc>
          <w:tcPr>
            <w:tcW w:w="2878" w:type="dxa"/>
            <w:gridSpan w:val="3"/>
            <w:vAlign w:val="center"/>
          </w:tcPr>
          <w:p>
            <w:pPr>
              <w:spacing w:line="360" w:lineRule="auto"/>
              <w:jc w:val="center"/>
              <w:rPr>
                <w:rFonts w:hint="eastAsia" w:ascii="Times New Roman" w:hAnsi="Times New Roman" w:eastAsia="宋体"/>
                <w:sz w:val="24"/>
                <w:lang w:eastAsia="zh-CN"/>
              </w:rPr>
            </w:pPr>
            <w:r>
              <w:rPr>
                <w:rFonts w:hint="eastAsia" w:ascii="Times New Roman" w:hAnsi="Times New Roman" w:eastAsia="宋体"/>
                <w:sz w:val="24"/>
                <w:lang w:val="en-US" w:eastAsia="zh-CN"/>
              </w:rPr>
              <w:t>刘博</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473" w:type="dxa"/>
          </w:tcPr>
          <w:p>
            <w:pPr>
              <w:spacing w:line="360" w:lineRule="auto"/>
              <w:jc w:val="center"/>
              <w:rPr>
                <w:rFonts w:ascii="Times New Roman" w:hAnsi="Times New Roman" w:eastAsia="宋体"/>
                <w:sz w:val="24"/>
              </w:rPr>
            </w:pPr>
            <w:r>
              <w:rPr>
                <w:rFonts w:ascii="Times New Roman" w:hAnsi="Times New Roman" w:eastAsia="宋体"/>
                <w:sz w:val="24"/>
              </w:rPr>
              <w:t>通讯地址</w:t>
            </w:r>
          </w:p>
        </w:tc>
        <w:tc>
          <w:tcPr>
            <w:tcW w:w="7813" w:type="dxa"/>
            <w:gridSpan w:val="8"/>
          </w:tcPr>
          <w:p>
            <w:pPr>
              <w:spacing w:line="360" w:lineRule="auto"/>
              <w:jc w:val="center"/>
              <w:rPr>
                <w:rFonts w:hint="eastAsia" w:ascii="Times New Roman" w:hAnsi="Times New Roman" w:eastAsia="宋体"/>
                <w:sz w:val="24"/>
                <w:lang w:val="en-US" w:eastAsia="zh-CN"/>
              </w:rPr>
            </w:pPr>
            <w:r>
              <w:rPr>
                <w:rFonts w:hint="eastAsia" w:ascii="Times New Roman" w:hAnsi="Times New Roman" w:eastAsia="宋体"/>
                <w:sz w:val="24"/>
                <w:lang w:eastAsia="zh-CN"/>
              </w:rPr>
              <w:t>平顶山市卫东区矿工路59号院</w:t>
            </w:r>
            <w:r>
              <w:rPr>
                <w:rFonts w:hint="eastAsia"/>
                <w:sz w:val="24"/>
                <w:lang w:eastAsia="zh-CN"/>
              </w:rPr>
              <w:t>（东经：</w:t>
            </w:r>
            <w:r>
              <w:rPr>
                <w:rFonts w:hint="eastAsia"/>
                <w:sz w:val="24"/>
                <w:lang w:val="en-US" w:eastAsia="zh-CN"/>
              </w:rPr>
              <w:t>113.205923；北纬：33.444331</w:t>
            </w:r>
            <w:r>
              <w:rPr>
                <w:rFonts w:hint="eastAsia"/>
                <w:sz w:val="24"/>
                <w:lang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473" w:type="dxa"/>
          </w:tcPr>
          <w:p>
            <w:pPr>
              <w:spacing w:line="360" w:lineRule="auto"/>
              <w:jc w:val="center"/>
              <w:rPr>
                <w:rFonts w:ascii="Times New Roman" w:hAnsi="Times New Roman" w:eastAsia="宋体"/>
                <w:sz w:val="24"/>
              </w:rPr>
            </w:pPr>
            <w:r>
              <w:rPr>
                <w:rFonts w:ascii="Times New Roman" w:hAnsi="Times New Roman" w:eastAsia="宋体"/>
                <w:sz w:val="24"/>
              </w:rPr>
              <w:t>联系电话</w:t>
            </w:r>
          </w:p>
        </w:tc>
        <w:tc>
          <w:tcPr>
            <w:tcW w:w="2100" w:type="dxa"/>
            <w:gridSpan w:val="2"/>
          </w:tcPr>
          <w:p>
            <w:pPr>
              <w:spacing w:line="360" w:lineRule="auto"/>
              <w:jc w:val="center"/>
              <w:rPr>
                <w:rFonts w:hint="default" w:ascii="Times New Roman" w:hAnsi="Times New Roman" w:eastAsia="宋体"/>
                <w:sz w:val="24"/>
                <w:lang w:val="en-US" w:eastAsia="zh-CN"/>
              </w:rPr>
            </w:pPr>
            <w:r>
              <w:rPr>
                <w:rFonts w:hint="eastAsia" w:ascii="Times New Roman" w:hAnsi="Times New Roman" w:eastAsia="宋体"/>
                <w:sz w:val="24"/>
                <w:lang w:val="en-US" w:eastAsia="zh-CN"/>
              </w:rPr>
              <w:t>13733925957</w:t>
            </w:r>
          </w:p>
        </w:tc>
        <w:tc>
          <w:tcPr>
            <w:tcW w:w="945" w:type="dxa"/>
          </w:tcPr>
          <w:p>
            <w:pPr>
              <w:spacing w:line="360" w:lineRule="auto"/>
              <w:jc w:val="center"/>
              <w:rPr>
                <w:rFonts w:ascii="Times New Roman" w:hAnsi="Times New Roman" w:eastAsia="宋体"/>
                <w:sz w:val="24"/>
              </w:rPr>
            </w:pPr>
            <w:r>
              <w:rPr>
                <w:rFonts w:ascii="Times New Roman" w:hAnsi="Times New Roman" w:eastAsia="宋体"/>
                <w:sz w:val="24"/>
              </w:rPr>
              <w:t>传真</w:t>
            </w:r>
          </w:p>
        </w:tc>
        <w:tc>
          <w:tcPr>
            <w:tcW w:w="1890" w:type="dxa"/>
            <w:gridSpan w:val="2"/>
          </w:tcPr>
          <w:p>
            <w:pPr>
              <w:spacing w:line="360" w:lineRule="auto"/>
              <w:jc w:val="center"/>
              <w:rPr>
                <w:rFonts w:ascii="Times New Roman" w:hAnsi="Times New Roman" w:eastAsia="宋体"/>
                <w:sz w:val="24"/>
              </w:rPr>
            </w:pPr>
            <w:r>
              <w:rPr>
                <w:rFonts w:hint="eastAsia" w:ascii="Times New Roman" w:hAnsi="Times New Roman" w:eastAsia="宋体"/>
                <w:sz w:val="24"/>
              </w:rPr>
              <w:t>--</w:t>
            </w:r>
          </w:p>
        </w:tc>
        <w:tc>
          <w:tcPr>
            <w:tcW w:w="1365" w:type="dxa"/>
            <w:gridSpan w:val="2"/>
          </w:tcPr>
          <w:p>
            <w:pPr>
              <w:spacing w:line="360" w:lineRule="auto"/>
              <w:rPr>
                <w:rFonts w:ascii="Times New Roman" w:hAnsi="Times New Roman" w:eastAsia="宋体"/>
                <w:sz w:val="24"/>
              </w:rPr>
            </w:pPr>
            <w:r>
              <w:rPr>
                <w:rFonts w:ascii="Times New Roman" w:hAnsi="Times New Roman" w:eastAsia="宋体"/>
                <w:sz w:val="24"/>
              </w:rPr>
              <w:t>邮政编码</w:t>
            </w:r>
          </w:p>
        </w:tc>
        <w:tc>
          <w:tcPr>
            <w:tcW w:w="1513" w:type="dxa"/>
            <w:vAlign w:val="center"/>
          </w:tcPr>
          <w:p>
            <w:pPr>
              <w:spacing w:line="360" w:lineRule="auto"/>
              <w:jc w:val="center"/>
              <w:rPr>
                <w:rFonts w:ascii="Times New Roman" w:hAnsi="Times New Roman" w:eastAsia="宋体"/>
                <w:sz w:val="24"/>
              </w:rPr>
            </w:pPr>
            <w:r>
              <w:rPr>
                <w:rFonts w:ascii="Times New Roman" w:hAnsi="Times New Roman" w:eastAsia="宋体"/>
                <w:sz w:val="24"/>
              </w:rPr>
              <w:t>46</w:t>
            </w:r>
            <w:r>
              <w:rPr>
                <w:rFonts w:hint="eastAsia" w:ascii="Times New Roman" w:hAnsi="Times New Roman" w:eastAsia="宋体"/>
                <w:sz w:val="24"/>
              </w:rPr>
              <w:t>70</w:t>
            </w:r>
            <w:r>
              <w:rPr>
                <w:rFonts w:ascii="Times New Roman" w:hAnsi="Times New Roman" w:eastAsia="宋体"/>
                <w:sz w:val="24"/>
              </w:rPr>
              <w:t>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473" w:type="dxa"/>
          </w:tcPr>
          <w:p>
            <w:pPr>
              <w:spacing w:line="360" w:lineRule="auto"/>
              <w:jc w:val="center"/>
              <w:rPr>
                <w:rFonts w:ascii="Times New Roman" w:hAnsi="Times New Roman" w:eastAsia="宋体"/>
                <w:sz w:val="24"/>
              </w:rPr>
            </w:pPr>
            <w:r>
              <w:rPr>
                <w:rFonts w:ascii="Times New Roman" w:hAnsi="Times New Roman" w:eastAsia="宋体"/>
                <w:sz w:val="24"/>
              </w:rPr>
              <w:t>建设地点</w:t>
            </w:r>
          </w:p>
        </w:tc>
        <w:tc>
          <w:tcPr>
            <w:tcW w:w="7813" w:type="dxa"/>
            <w:gridSpan w:val="8"/>
          </w:tcPr>
          <w:p>
            <w:pPr>
              <w:spacing w:line="360" w:lineRule="auto"/>
              <w:jc w:val="center"/>
              <w:rPr>
                <w:rFonts w:ascii="Times New Roman" w:hAnsi="Times New Roman" w:eastAsia="宋体"/>
                <w:color w:val="7030A0"/>
                <w:sz w:val="24"/>
              </w:rPr>
            </w:pPr>
            <w:r>
              <w:rPr>
                <w:rFonts w:hint="eastAsia" w:ascii="Times New Roman" w:hAnsi="Times New Roman" w:eastAsia="宋体"/>
                <w:sz w:val="24"/>
                <w:lang w:eastAsia="zh-CN"/>
              </w:rPr>
              <w:t>平顶山市卫东区矿工路59号院</w:t>
            </w:r>
            <w:r>
              <w:rPr>
                <w:rFonts w:hint="eastAsia"/>
                <w:sz w:val="24"/>
                <w:lang w:eastAsia="zh-CN"/>
              </w:rPr>
              <w:t>（东经：</w:t>
            </w:r>
            <w:r>
              <w:rPr>
                <w:rFonts w:hint="eastAsia"/>
                <w:sz w:val="24"/>
                <w:lang w:val="en-US" w:eastAsia="zh-CN"/>
              </w:rPr>
              <w:t>113.205923；北纬：33.444331</w:t>
            </w:r>
            <w:r>
              <w:rPr>
                <w:rFonts w:hint="eastAsia"/>
                <w:sz w:val="24"/>
                <w:lang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473" w:type="dxa"/>
          </w:tcPr>
          <w:p>
            <w:pPr>
              <w:jc w:val="center"/>
              <w:rPr>
                <w:rFonts w:ascii="Times New Roman" w:hAnsi="Times New Roman" w:eastAsia="宋体"/>
                <w:sz w:val="24"/>
              </w:rPr>
            </w:pPr>
            <w:r>
              <w:rPr>
                <w:rFonts w:ascii="Times New Roman" w:hAnsi="Times New Roman" w:eastAsia="宋体"/>
                <w:sz w:val="24"/>
              </w:rPr>
              <w:t>立项审批</w:t>
            </w:r>
          </w:p>
          <w:p>
            <w:pPr>
              <w:jc w:val="center"/>
              <w:rPr>
                <w:rFonts w:ascii="Times New Roman" w:hAnsi="Times New Roman" w:eastAsia="宋体"/>
                <w:sz w:val="24"/>
              </w:rPr>
            </w:pPr>
            <w:r>
              <w:rPr>
                <w:rFonts w:ascii="Times New Roman" w:hAnsi="Times New Roman" w:eastAsia="宋体"/>
                <w:sz w:val="24"/>
              </w:rPr>
              <w:t>部门</w:t>
            </w:r>
          </w:p>
        </w:tc>
        <w:tc>
          <w:tcPr>
            <w:tcW w:w="3045" w:type="dxa"/>
            <w:gridSpan w:val="3"/>
            <w:vAlign w:val="center"/>
          </w:tcPr>
          <w:p>
            <w:pPr>
              <w:jc w:val="center"/>
              <w:rPr>
                <w:rFonts w:ascii="Times New Roman" w:hAnsi="Times New Roman" w:eastAsia="宋体"/>
                <w:sz w:val="24"/>
              </w:rPr>
            </w:pPr>
            <w:r>
              <w:rPr>
                <w:rFonts w:hint="eastAsia" w:ascii="Times New Roman" w:hAnsi="Times New Roman" w:eastAsia="宋体"/>
                <w:sz w:val="24"/>
              </w:rPr>
              <w:t>平顶山市卫东区发展和改革</w:t>
            </w:r>
            <w:r>
              <w:rPr>
                <w:rFonts w:ascii="Times New Roman" w:hAnsi="Times New Roman" w:eastAsia="宋体"/>
                <w:sz w:val="24"/>
              </w:rPr>
              <w:t>委员会</w:t>
            </w:r>
          </w:p>
        </w:tc>
        <w:tc>
          <w:tcPr>
            <w:tcW w:w="1575" w:type="dxa"/>
            <w:vAlign w:val="center"/>
          </w:tcPr>
          <w:p>
            <w:pPr>
              <w:spacing w:line="360" w:lineRule="auto"/>
              <w:jc w:val="center"/>
              <w:rPr>
                <w:rFonts w:ascii="Times New Roman" w:hAnsi="Times New Roman" w:eastAsia="宋体"/>
                <w:sz w:val="24"/>
              </w:rPr>
            </w:pPr>
            <w:r>
              <w:rPr>
                <w:rFonts w:hint="eastAsia" w:ascii="Times New Roman" w:hAnsi="Times New Roman" w:eastAsia="宋体"/>
                <w:sz w:val="24"/>
              </w:rPr>
              <w:t>项目代码</w:t>
            </w:r>
          </w:p>
        </w:tc>
        <w:tc>
          <w:tcPr>
            <w:tcW w:w="3193" w:type="dxa"/>
            <w:gridSpan w:val="4"/>
            <w:vAlign w:val="center"/>
          </w:tcPr>
          <w:p>
            <w:pPr>
              <w:spacing w:line="360" w:lineRule="auto"/>
              <w:jc w:val="center"/>
              <w:rPr>
                <w:rFonts w:hint="default" w:ascii="Times New Roman" w:hAnsi="Times New Roman" w:eastAsia="宋体"/>
                <w:sz w:val="24"/>
                <w:lang w:val="en-US" w:eastAsia="zh-CN"/>
              </w:rPr>
            </w:pPr>
            <w:r>
              <w:rPr>
                <w:rFonts w:hint="eastAsia" w:ascii="Times New Roman" w:hAnsi="Times New Roman" w:eastAsia="宋体"/>
                <w:sz w:val="24"/>
              </w:rPr>
              <w:t>20</w:t>
            </w:r>
            <w:r>
              <w:rPr>
                <w:rFonts w:hint="eastAsia" w:ascii="Times New Roman" w:hAnsi="Times New Roman" w:eastAsia="宋体"/>
                <w:sz w:val="24"/>
                <w:lang w:val="en-US" w:eastAsia="zh-CN"/>
              </w:rPr>
              <w:t>20</w:t>
            </w:r>
            <w:r>
              <w:rPr>
                <w:rFonts w:hint="eastAsia" w:ascii="Times New Roman" w:hAnsi="Times New Roman" w:eastAsia="宋体"/>
                <w:sz w:val="24"/>
              </w:rPr>
              <w:t>-410403-35-03-0</w:t>
            </w:r>
            <w:r>
              <w:rPr>
                <w:rFonts w:hint="eastAsia" w:ascii="Times New Roman" w:hAnsi="Times New Roman" w:eastAsia="宋体"/>
                <w:sz w:val="24"/>
                <w:lang w:val="en-US" w:eastAsia="zh-CN"/>
              </w:rPr>
              <w:t>71423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37" w:hRule="atLeast"/>
        </w:trPr>
        <w:tc>
          <w:tcPr>
            <w:tcW w:w="1473" w:type="dxa"/>
            <w:vAlign w:val="center"/>
          </w:tcPr>
          <w:p>
            <w:pPr>
              <w:spacing w:line="360" w:lineRule="auto"/>
              <w:jc w:val="center"/>
              <w:rPr>
                <w:rFonts w:ascii="Times New Roman" w:hAnsi="Times New Roman" w:eastAsia="宋体"/>
                <w:sz w:val="24"/>
              </w:rPr>
            </w:pPr>
            <w:r>
              <w:rPr>
                <w:rFonts w:ascii="Times New Roman" w:hAnsi="Times New Roman" w:eastAsia="宋体"/>
                <w:sz w:val="24"/>
              </w:rPr>
              <w:t>建设性质</w:t>
            </w:r>
          </w:p>
        </w:tc>
        <w:tc>
          <w:tcPr>
            <w:tcW w:w="3045" w:type="dxa"/>
            <w:gridSpan w:val="3"/>
            <w:vAlign w:val="center"/>
          </w:tcPr>
          <w:p>
            <w:pPr>
              <w:spacing w:line="360" w:lineRule="auto"/>
              <w:rPr>
                <w:rFonts w:ascii="Times New Roman" w:hAnsi="Times New Roman" w:eastAsia="宋体"/>
                <w:sz w:val="24"/>
              </w:rPr>
            </w:pPr>
            <w:r>
              <w:rPr>
                <w:rFonts w:ascii="Times New Roman" w:hAnsi="Times New Roman" w:eastAsia="宋体"/>
                <w:sz w:val="24"/>
              </w:rPr>
              <w:t>新建</w:t>
            </w:r>
            <w:r>
              <w:rPr>
                <w:rFonts w:ascii="Times New Roman" w:hAnsi="Times New Roman" w:eastAsia="宋体"/>
                <w:color w:val="000000"/>
              </w:rPr>
              <w:sym w:font="Wingdings 2" w:char="0052"/>
            </w:r>
            <w:r>
              <w:rPr>
                <w:rFonts w:ascii="Times New Roman" w:hAnsi="Times New Roman" w:eastAsia="宋体"/>
                <w:sz w:val="24"/>
              </w:rPr>
              <w:t>改扩建□技改□</w:t>
            </w:r>
          </w:p>
        </w:tc>
        <w:tc>
          <w:tcPr>
            <w:tcW w:w="1575" w:type="dxa"/>
          </w:tcPr>
          <w:p>
            <w:pPr>
              <w:jc w:val="center"/>
              <w:rPr>
                <w:rFonts w:ascii="Times New Roman" w:hAnsi="Times New Roman" w:eastAsia="宋体"/>
                <w:sz w:val="24"/>
              </w:rPr>
            </w:pPr>
            <w:r>
              <w:rPr>
                <w:rFonts w:ascii="Times New Roman" w:hAnsi="Times New Roman" w:eastAsia="宋体"/>
                <w:sz w:val="24"/>
              </w:rPr>
              <w:t>行业类别</w:t>
            </w:r>
          </w:p>
          <w:p>
            <w:pPr>
              <w:jc w:val="center"/>
              <w:rPr>
                <w:rFonts w:ascii="Times New Roman" w:hAnsi="Times New Roman" w:eastAsia="宋体"/>
                <w:sz w:val="24"/>
              </w:rPr>
            </w:pPr>
            <w:r>
              <w:rPr>
                <w:rFonts w:ascii="Times New Roman" w:hAnsi="Times New Roman" w:eastAsia="宋体"/>
                <w:sz w:val="24"/>
              </w:rPr>
              <w:t>及代码</w:t>
            </w:r>
          </w:p>
        </w:tc>
        <w:tc>
          <w:tcPr>
            <w:tcW w:w="3193" w:type="dxa"/>
            <w:gridSpan w:val="4"/>
            <w:vAlign w:val="center"/>
          </w:tcPr>
          <w:p>
            <w:pPr>
              <w:jc w:val="center"/>
              <w:rPr>
                <w:rFonts w:ascii="Times New Roman" w:hAnsi="Times New Roman" w:eastAsia="宋体"/>
                <w:sz w:val="24"/>
              </w:rPr>
            </w:pPr>
            <w:r>
              <w:rPr>
                <w:rFonts w:ascii="Times New Roman" w:hAnsi="Times New Roman" w:eastAsia="宋体" w:cs="Times New Roman"/>
                <w:sz w:val="24"/>
              </w:rPr>
              <w:t>C</w:t>
            </w:r>
            <w:r>
              <w:rPr>
                <w:rFonts w:hint="eastAsia" w:ascii="Times New Roman" w:hAnsi="Times New Roman" w:eastAsia="宋体" w:cs="Times New Roman"/>
                <w:sz w:val="24"/>
              </w:rPr>
              <w:t>351</w:t>
            </w:r>
            <w:r>
              <w:rPr>
                <w:rFonts w:hint="eastAsia" w:cs="Times New Roman"/>
                <w:sz w:val="24"/>
                <w:lang w:val="en-US" w:eastAsia="zh-CN"/>
              </w:rPr>
              <w:t>1矿山机械制造</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473" w:type="dxa"/>
            <w:vAlign w:val="center"/>
          </w:tcPr>
          <w:p>
            <w:pPr>
              <w:jc w:val="center"/>
              <w:rPr>
                <w:rFonts w:ascii="Times New Roman" w:hAnsi="Times New Roman" w:eastAsia="宋体"/>
                <w:sz w:val="24"/>
              </w:rPr>
            </w:pPr>
            <w:r>
              <w:rPr>
                <w:rFonts w:ascii="Times New Roman" w:hAnsi="Times New Roman" w:eastAsia="宋体"/>
                <w:sz w:val="24"/>
              </w:rPr>
              <w:t>占地面积</w:t>
            </w:r>
          </w:p>
          <w:p>
            <w:pPr>
              <w:jc w:val="center"/>
              <w:rPr>
                <w:rFonts w:ascii="Times New Roman" w:hAnsi="Times New Roman" w:eastAsia="宋体"/>
                <w:sz w:val="24"/>
              </w:rPr>
            </w:pPr>
            <w:r>
              <w:rPr>
                <w:rFonts w:ascii="Times New Roman" w:hAnsi="Times New Roman" w:eastAsia="宋体"/>
                <w:sz w:val="24"/>
              </w:rPr>
              <w:t>(平方米)</w:t>
            </w:r>
          </w:p>
        </w:tc>
        <w:tc>
          <w:tcPr>
            <w:tcW w:w="3045" w:type="dxa"/>
            <w:gridSpan w:val="3"/>
            <w:vAlign w:val="center"/>
          </w:tcPr>
          <w:p>
            <w:pPr>
              <w:spacing w:line="360" w:lineRule="auto"/>
              <w:jc w:val="center"/>
              <w:rPr>
                <w:rFonts w:hint="default" w:ascii="Times New Roman" w:hAnsi="Times New Roman" w:eastAsia="宋体"/>
                <w:sz w:val="24"/>
                <w:lang w:val="en-US" w:eastAsia="zh-CN"/>
              </w:rPr>
            </w:pPr>
            <w:r>
              <w:rPr>
                <w:rFonts w:hint="eastAsia"/>
                <w:bCs/>
                <w:color w:val="000000" w:themeColor="text1"/>
                <w:sz w:val="24"/>
                <w:lang w:val="en-US" w:eastAsia="zh-CN"/>
              </w:rPr>
              <w:t>2400</w:t>
            </w:r>
          </w:p>
        </w:tc>
        <w:tc>
          <w:tcPr>
            <w:tcW w:w="1575" w:type="dxa"/>
          </w:tcPr>
          <w:p>
            <w:pPr>
              <w:jc w:val="center"/>
              <w:rPr>
                <w:rFonts w:ascii="Times New Roman" w:hAnsi="Times New Roman" w:eastAsia="宋体"/>
                <w:sz w:val="24"/>
              </w:rPr>
            </w:pPr>
            <w:r>
              <w:rPr>
                <w:rFonts w:ascii="Times New Roman" w:hAnsi="Times New Roman" w:eastAsia="宋体"/>
                <w:sz w:val="24"/>
              </w:rPr>
              <w:t>绿化面积</w:t>
            </w:r>
          </w:p>
          <w:p>
            <w:pPr>
              <w:jc w:val="center"/>
              <w:rPr>
                <w:rFonts w:ascii="Times New Roman" w:hAnsi="Times New Roman" w:eastAsia="宋体"/>
                <w:sz w:val="24"/>
              </w:rPr>
            </w:pPr>
            <w:r>
              <w:rPr>
                <w:rFonts w:hint="eastAsia" w:ascii="Times New Roman" w:hAnsi="Times New Roman" w:eastAsia="宋体"/>
                <w:sz w:val="24"/>
              </w:rPr>
              <w:t>（</w:t>
            </w:r>
            <w:r>
              <w:rPr>
                <w:rFonts w:ascii="Times New Roman" w:hAnsi="Times New Roman" w:eastAsia="宋体"/>
                <w:sz w:val="24"/>
              </w:rPr>
              <w:t>平方米</w:t>
            </w:r>
            <w:r>
              <w:rPr>
                <w:rFonts w:hint="eastAsia" w:ascii="Times New Roman" w:hAnsi="Times New Roman" w:eastAsia="宋体"/>
                <w:sz w:val="24"/>
              </w:rPr>
              <w:t>）</w:t>
            </w:r>
          </w:p>
        </w:tc>
        <w:tc>
          <w:tcPr>
            <w:tcW w:w="3193" w:type="dxa"/>
            <w:gridSpan w:val="4"/>
            <w:vAlign w:val="center"/>
          </w:tcPr>
          <w:p>
            <w:pPr>
              <w:spacing w:line="360" w:lineRule="auto"/>
              <w:jc w:val="center"/>
              <w:rPr>
                <w:rFonts w:hint="default" w:ascii="Times New Roman" w:hAnsi="Times New Roman" w:eastAsia="宋体"/>
                <w:sz w:val="24"/>
                <w:lang w:val="en-US" w:eastAsia="zh-CN"/>
              </w:rPr>
            </w:pPr>
            <w:r>
              <w:rPr>
                <w:rFonts w:hint="eastAsia"/>
                <w:sz w:val="24"/>
                <w:lang w:val="en-US" w:eastAsia="zh-CN"/>
              </w:rPr>
              <w:t>150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473" w:type="dxa"/>
            <w:vAlign w:val="center"/>
          </w:tcPr>
          <w:p>
            <w:pPr>
              <w:jc w:val="center"/>
              <w:rPr>
                <w:rFonts w:ascii="Times New Roman" w:hAnsi="Times New Roman" w:eastAsia="宋体"/>
                <w:sz w:val="24"/>
              </w:rPr>
            </w:pPr>
            <w:r>
              <w:rPr>
                <w:rFonts w:ascii="Times New Roman" w:hAnsi="Times New Roman" w:eastAsia="宋体"/>
                <w:sz w:val="24"/>
              </w:rPr>
              <w:t>总投资</w:t>
            </w:r>
          </w:p>
          <w:p>
            <w:pPr>
              <w:jc w:val="center"/>
              <w:rPr>
                <w:rFonts w:ascii="Times New Roman" w:hAnsi="Times New Roman" w:eastAsia="宋体"/>
                <w:sz w:val="24"/>
              </w:rPr>
            </w:pPr>
            <w:r>
              <w:rPr>
                <w:rFonts w:ascii="Times New Roman" w:hAnsi="Times New Roman" w:eastAsia="宋体"/>
                <w:sz w:val="24"/>
              </w:rPr>
              <w:t>(万元)</w:t>
            </w:r>
          </w:p>
        </w:tc>
        <w:tc>
          <w:tcPr>
            <w:tcW w:w="1260" w:type="dxa"/>
            <w:vAlign w:val="center"/>
          </w:tcPr>
          <w:p>
            <w:pPr>
              <w:spacing w:line="360" w:lineRule="auto"/>
              <w:jc w:val="center"/>
              <w:rPr>
                <w:rFonts w:hint="default" w:ascii="Times New Roman" w:hAnsi="Times New Roman" w:eastAsia="宋体"/>
                <w:color w:val="000000" w:themeColor="text1"/>
                <w:sz w:val="24"/>
                <w:lang w:val="en-US" w:eastAsia="zh-CN"/>
              </w:rPr>
            </w:pPr>
            <w:r>
              <w:rPr>
                <w:rFonts w:hint="eastAsia" w:ascii="Times New Roman" w:hAnsi="Times New Roman" w:eastAsia="宋体"/>
                <w:color w:val="000000" w:themeColor="text1"/>
                <w:sz w:val="24"/>
                <w:lang w:val="en-US" w:eastAsia="zh-CN"/>
              </w:rPr>
              <w:t>100</w:t>
            </w:r>
          </w:p>
        </w:tc>
        <w:tc>
          <w:tcPr>
            <w:tcW w:w="1785" w:type="dxa"/>
            <w:gridSpan w:val="2"/>
            <w:vAlign w:val="center"/>
          </w:tcPr>
          <w:p>
            <w:pPr>
              <w:jc w:val="center"/>
              <w:rPr>
                <w:rFonts w:ascii="Times New Roman" w:hAnsi="Times New Roman" w:eastAsia="宋体"/>
                <w:color w:val="000000" w:themeColor="text1"/>
                <w:sz w:val="24"/>
              </w:rPr>
            </w:pPr>
            <w:r>
              <w:rPr>
                <w:rFonts w:ascii="Times New Roman" w:hAnsi="Times New Roman" w:eastAsia="宋体"/>
                <w:color w:val="000000" w:themeColor="text1"/>
                <w:sz w:val="24"/>
              </w:rPr>
              <w:t>其中：环保投资(万元)</w:t>
            </w:r>
          </w:p>
        </w:tc>
        <w:tc>
          <w:tcPr>
            <w:tcW w:w="1575" w:type="dxa"/>
            <w:vAlign w:val="center"/>
          </w:tcPr>
          <w:p>
            <w:pPr>
              <w:jc w:val="center"/>
              <w:rPr>
                <w:rFonts w:hint="default" w:ascii="Times New Roman" w:hAnsi="Times New Roman" w:eastAsia="宋体"/>
                <w:color w:val="000000" w:themeColor="text1"/>
                <w:sz w:val="24"/>
                <w:lang w:val="en-US" w:eastAsia="zh-CN"/>
              </w:rPr>
            </w:pPr>
            <w:r>
              <w:rPr>
                <w:rFonts w:hint="eastAsia"/>
                <w:color w:val="000000" w:themeColor="text1"/>
                <w:sz w:val="24"/>
                <w:lang w:val="en-US" w:eastAsia="zh-CN"/>
              </w:rPr>
              <w:t>6.3</w:t>
            </w:r>
          </w:p>
        </w:tc>
        <w:tc>
          <w:tcPr>
            <w:tcW w:w="1648" w:type="dxa"/>
            <w:gridSpan w:val="2"/>
          </w:tcPr>
          <w:p>
            <w:pPr>
              <w:rPr>
                <w:rFonts w:ascii="Times New Roman" w:hAnsi="Times New Roman" w:eastAsia="宋体"/>
                <w:color w:val="000000" w:themeColor="text1"/>
                <w:sz w:val="24"/>
              </w:rPr>
            </w:pPr>
            <w:r>
              <w:rPr>
                <w:rFonts w:ascii="Times New Roman" w:hAnsi="Times New Roman" w:eastAsia="宋体"/>
                <w:color w:val="000000" w:themeColor="text1"/>
                <w:sz w:val="24"/>
              </w:rPr>
              <w:t>环保投资占总投资比例</w:t>
            </w:r>
          </w:p>
        </w:tc>
        <w:tc>
          <w:tcPr>
            <w:tcW w:w="1545" w:type="dxa"/>
            <w:gridSpan w:val="2"/>
            <w:vAlign w:val="center"/>
          </w:tcPr>
          <w:p>
            <w:pPr>
              <w:spacing w:line="360" w:lineRule="auto"/>
              <w:jc w:val="center"/>
              <w:rPr>
                <w:rFonts w:ascii="Times New Roman" w:hAnsi="Times New Roman" w:eastAsia="宋体"/>
                <w:color w:val="000000" w:themeColor="text1"/>
                <w:sz w:val="24"/>
              </w:rPr>
            </w:pPr>
            <w:r>
              <w:rPr>
                <w:rFonts w:hint="eastAsia"/>
                <w:color w:val="000000" w:themeColor="text1"/>
                <w:sz w:val="24"/>
                <w:lang w:val="en-US" w:eastAsia="zh-CN"/>
              </w:rPr>
              <w:t>6.3</w:t>
            </w:r>
            <w:r>
              <w:rPr>
                <w:rFonts w:ascii="Times New Roman" w:hAnsi="Times New Roman" w:eastAsia="宋体"/>
                <w:color w:val="000000" w:themeColor="text1"/>
                <w:sz w:val="24"/>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473" w:type="dxa"/>
            <w:vAlign w:val="center"/>
          </w:tcPr>
          <w:p>
            <w:pPr>
              <w:jc w:val="center"/>
              <w:rPr>
                <w:rFonts w:ascii="Times New Roman" w:hAnsi="Times New Roman" w:eastAsia="宋体"/>
                <w:sz w:val="24"/>
              </w:rPr>
            </w:pPr>
            <w:r>
              <w:rPr>
                <w:rFonts w:ascii="Times New Roman" w:hAnsi="Times New Roman" w:eastAsia="宋体"/>
                <w:sz w:val="24"/>
              </w:rPr>
              <w:t>评价经费</w:t>
            </w:r>
          </w:p>
          <w:p>
            <w:pPr>
              <w:jc w:val="center"/>
              <w:rPr>
                <w:rFonts w:ascii="Times New Roman" w:hAnsi="Times New Roman" w:eastAsia="宋体"/>
                <w:sz w:val="24"/>
              </w:rPr>
            </w:pPr>
            <w:r>
              <w:rPr>
                <w:rFonts w:ascii="Times New Roman" w:hAnsi="Times New Roman" w:eastAsia="宋体"/>
                <w:sz w:val="24"/>
              </w:rPr>
              <w:t>(万元)</w:t>
            </w:r>
          </w:p>
        </w:tc>
        <w:tc>
          <w:tcPr>
            <w:tcW w:w="1260" w:type="dxa"/>
            <w:vAlign w:val="center"/>
          </w:tcPr>
          <w:p>
            <w:pPr>
              <w:spacing w:line="360" w:lineRule="auto"/>
              <w:jc w:val="center"/>
              <w:rPr>
                <w:rFonts w:ascii="Times New Roman" w:hAnsi="Times New Roman" w:eastAsia="宋体"/>
                <w:sz w:val="24"/>
              </w:rPr>
            </w:pPr>
          </w:p>
        </w:tc>
        <w:tc>
          <w:tcPr>
            <w:tcW w:w="1785" w:type="dxa"/>
            <w:gridSpan w:val="2"/>
            <w:vAlign w:val="center"/>
          </w:tcPr>
          <w:p>
            <w:pPr>
              <w:jc w:val="center"/>
              <w:rPr>
                <w:rFonts w:ascii="Times New Roman" w:hAnsi="Times New Roman" w:eastAsia="宋体"/>
                <w:sz w:val="24"/>
              </w:rPr>
            </w:pPr>
            <w:r>
              <w:rPr>
                <w:rFonts w:ascii="Times New Roman" w:hAnsi="Times New Roman" w:eastAsia="宋体"/>
                <w:sz w:val="24"/>
              </w:rPr>
              <w:t>预期投产日期</w:t>
            </w:r>
          </w:p>
        </w:tc>
        <w:tc>
          <w:tcPr>
            <w:tcW w:w="4768" w:type="dxa"/>
            <w:gridSpan w:val="5"/>
            <w:vAlign w:val="center"/>
          </w:tcPr>
          <w:p>
            <w:pPr>
              <w:spacing w:line="360" w:lineRule="auto"/>
              <w:jc w:val="center"/>
              <w:rPr>
                <w:rFonts w:ascii="Times New Roman" w:hAnsi="Times New Roman" w:eastAsia="宋体"/>
                <w:sz w:val="24"/>
              </w:rPr>
            </w:pPr>
            <w:r>
              <w:rPr>
                <w:rFonts w:ascii="Times New Roman" w:hAnsi="Times New Roman" w:eastAsia="宋体"/>
                <w:sz w:val="24"/>
              </w:rPr>
              <w:t>年</w:t>
            </w:r>
            <w:r>
              <w:rPr>
                <w:rFonts w:hint="eastAsia"/>
                <w:sz w:val="24"/>
                <w:lang w:val="en-US" w:eastAsia="zh-CN"/>
              </w:rPr>
              <w:t xml:space="preserve">   </w:t>
            </w:r>
            <w:r>
              <w:rPr>
                <w:rFonts w:ascii="Times New Roman" w:hAnsi="Times New Roman" w:eastAsia="宋体"/>
                <w:sz w:val="24"/>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55" w:hRule="atLeast"/>
        </w:trPr>
        <w:tc>
          <w:tcPr>
            <w:tcW w:w="9286" w:type="dxa"/>
            <w:gridSpan w:val="9"/>
          </w:tcPr>
          <w:p>
            <w:pPr>
              <w:adjustRightInd w:val="0"/>
              <w:snapToGrid w:val="0"/>
              <w:spacing w:line="520" w:lineRule="exact"/>
              <w:ind w:left="-481" w:leftChars="-229" w:firstLine="413" w:firstLineChars="147"/>
              <w:rPr>
                <w:b/>
                <w:bCs/>
                <w:i w:val="0"/>
                <w:iCs w:val="0"/>
                <w:sz w:val="28"/>
                <w:szCs w:val="28"/>
              </w:rPr>
            </w:pPr>
            <w:r>
              <w:rPr>
                <w:rFonts w:hint="eastAsia"/>
                <w:b/>
                <w:bCs/>
                <w:i w:val="0"/>
                <w:iCs w:val="0"/>
                <w:sz w:val="28"/>
                <w:szCs w:val="28"/>
                <w:lang w:eastAsia="zh-CN"/>
              </w:rPr>
              <w:t>一、</w:t>
            </w:r>
            <w:r>
              <w:rPr>
                <w:b/>
                <w:bCs/>
                <w:i w:val="0"/>
                <w:iCs w:val="0"/>
                <w:sz w:val="28"/>
                <w:szCs w:val="28"/>
              </w:rPr>
              <w:t>项目由来</w:t>
            </w:r>
          </w:p>
          <w:p>
            <w:pPr>
              <w:spacing w:line="520" w:lineRule="exact"/>
              <w:ind w:firstLine="480" w:firstLineChars="200"/>
              <w:rPr>
                <w:rFonts w:hint="eastAsia"/>
                <w:sz w:val="24"/>
                <w:szCs w:val="24"/>
                <w:lang w:eastAsia="zh-CN"/>
              </w:rPr>
            </w:pPr>
            <w:r>
              <w:rPr>
                <w:rFonts w:hint="eastAsia"/>
                <w:sz w:val="24"/>
                <w:szCs w:val="24"/>
                <w:lang w:eastAsia="zh-CN"/>
              </w:rPr>
              <w:t>为适应市场需求，促进经济发展，平顶山五环实业有限公司</w:t>
            </w:r>
            <w:r>
              <w:rPr>
                <w:rFonts w:hint="eastAsia"/>
                <w:sz w:val="24"/>
                <w:szCs w:val="24"/>
              </w:rPr>
              <w:t>拟投资</w:t>
            </w:r>
            <w:r>
              <w:rPr>
                <w:rFonts w:hint="eastAsia"/>
                <w:sz w:val="24"/>
                <w:szCs w:val="24"/>
                <w:lang w:val="en-US" w:eastAsia="zh-CN"/>
              </w:rPr>
              <w:t>100</w:t>
            </w:r>
            <w:r>
              <w:rPr>
                <w:rFonts w:hint="eastAsia"/>
                <w:sz w:val="24"/>
                <w:szCs w:val="24"/>
              </w:rPr>
              <w:t>万元</w:t>
            </w:r>
            <w:r>
              <w:rPr>
                <w:sz w:val="24"/>
                <w:szCs w:val="24"/>
              </w:rPr>
              <w:t>在</w:t>
            </w:r>
            <w:r>
              <w:rPr>
                <w:rFonts w:hint="eastAsia"/>
                <w:sz w:val="24"/>
                <w:szCs w:val="24"/>
                <w:lang w:eastAsia="zh-CN"/>
              </w:rPr>
              <w:t>平顶山市卫东区矿工路59号</w:t>
            </w:r>
            <w:r>
              <w:rPr>
                <w:rFonts w:hint="eastAsia"/>
                <w:sz w:val="24"/>
                <w:szCs w:val="24"/>
              </w:rPr>
              <w:t>厂院内</w:t>
            </w:r>
            <w:r>
              <w:rPr>
                <w:sz w:val="24"/>
                <w:szCs w:val="24"/>
              </w:rPr>
              <w:t>建设</w:t>
            </w:r>
            <w:r>
              <w:rPr>
                <w:rFonts w:hint="eastAsia"/>
                <w:sz w:val="24"/>
                <w:szCs w:val="24"/>
                <w:lang w:eastAsia="zh-CN"/>
              </w:rPr>
              <w:t>平顶山五环实业有限公司年产30000件钻探机具及配件项目</w:t>
            </w:r>
            <w:r>
              <w:rPr>
                <w:rFonts w:hint="eastAsia"/>
                <w:sz w:val="24"/>
                <w:szCs w:val="24"/>
              </w:rPr>
              <w:t>，</w:t>
            </w:r>
            <w:r>
              <w:rPr>
                <w:rFonts w:hint="eastAsia"/>
                <w:sz w:val="24"/>
                <w:szCs w:val="24"/>
                <w:lang w:eastAsia="zh-CN"/>
              </w:rPr>
              <w:t>项目占地面积</w:t>
            </w:r>
            <w:r>
              <w:rPr>
                <w:rFonts w:hint="eastAsia"/>
                <w:sz w:val="24"/>
                <w:szCs w:val="24"/>
                <w:lang w:val="en-US" w:eastAsia="zh-CN"/>
              </w:rPr>
              <w:t>2400m</w:t>
            </w:r>
            <w:r>
              <w:rPr>
                <w:rFonts w:hint="eastAsia"/>
                <w:sz w:val="24"/>
                <w:szCs w:val="24"/>
                <w:vertAlign w:val="superscript"/>
                <w:lang w:val="en-US" w:eastAsia="zh-CN"/>
              </w:rPr>
              <w:t>2</w:t>
            </w:r>
            <w:r>
              <w:rPr>
                <w:rFonts w:hint="eastAsia"/>
                <w:sz w:val="24"/>
                <w:szCs w:val="24"/>
                <w:lang w:eastAsia="zh-CN"/>
              </w:rPr>
              <w:t>，建筑面积</w:t>
            </w:r>
            <w:r>
              <w:rPr>
                <w:rFonts w:hint="eastAsia"/>
                <w:sz w:val="24"/>
                <w:szCs w:val="24"/>
                <w:lang w:val="en-US" w:eastAsia="zh-CN"/>
              </w:rPr>
              <w:t>1700m</w:t>
            </w:r>
            <w:r>
              <w:rPr>
                <w:rFonts w:hint="eastAsia"/>
                <w:sz w:val="24"/>
                <w:szCs w:val="24"/>
                <w:vertAlign w:val="superscript"/>
                <w:lang w:val="en-US" w:eastAsia="zh-CN"/>
              </w:rPr>
              <w:t>2</w:t>
            </w:r>
            <w:r>
              <w:rPr>
                <w:rFonts w:hint="eastAsia"/>
                <w:sz w:val="24"/>
                <w:szCs w:val="24"/>
                <w:lang w:eastAsia="zh-CN"/>
              </w:rPr>
              <w:t>。主要产品为钻具和钻头。</w:t>
            </w:r>
          </w:p>
          <w:p>
            <w:pPr>
              <w:spacing w:line="520" w:lineRule="exact"/>
              <w:ind w:firstLine="480" w:firstLineChars="200"/>
              <w:rPr>
                <w:sz w:val="24"/>
                <w:szCs w:val="24"/>
              </w:rPr>
            </w:pPr>
            <w:r>
              <w:rPr>
                <w:rFonts w:hint="eastAsia"/>
                <w:sz w:val="24"/>
                <w:szCs w:val="24"/>
              </w:rPr>
              <w:t>本项目目前已经平顶山市卫东区发展和改革</w:t>
            </w:r>
            <w:r>
              <w:rPr>
                <w:sz w:val="24"/>
                <w:szCs w:val="24"/>
              </w:rPr>
              <w:t>委员会</w:t>
            </w:r>
            <w:r>
              <w:rPr>
                <w:rFonts w:hint="eastAsia"/>
                <w:sz w:val="24"/>
                <w:szCs w:val="24"/>
              </w:rPr>
              <w:t>备案，根据备案内容可知，项目代码为20</w:t>
            </w:r>
            <w:r>
              <w:rPr>
                <w:rFonts w:hint="eastAsia"/>
                <w:sz w:val="24"/>
                <w:szCs w:val="24"/>
                <w:lang w:val="en-US" w:eastAsia="zh-CN"/>
              </w:rPr>
              <w:t>20</w:t>
            </w:r>
            <w:r>
              <w:rPr>
                <w:rFonts w:hint="eastAsia"/>
                <w:sz w:val="24"/>
                <w:szCs w:val="24"/>
              </w:rPr>
              <w:t>-410403-35-03-0</w:t>
            </w:r>
            <w:r>
              <w:rPr>
                <w:rFonts w:hint="eastAsia"/>
                <w:sz w:val="24"/>
                <w:szCs w:val="24"/>
                <w:lang w:val="en-US" w:eastAsia="zh-CN"/>
              </w:rPr>
              <w:t>71423</w:t>
            </w:r>
            <w:r>
              <w:rPr>
                <w:rFonts w:hint="eastAsia"/>
                <w:sz w:val="24"/>
                <w:szCs w:val="24"/>
              </w:rPr>
              <w:t>，本项目生产设备、工艺、规模均不在《产业结构调整指导目录（2019年）》中限制类和淘汰类之列，属于允许类，符合国家当前产业政策。</w:t>
            </w:r>
          </w:p>
          <w:p>
            <w:pPr>
              <w:spacing w:line="520" w:lineRule="exact"/>
              <w:ind w:firstLine="480" w:firstLineChars="200"/>
            </w:pPr>
            <w:r>
              <w:rPr>
                <w:rFonts w:hint="eastAsia"/>
                <w:sz w:val="24"/>
                <w:szCs w:val="24"/>
              </w:rPr>
              <w:t>依据《中华人民共和国环境影响评价法》和国务院第</w:t>
            </w:r>
            <w:r>
              <w:rPr>
                <w:sz w:val="24"/>
                <w:szCs w:val="24"/>
              </w:rPr>
              <w:t>682</w:t>
            </w:r>
            <w:r>
              <w:rPr>
                <w:rFonts w:hint="eastAsia"/>
                <w:sz w:val="24"/>
                <w:szCs w:val="24"/>
              </w:rPr>
              <w:t>号令《建设项目环境保护管理条例》等有关规定，本项目应进行环境影响评价。依据《建设项目环境影响评价分类管理名录》（环境保护部令第</w:t>
            </w:r>
            <w:r>
              <w:rPr>
                <w:sz w:val="24"/>
                <w:szCs w:val="24"/>
              </w:rPr>
              <w:t>44</w:t>
            </w:r>
            <w:r>
              <w:rPr>
                <w:rFonts w:hint="eastAsia"/>
                <w:sz w:val="24"/>
                <w:szCs w:val="24"/>
              </w:rPr>
              <w:t>号）和《关于修改建设项目环境影响评价分类管理名录部分内容的决定》（生态环境部令第</w:t>
            </w:r>
            <w:r>
              <w:rPr>
                <w:sz w:val="24"/>
                <w:szCs w:val="24"/>
              </w:rPr>
              <w:t>1</w:t>
            </w:r>
            <w:r>
              <w:rPr>
                <w:rFonts w:hint="eastAsia"/>
                <w:sz w:val="24"/>
                <w:szCs w:val="24"/>
              </w:rPr>
              <w:t>号），本项目属于第二十四项“专用设备制造业”类别中的第70小项“专用设备制造及维修”，其中规定“有电镀或喷漆工艺且年用油漆量（含稀释剂）10吨及以上的需要编制报告书；其他（仅组装的除外）的需要编制报告表；仅组装的需要编制登记表”。本项目工艺中不含喷漆工艺，含有机械加工</w:t>
            </w:r>
            <w:r>
              <w:rPr>
                <w:rFonts w:hint="eastAsia"/>
                <w:sz w:val="24"/>
                <w:szCs w:val="24"/>
                <w:lang w:eastAsia="zh-CN"/>
              </w:rPr>
              <w:t>、</w:t>
            </w:r>
            <w:r>
              <w:rPr>
                <w:rFonts w:hint="eastAsia"/>
                <w:sz w:val="24"/>
                <w:szCs w:val="24"/>
              </w:rPr>
              <w:t>组装等工艺，因此本项目的</w:t>
            </w:r>
            <w:r>
              <w:rPr>
                <w:sz w:val="24"/>
                <w:szCs w:val="24"/>
              </w:rPr>
              <w:t>环境影响评价</w:t>
            </w:r>
            <w:r>
              <w:rPr>
                <w:rFonts w:hint="eastAsia"/>
                <w:sz w:val="24"/>
                <w:szCs w:val="24"/>
              </w:rPr>
              <w:t>应</w:t>
            </w:r>
            <w:r>
              <w:rPr>
                <w:sz w:val="24"/>
                <w:szCs w:val="24"/>
              </w:rPr>
              <w:t>以环境影响报告表</w:t>
            </w:r>
            <w:r>
              <w:rPr>
                <w:rFonts w:hint="eastAsia"/>
                <w:sz w:val="24"/>
                <w:szCs w:val="24"/>
              </w:rPr>
              <w:t>的</w:t>
            </w:r>
            <w:r>
              <w:rPr>
                <w:sz w:val="24"/>
                <w:szCs w:val="24"/>
              </w:rPr>
              <w:t>形式完成</w:t>
            </w:r>
            <w:r>
              <w:rPr>
                <w:rFonts w:hint="eastAsia"/>
                <w:sz w:val="24"/>
                <w:szCs w:val="24"/>
              </w:rPr>
              <w:t>。</w:t>
            </w:r>
            <w:r>
              <w:rPr>
                <w:sz w:val="24"/>
                <w:szCs w:val="24"/>
              </w:rPr>
              <w:t>受建设单位的委托，</w:t>
            </w:r>
            <w:r>
              <w:rPr>
                <w:rFonts w:hint="eastAsia"/>
                <w:sz w:val="24"/>
                <w:szCs w:val="24"/>
                <w:lang w:eastAsia="zh-CN"/>
              </w:rPr>
              <w:t>河南科瑞达环保科技有限公司</w:t>
            </w:r>
            <w:r>
              <w:rPr>
                <w:sz w:val="24"/>
                <w:szCs w:val="24"/>
              </w:rPr>
              <w:t>承担了本项目的环境影响评价工作。我公司接受委托后，在拟建地实地踏勘、收集项目相关资料和向环保管理部门汇报的基础上，编制了本项目的环境影响报告表，以作为管理部门决策参考。</w:t>
            </w:r>
          </w:p>
          <w:p>
            <w:pPr>
              <w:adjustRightInd w:val="0"/>
              <w:snapToGrid w:val="0"/>
              <w:spacing w:line="520" w:lineRule="exact"/>
              <w:rPr>
                <w:b/>
                <w:bCs/>
                <w:sz w:val="28"/>
                <w:szCs w:val="28"/>
              </w:rPr>
            </w:pPr>
            <w:r>
              <w:rPr>
                <w:rFonts w:hint="eastAsia"/>
                <w:b/>
                <w:bCs/>
                <w:sz w:val="28"/>
                <w:szCs w:val="28"/>
                <w:lang w:eastAsia="zh-CN"/>
              </w:rPr>
              <w:t>二、</w:t>
            </w:r>
            <w:r>
              <w:rPr>
                <w:b/>
                <w:bCs/>
                <w:sz w:val="28"/>
                <w:szCs w:val="28"/>
              </w:rPr>
              <w:t>工程内容及规模</w:t>
            </w:r>
          </w:p>
          <w:p>
            <w:pPr>
              <w:adjustRightInd w:val="0"/>
              <w:snapToGrid w:val="0"/>
              <w:spacing w:line="520" w:lineRule="atLeast"/>
              <w:ind w:firstLine="480"/>
              <w:rPr>
                <w:b/>
                <w:bCs/>
                <w:sz w:val="24"/>
                <w:szCs w:val="24"/>
              </w:rPr>
            </w:pPr>
            <w:r>
              <w:rPr>
                <w:rFonts w:hint="eastAsia"/>
                <w:b/>
                <w:bCs/>
                <w:sz w:val="24"/>
                <w:szCs w:val="24"/>
                <w:lang w:val="en-US" w:eastAsia="zh-CN"/>
              </w:rPr>
              <w:t>2.</w:t>
            </w:r>
            <w:r>
              <w:rPr>
                <w:rFonts w:hint="eastAsia"/>
                <w:b/>
                <w:bCs/>
                <w:sz w:val="24"/>
                <w:szCs w:val="24"/>
              </w:rPr>
              <w:t>1</w:t>
            </w:r>
            <w:r>
              <w:rPr>
                <w:b/>
                <w:bCs/>
                <w:sz w:val="24"/>
                <w:szCs w:val="24"/>
              </w:rPr>
              <w:t>、项目概况</w:t>
            </w:r>
          </w:p>
          <w:p>
            <w:pPr>
              <w:widowControl/>
              <w:spacing w:line="360" w:lineRule="auto"/>
              <w:ind w:firstLine="480" w:firstLineChars="200"/>
              <w:rPr>
                <w:sz w:val="24"/>
                <w:szCs w:val="24"/>
              </w:rPr>
            </w:pPr>
            <w:r>
              <w:rPr>
                <w:rFonts w:hint="eastAsia"/>
                <w:sz w:val="24"/>
                <w:szCs w:val="24"/>
              </w:rPr>
              <w:t>本项目</w:t>
            </w:r>
            <w:r>
              <w:rPr>
                <w:sz w:val="24"/>
                <w:szCs w:val="24"/>
              </w:rPr>
              <w:t>位于</w:t>
            </w:r>
            <w:r>
              <w:rPr>
                <w:rFonts w:hint="eastAsia"/>
                <w:sz w:val="24"/>
                <w:szCs w:val="24"/>
                <w:lang w:eastAsia="zh-CN"/>
              </w:rPr>
              <w:t>平顶山市卫东区矿工路59号院</w:t>
            </w:r>
            <w:r>
              <w:rPr>
                <w:sz w:val="24"/>
                <w:szCs w:val="24"/>
              </w:rPr>
              <w:t>，</w:t>
            </w:r>
            <w:r>
              <w:rPr>
                <w:rFonts w:hint="eastAsia"/>
                <w:sz w:val="24"/>
                <w:szCs w:val="24"/>
              </w:rPr>
              <w:t>项目</w:t>
            </w:r>
            <w:r>
              <w:rPr>
                <w:rFonts w:hint="eastAsia"/>
                <w:sz w:val="24"/>
                <w:szCs w:val="24"/>
                <w:lang w:eastAsia="zh-CN"/>
              </w:rPr>
              <w:t>租赁豫中地质勘查工程公司平顶山第四工程处厂房进行建设，</w:t>
            </w:r>
            <w:r>
              <w:rPr>
                <w:rFonts w:hint="eastAsia"/>
                <w:sz w:val="24"/>
                <w:szCs w:val="24"/>
              </w:rPr>
              <w:t>东侧</w:t>
            </w:r>
            <w:r>
              <w:rPr>
                <w:rFonts w:hint="eastAsia"/>
                <w:sz w:val="24"/>
                <w:szCs w:val="24"/>
                <w:lang w:eastAsia="zh-CN"/>
              </w:rPr>
              <w:t>、北侧为张庄</w:t>
            </w:r>
            <w:r>
              <w:rPr>
                <w:rFonts w:hint="eastAsia"/>
                <w:sz w:val="24"/>
                <w:szCs w:val="24"/>
                <w:lang w:val="en-US" w:eastAsia="zh-CN"/>
              </w:rPr>
              <w:t>；</w:t>
            </w:r>
            <w:r>
              <w:rPr>
                <w:rFonts w:hint="eastAsia"/>
                <w:sz w:val="24"/>
                <w:szCs w:val="24"/>
                <w:lang w:eastAsia="zh-CN"/>
              </w:rPr>
              <w:t>西侧为空厂房，厂房西侧为厂房，厂房外为月台河；南侧为空厂院，厂院南侧为张庄</w:t>
            </w:r>
            <w:r>
              <w:rPr>
                <w:rFonts w:hint="eastAsia"/>
                <w:sz w:val="24"/>
                <w:szCs w:val="24"/>
              </w:rPr>
              <w:t>。</w:t>
            </w:r>
            <w:r>
              <w:rPr>
                <w:sz w:val="24"/>
                <w:szCs w:val="24"/>
              </w:rPr>
              <w:t>项目基本情况见下表</w:t>
            </w:r>
            <w:r>
              <w:rPr>
                <w:rFonts w:hint="eastAsia"/>
                <w:sz w:val="24"/>
                <w:szCs w:val="24"/>
                <w:lang w:val="en-US" w:eastAsia="zh-CN"/>
              </w:rPr>
              <w:t>1</w:t>
            </w:r>
            <w:r>
              <w:rPr>
                <w:sz w:val="24"/>
                <w:szCs w:val="24"/>
              </w:rPr>
              <w:t>，主要建设内容见下表</w:t>
            </w:r>
            <w:r>
              <w:rPr>
                <w:rFonts w:hint="eastAsia"/>
                <w:sz w:val="24"/>
                <w:szCs w:val="24"/>
                <w:lang w:val="en-US" w:eastAsia="zh-CN"/>
              </w:rPr>
              <w:t>2</w:t>
            </w:r>
            <w:r>
              <w:rPr>
                <w:sz w:val="24"/>
                <w:szCs w:val="24"/>
              </w:rPr>
              <w:t>。</w:t>
            </w:r>
          </w:p>
          <w:p>
            <w:pPr>
              <w:pStyle w:val="7"/>
              <w:jc w:val="center"/>
              <w:rPr>
                <w:b/>
                <w:bCs/>
                <w:sz w:val="24"/>
                <w:szCs w:val="24"/>
              </w:rPr>
            </w:pPr>
            <w:r>
              <w:rPr>
                <w:b/>
                <w:bCs/>
                <w:sz w:val="24"/>
                <w:szCs w:val="24"/>
              </w:rPr>
              <w:t>表</w:t>
            </w:r>
            <w:r>
              <w:rPr>
                <w:rFonts w:hint="eastAsia"/>
                <w:b/>
                <w:bCs/>
                <w:sz w:val="24"/>
                <w:szCs w:val="24"/>
                <w:lang w:val="en-US" w:eastAsia="zh-CN"/>
              </w:rPr>
              <w:t>1</w:t>
            </w:r>
            <w:r>
              <w:rPr>
                <w:b/>
                <w:bCs/>
                <w:sz w:val="24"/>
                <w:szCs w:val="24"/>
              </w:rPr>
              <w:t xml:space="preserve">  项目基本情况</w:t>
            </w:r>
          </w:p>
          <w:tbl>
            <w:tblPr>
              <w:tblStyle w:val="23"/>
              <w:tblW w:w="4997"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068"/>
              <w:gridCol w:w="1469"/>
              <w:gridCol w:w="6528"/>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89" w:type="pct"/>
                  <w:tcBorders>
                    <w:top w:val="single" w:color="auto" w:sz="12" w:space="0"/>
                  </w:tcBorders>
                  <w:vAlign w:val="center"/>
                </w:tcPr>
                <w:p>
                  <w:pPr>
                    <w:adjustRightInd w:val="0"/>
                    <w:snapToGrid w:val="0"/>
                    <w:jc w:val="center"/>
                  </w:pPr>
                  <w:r>
                    <w:t>序号</w:t>
                  </w:r>
                </w:p>
              </w:tc>
              <w:tc>
                <w:tcPr>
                  <w:tcW w:w="810" w:type="pct"/>
                  <w:tcBorders>
                    <w:top w:val="single" w:color="auto" w:sz="12" w:space="0"/>
                  </w:tcBorders>
                  <w:vAlign w:val="center"/>
                </w:tcPr>
                <w:p>
                  <w:pPr>
                    <w:adjustRightInd w:val="0"/>
                    <w:snapToGrid w:val="0"/>
                    <w:jc w:val="center"/>
                  </w:pPr>
                  <w:r>
                    <w:t>名称</w:t>
                  </w:r>
                </w:p>
              </w:tc>
              <w:tc>
                <w:tcPr>
                  <w:tcW w:w="3600" w:type="pct"/>
                  <w:tcBorders>
                    <w:top w:val="single" w:color="auto" w:sz="12" w:space="0"/>
                  </w:tcBorders>
                  <w:vAlign w:val="center"/>
                </w:tcPr>
                <w:p>
                  <w:pPr>
                    <w:adjustRightInd w:val="0"/>
                    <w:snapToGrid w:val="0"/>
                    <w:jc w:val="center"/>
                  </w:pPr>
                  <w:r>
                    <w:t>内容</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89" w:type="pct"/>
                  <w:vAlign w:val="center"/>
                </w:tcPr>
                <w:p>
                  <w:pPr>
                    <w:adjustRightInd w:val="0"/>
                    <w:snapToGrid w:val="0"/>
                    <w:jc w:val="center"/>
                  </w:pPr>
                  <w:r>
                    <w:t>1</w:t>
                  </w:r>
                </w:p>
              </w:tc>
              <w:tc>
                <w:tcPr>
                  <w:tcW w:w="810" w:type="pct"/>
                  <w:vAlign w:val="center"/>
                </w:tcPr>
                <w:p>
                  <w:pPr>
                    <w:adjustRightInd w:val="0"/>
                    <w:snapToGrid w:val="0"/>
                    <w:jc w:val="center"/>
                  </w:pPr>
                  <w:r>
                    <w:t>项目名称</w:t>
                  </w:r>
                </w:p>
              </w:tc>
              <w:tc>
                <w:tcPr>
                  <w:tcW w:w="3600" w:type="pct"/>
                  <w:vAlign w:val="center"/>
                </w:tcPr>
                <w:p>
                  <w:pPr>
                    <w:adjustRightInd w:val="0"/>
                    <w:snapToGrid w:val="0"/>
                    <w:jc w:val="center"/>
                  </w:pPr>
                  <w:r>
                    <w:rPr>
                      <w:rFonts w:hint="eastAsia"/>
                      <w:lang w:eastAsia="zh-CN"/>
                    </w:rPr>
                    <w:t>平顶山五环实业有限公司年产30000件钻探机具及配件项目</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89" w:type="pct"/>
                  <w:vAlign w:val="center"/>
                </w:tcPr>
                <w:p>
                  <w:pPr>
                    <w:adjustRightInd w:val="0"/>
                    <w:snapToGrid w:val="0"/>
                    <w:jc w:val="center"/>
                  </w:pPr>
                  <w:r>
                    <w:t>2</w:t>
                  </w:r>
                </w:p>
              </w:tc>
              <w:tc>
                <w:tcPr>
                  <w:tcW w:w="810" w:type="pct"/>
                  <w:vAlign w:val="center"/>
                </w:tcPr>
                <w:p>
                  <w:pPr>
                    <w:adjustRightInd w:val="0"/>
                    <w:snapToGrid w:val="0"/>
                    <w:jc w:val="center"/>
                  </w:pPr>
                  <w:r>
                    <w:t>建设单位</w:t>
                  </w:r>
                </w:p>
              </w:tc>
              <w:tc>
                <w:tcPr>
                  <w:tcW w:w="3600" w:type="pct"/>
                  <w:vAlign w:val="center"/>
                </w:tcPr>
                <w:p>
                  <w:pPr>
                    <w:adjustRightInd w:val="0"/>
                    <w:snapToGrid w:val="0"/>
                    <w:jc w:val="center"/>
                    <w:rPr>
                      <w:rFonts w:hint="eastAsia"/>
                      <w:lang w:eastAsia="zh-CN"/>
                    </w:rPr>
                  </w:pPr>
                  <w:r>
                    <w:rPr>
                      <w:rFonts w:hint="eastAsia"/>
                      <w:lang w:eastAsia="zh-CN"/>
                    </w:rPr>
                    <w:t>平顶山五环实业有限公司</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89" w:type="pct"/>
                  <w:vAlign w:val="center"/>
                </w:tcPr>
                <w:p>
                  <w:pPr>
                    <w:adjustRightInd w:val="0"/>
                    <w:snapToGrid w:val="0"/>
                    <w:jc w:val="center"/>
                  </w:pPr>
                  <w:r>
                    <w:t>3</w:t>
                  </w:r>
                </w:p>
              </w:tc>
              <w:tc>
                <w:tcPr>
                  <w:tcW w:w="810" w:type="pct"/>
                  <w:vAlign w:val="center"/>
                </w:tcPr>
                <w:p>
                  <w:pPr>
                    <w:adjustRightInd w:val="0"/>
                    <w:snapToGrid w:val="0"/>
                    <w:jc w:val="center"/>
                  </w:pPr>
                  <w:r>
                    <w:t>建设地点</w:t>
                  </w:r>
                </w:p>
              </w:tc>
              <w:tc>
                <w:tcPr>
                  <w:tcW w:w="3600" w:type="pct"/>
                  <w:vAlign w:val="center"/>
                </w:tcPr>
                <w:p>
                  <w:pPr>
                    <w:adjustRightInd w:val="0"/>
                    <w:snapToGrid w:val="0"/>
                    <w:jc w:val="center"/>
                    <w:rPr>
                      <w:rFonts w:hint="eastAsia"/>
                      <w:lang w:eastAsia="zh-CN"/>
                    </w:rPr>
                  </w:pPr>
                  <w:r>
                    <w:rPr>
                      <w:rFonts w:hint="eastAsia"/>
                      <w:lang w:eastAsia="zh-CN"/>
                    </w:rPr>
                    <w:t>平顶山市卫东区矿工路59号院</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589" w:type="pct"/>
                  <w:vAlign w:val="center"/>
                </w:tcPr>
                <w:p>
                  <w:pPr>
                    <w:adjustRightInd w:val="0"/>
                    <w:snapToGrid w:val="0"/>
                    <w:jc w:val="center"/>
                  </w:pPr>
                  <w:r>
                    <w:t>4</w:t>
                  </w:r>
                </w:p>
              </w:tc>
              <w:tc>
                <w:tcPr>
                  <w:tcW w:w="810" w:type="pct"/>
                  <w:vAlign w:val="center"/>
                </w:tcPr>
                <w:p>
                  <w:pPr>
                    <w:adjustRightInd w:val="0"/>
                    <w:snapToGrid w:val="0"/>
                    <w:jc w:val="center"/>
                  </w:pPr>
                  <w:r>
                    <w:t>占地性质</w:t>
                  </w:r>
                </w:p>
              </w:tc>
              <w:tc>
                <w:tcPr>
                  <w:tcW w:w="3600" w:type="pct"/>
                  <w:vAlign w:val="center"/>
                </w:tcPr>
                <w:p>
                  <w:pPr>
                    <w:adjustRightInd w:val="0"/>
                    <w:snapToGrid w:val="0"/>
                    <w:jc w:val="center"/>
                  </w:pPr>
                  <w:r>
                    <w:rPr>
                      <w:rFonts w:hint="eastAsia"/>
                      <w:lang w:eastAsia="zh-CN"/>
                    </w:rPr>
                    <w:t>工业</w:t>
                  </w:r>
                  <w:r>
                    <w:t>用地</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89" w:type="pct"/>
                  <w:vAlign w:val="center"/>
                </w:tcPr>
                <w:p>
                  <w:pPr>
                    <w:adjustRightInd w:val="0"/>
                    <w:snapToGrid w:val="0"/>
                    <w:jc w:val="center"/>
                  </w:pPr>
                  <w:r>
                    <w:t>5</w:t>
                  </w:r>
                </w:p>
              </w:tc>
              <w:tc>
                <w:tcPr>
                  <w:tcW w:w="810" w:type="pct"/>
                  <w:vAlign w:val="center"/>
                </w:tcPr>
                <w:p>
                  <w:pPr>
                    <w:adjustRightInd w:val="0"/>
                    <w:snapToGrid w:val="0"/>
                    <w:jc w:val="center"/>
                  </w:pPr>
                  <w:r>
                    <w:t>建筑面积</w:t>
                  </w:r>
                </w:p>
              </w:tc>
              <w:tc>
                <w:tcPr>
                  <w:tcW w:w="3600" w:type="pct"/>
                  <w:vAlign w:val="center"/>
                </w:tcPr>
                <w:p>
                  <w:pPr>
                    <w:adjustRightInd w:val="0"/>
                    <w:snapToGrid w:val="0"/>
                    <w:jc w:val="center"/>
                  </w:pPr>
                  <w:r>
                    <w:t>建筑面积</w:t>
                  </w:r>
                  <w:r>
                    <w:rPr>
                      <w:rFonts w:hint="eastAsia"/>
                      <w:lang w:val="en-US" w:eastAsia="zh-CN"/>
                    </w:rPr>
                    <w:t>1700</w:t>
                  </w:r>
                  <w:r>
                    <w:t>m</w:t>
                  </w:r>
                  <w:r>
                    <w:rPr>
                      <w:vertAlign w:val="superscript"/>
                    </w:rPr>
                    <w:t>2</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89" w:type="pct"/>
                  <w:vAlign w:val="center"/>
                </w:tcPr>
                <w:p>
                  <w:pPr>
                    <w:adjustRightInd w:val="0"/>
                    <w:snapToGrid w:val="0"/>
                    <w:jc w:val="center"/>
                  </w:pPr>
                  <w:r>
                    <w:t>6</w:t>
                  </w:r>
                </w:p>
              </w:tc>
              <w:tc>
                <w:tcPr>
                  <w:tcW w:w="810" w:type="pct"/>
                  <w:vAlign w:val="center"/>
                </w:tcPr>
                <w:p>
                  <w:pPr>
                    <w:adjustRightInd w:val="0"/>
                    <w:snapToGrid w:val="0"/>
                    <w:jc w:val="center"/>
                  </w:pPr>
                  <w:r>
                    <w:t>生产规模</w:t>
                  </w:r>
                </w:p>
              </w:tc>
              <w:tc>
                <w:tcPr>
                  <w:tcW w:w="3600" w:type="pct"/>
                  <w:vAlign w:val="center"/>
                </w:tcPr>
                <w:p>
                  <w:pPr>
                    <w:adjustRightInd w:val="0"/>
                    <w:snapToGrid w:val="0"/>
                    <w:jc w:val="center"/>
                    <w:rPr>
                      <w:rFonts w:hint="default"/>
                      <w:lang w:val="en-US" w:eastAsia="zh-CN"/>
                    </w:rPr>
                  </w:pPr>
                  <w:r>
                    <w:rPr>
                      <w:rFonts w:hint="eastAsia"/>
                    </w:rPr>
                    <w:t>年产</w:t>
                  </w:r>
                  <w:r>
                    <w:rPr>
                      <w:rFonts w:hint="eastAsia"/>
                      <w:lang w:val="en-US" w:eastAsia="zh-CN"/>
                    </w:rPr>
                    <w:t>15000</w:t>
                  </w:r>
                  <w:r>
                    <w:rPr>
                      <w:rFonts w:hint="eastAsia"/>
                      <w:lang w:eastAsia="zh-CN"/>
                    </w:rPr>
                    <w:t>件钻头、</w:t>
                  </w:r>
                  <w:r>
                    <w:rPr>
                      <w:rFonts w:hint="eastAsia"/>
                      <w:lang w:val="en-US" w:eastAsia="zh-CN"/>
                    </w:rPr>
                    <w:t>15000件钻具</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89" w:type="pct"/>
                  <w:vAlign w:val="center"/>
                </w:tcPr>
                <w:p>
                  <w:pPr>
                    <w:adjustRightInd w:val="0"/>
                    <w:snapToGrid w:val="0"/>
                    <w:jc w:val="center"/>
                  </w:pPr>
                  <w:r>
                    <w:t>7</w:t>
                  </w:r>
                </w:p>
              </w:tc>
              <w:tc>
                <w:tcPr>
                  <w:tcW w:w="810" w:type="pct"/>
                  <w:vAlign w:val="center"/>
                </w:tcPr>
                <w:p>
                  <w:pPr>
                    <w:adjustRightInd w:val="0"/>
                    <w:snapToGrid w:val="0"/>
                    <w:jc w:val="center"/>
                  </w:pPr>
                  <w:r>
                    <w:t>总投资</w:t>
                  </w:r>
                </w:p>
              </w:tc>
              <w:tc>
                <w:tcPr>
                  <w:tcW w:w="3600" w:type="pct"/>
                  <w:vAlign w:val="center"/>
                </w:tcPr>
                <w:p>
                  <w:pPr>
                    <w:adjustRightInd w:val="0"/>
                    <w:snapToGrid w:val="0"/>
                    <w:jc w:val="center"/>
                  </w:pPr>
                  <w:r>
                    <w:rPr>
                      <w:rFonts w:hint="eastAsia"/>
                      <w:lang w:val="en-US" w:eastAsia="zh-CN"/>
                    </w:rPr>
                    <w:t>100</w:t>
                  </w:r>
                  <w:r>
                    <w:t>万元</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89" w:type="pct"/>
                  <w:vAlign w:val="center"/>
                </w:tcPr>
                <w:p>
                  <w:pPr>
                    <w:adjustRightInd w:val="0"/>
                    <w:snapToGrid w:val="0"/>
                    <w:jc w:val="center"/>
                  </w:pPr>
                  <w:r>
                    <w:rPr>
                      <w:rFonts w:hint="eastAsia"/>
                    </w:rPr>
                    <w:t>8</w:t>
                  </w:r>
                </w:p>
              </w:tc>
              <w:tc>
                <w:tcPr>
                  <w:tcW w:w="810" w:type="pct"/>
                  <w:vAlign w:val="center"/>
                </w:tcPr>
                <w:p>
                  <w:pPr>
                    <w:adjustRightInd w:val="0"/>
                    <w:snapToGrid w:val="0"/>
                    <w:jc w:val="center"/>
                  </w:pPr>
                  <w:r>
                    <w:rPr>
                      <w:rFonts w:hint="eastAsia"/>
                    </w:rPr>
                    <w:t>环保投资</w:t>
                  </w:r>
                </w:p>
              </w:tc>
              <w:tc>
                <w:tcPr>
                  <w:tcW w:w="3600" w:type="pct"/>
                  <w:vAlign w:val="center"/>
                </w:tcPr>
                <w:p>
                  <w:pPr>
                    <w:adjustRightInd w:val="0"/>
                    <w:snapToGrid w:val="0"/>
                    <w:jc w:val="center"/>
                  </w:pPr>
                  <w:r>
                    <w:rPr>
                      <w:rFonts w:hint="eastAsia"/>
                      <w:lang w:val="en-US" w:eastAsia="zh-CN"/>
                    </w:rPr>
                    <w:t>6.3</w:t>
                  </w:r>
                  <w:r>
                    <w:rPr>
                      <w:rFonts w:hint="eastAsia"/>
                    </w:rPr>
                    <w:t>万元</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89" w:type="pct"/>
                  <w:vAlign w:val="center"/>
                </w:tcPr>
                <w:p>
                  <w:pPr>
                    <w:adjustRightInd w:val="0"/>
                    <w:snapToGrid w:val="0"/>
                    <w:jc w:val="center"/>
                  </w:pPr>
                  <w:r>
                    <w:rPr>
                      <w:rFonts w:hint="eastAsia"/>
                    </w:rPr>
                    <w:t>9</w:t>
                  </w:r>
                </w:p>
              </w:tc>
              <w:tc>
                <w:tcPr>
                  <w:tcW w:w="810" w:type="pct"/>
                  <w:vAlign w:val="center"/>
                </w:tcPr>
                <w:p>
                  <w:pPr>
                    <w:adjustRightInd w:val="0"/>
                    <w:snapToGrid w:val="0"/>
                    <w:jc w:val="center"/>
                  </w:pPr>
                  <w:r>
                    <w:t>周围情况</w:t>
                  </w:r>
                </w:p>
              </w:tc>
              <w:tc>
                <w:tcPr>
                  <w:tcW w:w="3600" w:type="pct"/>
                  <w:vAlign w:val="center"/>
                </w:tcPr>
                <w:p>
                  <w:pPr>
                    <w:adjustRightInd w:val="0"/>
                    <w:snapToGrid w:val="0"/>
                    <w:jc w:val="center"/>
                  </w:pPr>
                  <w:r>
                    <w:rPr>
                      <w:rFonts w:hint="eastAsia"/>
                    </w:rPr>
                    <w:t>东侧</w:t>
                  </w:r>
                  <w:r>
                    <w:rPr>
                      <w:rFonts w:hint="eastAsia"/>
                      <w:lang w:eastAsia="zh-CN"/>
                    </w:rPr>
                    <w:t>、北侧为张庄，西侧为月台河，南侧为空厂院，厂院南侧为张庄</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89" w:type="pct"/>
                  <w:vAlign w:val="center"/>
                </w:tcPr>
                <w:p>
                  <w:pPr>
                    <w:adjustRightInd w:val="0"/>
                    <w:snapToGrid w:val="0"/>
                    <w:jc w:val="center"/>
                  </w:pPr>
                  <w:r>
                    <w:rPr>
                      <w:rFonts w:hint="eastAsia"/>
                    </w:rPr>
                    <w:t>10</w:t>
                  </w:r>
                </w:p>
              </w:tc>
              <w:tc>
                <w:tcPr>
                  <w:tcW w:w="810" w:type="pct"/>
                  <w:vAlign w:val="center"/>
                </w:tcPr>
                <w:p>
                  <w:pPr>
                    <w:adjustRightInd w:val="0"/>
                    <w:snapToGrid w:val="0"/>
                    <w:jc w:val="center"/>
                  </w:pPr>
                  <w:r>
                    <w:t>劳动定员</w:t>
                  </w:r>
                </w:p>
              </w:tc>
              <w:tc>
                <w:tcPr>
                  <w:tcW w:w="3600" w:type="pct"/>
                  <w:vAlign w:val="center"/>
                </w:tcPr>
                <w:p>
                  <w:pPr>
                    <w:adjustRightInd w:val="0"/>
                    <w:snapToGrid w:val="0"/>
                    <w:jc w:val="center"/>
                  </w:pPr>
                  <w:r>
                    <w:rPr>
                      <w:rFonts w:hint="eastAsia"/>
                      <w:lang w:val="en-US" w:eastAsia="zh-CN"/>
                    </w:rPr>
                    <w:t>20</w:t>
                  </w:r>
                  <w:r>
                    <w:t>人</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89" w:type="pct"/>
                  <w:tcBorders>
                    <w:bottom w:val="single" w:color="auto" w:sz="12" w:space="0"/>
                  </w:tcBorders>
                  <w:vAlign w:val="center"/>
                </w:tcPr>
                <w:p>
                  <w:pPr>
                    <w:adjustRightInd w:val="0"/>
                    <w:snapToGrid w:val="0"/>
                    <w:jc w:val="center"/>
                  </w:pPr>
                  <w:r>
                    <w:t>1</w:t>
                  </w:r>
                  <w:r>
                    <w:rPr>
                      <w:rFonts w:hint="eastAsia"/>
                    </w:rPr>
                    <w:t>1</w:t>
                  </w:r>
                </w:p>
              </w:tc>
              <w:tc>
                <w:tcPr>
                  <w:tcW w:w="810" w:type="pct"/>
                  <w:tcBorders>
                    <w:bottom w:val="single" w:color="auto" w:sz="12" w:space="0"/>
                  </w:tcBorders>
                  <w:vAlign w:val="center"/>
                </w:tcPr>
                <w:p>
                  <w:pPr>
                    <w:adjustRightInd w:val="0"/>
                    <w:snapToGrid w:val="0"/>
                    <w:jc w:val="center"/>
                  </w:pPr>
                  <w:r>
                    <w:t>工作制度</w:t>
                  </w:r>
                </w:p>
              </w:tc>
              <w:tc>
                <w:tcPr>
                  <w:tcW w:w="3600" w:type="pct"/>
                  <w:tcBorders>
                    <w:bottom w:val="single" w:color="auto" w:sz="12" w:space="0"/>
                  </w:tcBorders>
                  <w:vAlign w:val="center"/>
                </w:tcPr>
                <w:p>
                  <w:pPr>
                    <w:adjustRightInd w:val="0"/>
                    <w:snapToGrid w:val="0"/>
                    <w:jc w:val="center"/>
                  </w:pPr>
                  <w:r>
                    <w:t>年工作300天，每天8小时工作制</w:t>
                  </w:r>
                </w:p>
              </w:tc>
            </w:tr>
          </w:tbl>
          <w:p>
            <w:pPr>
              <w:pStyle w:val="7"/>
              <w:spacing w:beforeLines="50"/>
              <w:jc w:val="center"/>
              <w:rPr>
                <w:b/>
                <w:bCs/>
                <w:sz w:val="24"/>
                <w:szCs w:val="24"/>
              </w:rPr>
            </w:pPr>
            <w:r>
              <w:rPr>
                <w:b/>
                <w:bCs/>
                <w:sz w:val="24"/>
                <w:szCs w:val="24"/>
              </w:rPr>
              <w:t>表</w:t>
            </w:r>
            <w:r>
              <w:rPr>
                <w:rFonts w:hint="eastAsia"/>
                <w:b/>
                <w:bCs/>
                <w:sz w:val="24"/>
                <w:szCs w:val="24"/>
                <w:lang w:val="en-US" w:eastAsia="zh-CN"/>
              </w:rPr>
              <w:t>2</w:t>
            </w:r>
            <w:r>
              <w:rPr>
                <w:b/>
                <w:bCs/>
                <w:sz w:val="24"/>
                <w:szCs w:val="24"/>
              </w:rPr>
              <w:t xml:space="preserve"> </w:t>
            </w:r>
            <w:r>
              <w:rPr>
                <w:rFonts w:hint="eastAsia"/>
                <w:b/>
                <w:bCs/>
                <w:sz w:val="24"/>
                <w:szCs w:val="24"/>
                <w:lang w:val="en-US" w:eastAsia="zh-CN"/>
              </w:rPr>
              <w:t xml:space="preserve"> </w:t>
            </w:r>
            <w:r>
              <w:rPr>
                <w:b/>
                <w:bCs/>
                <w:sz w:val="24"/>
                <w:szCs w:val="24"/>
              </w:rPr>
              <w:t>项目主要建设内容一览表</w:t>
            </w:r>
          </w:p>
          <w:tbl>
            <w:tblPr>
              <w:tblStyle w:val="23"/>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54"/>
              <w:gridCol w:w="1386"/>
              <w:gridCol w:w="1112"/>
              <w:gridCol w:w="2445"/>
              <w:gridCol w:w="196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8" w:type="pct"/>
                  <w:vAlign w:val="center"/>
                </w:tcPr>
                <w:p>
                  <w:pPr>
                    <w:keepNext w:val="0"/>
                    <w:keepLines w:val="0"/>
                    <w:pageBreakBefore w:val="0"/>
                    <w:kinsoku/>
                    <w:wordWrap/>
                    <w:overflowPunct/>
                    <w:topLinePunct w:val="0"/>
                    <w:autoSpaceDE/>
                    <w:autoSpaceDN/>
                    <w:bidi w:val="0"/>
                    <w:adjustRightInd/>
                    <w:snapToGrid/>
                    <w:jc w:val="center"/>
                    <w:textAlignment w:val="auto"/>
                    <w:rPr>
                      <w:sz w:val="21"/>
                      <w:szCs w:val="21"/>
                    </w:rPr>
                  </w:pPr>
                  <w:r>
                    <w:rPr>
                      <w:sz w:val="21"/>
                      <w:szCs w:val="21"/>
                    </w:rPr>
                    <w:t>工程类别</w:t>
                  </w:r>
                </w:p>
              </w:tc>
              <w:tc>
                <w:tcPr>
                  <w:tcW w:w="764" w:type="pct"/>
                  <w:vAlign w:val="center"/>
                </w:tcPr>
                <w:p>
                  <w:pPr>
                    <w:keepNext w:val="0"/>
                    <w:keepLines w:val="0"/>
                    <w:pageBreakBefore w:val="0"/>
                    <w:kinsoku/>
                    <w:wordWrap/>
                    <w:overflowPunct/>
                    <w:topLinePunct w:val="0"/>
                    <w:autoSpaceDE/>
                    <w:autoSpaceDN/>
                    <w:bidi w:val="0"/>
                    <w:adjustRightInd/>
                    <w:snapToGrid/>
                    <w:jc w:val="center"/>
                    <w:textAlignment w:val="auto"/>
                    <w:rPr>
                      <w:sz w:val="21"/>
                      <w:szCs w:val="21"/>
                    </w:rPr>
                  </w:pPr>
                  <w:r>
                    <w:rPr>
                      <w:sz w:val="21"/>
                      <w:szCs w:val="21"/>
                    </w:rPr>
                    <w:t>名   称</w:t>
                  </w:r>
                </w:p>
              </w:tc>
              <w:tc>
                <w:tcPr>
                  <w:tcW w:w="613" w:type="pct"/>
                  <w:vAlign w:val="center"/>
                </w:tcPr>
                <w:p>
                  <w:pPr>
                    <w:keepNext w:val="0"/>
                    <w:keepLines w:val="0"/>
                    <w:pageBreakBefore w:val="0"/>
                    <w:kinsoku/>
                    <w:wordWrap/>
                    <w:overflowPunct/>
                    <w:topLinePunct w:val="0"/>
                    <w:autoSpaceDE/>
                    <w:autoSpaceDN/>
                    <w:bidi w:val="0"/>
                    <w:adjustRightInd/>
                    <w:snapToGrid/>
                    <w:jc w:val="center"/>
                    <w:textAlignment w:val="auto"/>
                    <w:rPr>
                      <w:sz w:val="21"/>
                      <w:szCs w:val="21"/>
                    </w:rPr>
                  </w:pPr>
                  <w:r>
                    <w:rPr>
                      <w:sz w:val="21"/>
                      <w:szCs w:val="21"/>
                    </w:rPr>
                    <w:t>层数</w:t>
                  </w:r>
                </w:p>
              </w:tc>
              <w:tc>
                <w:tcPr>
                  <w:tcW w:w="1348" w:type="pct"/>
                  <w:vAlign w:val="center"/>
                </w:tcPr>
                <w:p>
                  <w:pPr>
                    <w:keepNext w:val="0"/>
                    <w:keepLines w:val="0"/>
                    <w:pageBreakBefore w:val="0"/>
                    <w:kinsoku/>
                    <w:wordWrap/>
                    <w:overflowPunct/>
                    <w:topLinePunct w:val="0"/>
                    <w:autoSpaceDE/>
                    <w:autoSpaceDN/>
                    <w:bidi w:val="0"/>
                    <w:adjustRightInd/>
                    <w:snapToGrid/>
                    <w:jc w:val="center"/>
                    <w:textAlignment w:val="auto"/>
                    <w:rPr>
                      <w:sz w:val="21"/>
                      <w:szCs w:val="21"/>
                    </w:rPr>
                  </w:pPr>
                  <w:r>
                    <w:rPr>
                      <w:sz w:val="21"/>
                      <w:szCs w:val="21"/>
                    </w:rPr>
                    <w:t>建筑面积m</w:t>
                  </w:r>
                  <w:r>
                    <w:rPr>
                      <w:sz w:val="21"/>
                      <w:szCs w:val="21"/>
                      <w:vertAlign w:val="superscript"/>
                    </w:rPr>
                    <w:t>2</w:t>
                  </w:r>
                </w:p>
              </w:tc>
              <w:tc>
                <w:tcPr>
                  <w:tcW w:w="1085" w:type="pct"/>
                  <w:vAlign w:val="center"/>
                </w:tcPr>
                <w:p>
                  <w:pPr>
                    <w:keepNext w:val="0"/>
                    <w:keepLines w:val="0"/>
                    <w:pageBreakBefore w:val="0"/>
                    <w:kinsoku/>
                    <w:wordWrap/>
                    <w:overflowPunct/>
                    <w:topLinePunct w:val="0"/>
                    <w:autoSpaceDE/>
                    <w:autoSpaceDN/>
                    <w:bidi w:val="0"/>
                    <w:adjustRightInd/>
                    <w:snapToGrid/>
                    <w:jc w:val="center"/>
                    <w:textAlignment w:val="auto"/>
                    <w:rPr>
                      <w:rFonts w:hint="eastAsia" w:eastAsia="宋体"/>
                      <w:sz w:val="21"/>
                      <w:szCs w:val="21"/>
                      <w:lang w:eastAsia="zh-CN"/>
                    </w:rPr>
                  </w:pPr>
                  <w:r>
                    <w:rPr>
                      <w:rFonts w:hint="eastAsia"/>
                      <w:sz w:val="21"/>
                      <w:szCs w:val="21"/>
                      <w:lang w:eastAsia="zh-CN"/>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8" w:type="pct"/>
                  <w:vAlign w:val="center"/>
                </w:tcPr>
                <w:p>
                  <w:pPr>
                    <w:keepNext w:val="0"/>
                    <w:keepLines w:val="0"/>
                    <w:pageBreakBefore w:val="0"/>
                    <w:kinsoku/>
                    <w:wordWrap/>
                    <w:overflowPunct/>
                    <w:topLinePunct w:val="0"/>
                    <w:autoSpaceDE/>
                    <w:autoSpaceDN/>
                    <w:bidi w:val="0"/>
                    <w:adjustRightInd/>
                    <w:snapToGrid/>
                    <w:jc w:val="center"/>
                    <w:textAlignment w:val="auto"/>
                    <w:rPr>
                      <w:rFonts w:hint="eastAsia" w:eastAsia="宋体"/>
                      <w:sz w:val="21"/>
                      <w:szCs w:val="21"/>
                      <w:lang w:eastAsia="zh-CN"/>
                    </w:rPr>
                  </w:pPr>
                  <w:r>
                    <w:rPr>
                      <w:rFonts w:hint="eastAsia"/>
                      <w:sz w:val="21"/>
                      <w:szCs w:val="21"/>
                      <w:lang w:eastAsia="zh-CN"/>
                    </w:rPr>
                    <w:t>主体工程</w:t>
                  </w:r>
                </w:p>
              </w:tc>
              <w:tc>
                <w:tcPr>
                  <w:tcW w:w="764"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eastAsia"/>
                      <w:sz w:val="21"/>
                      <w:szCs w:val="21"/>
                      <w:lang w:eastAsia="zh-CN"/>
                    </w:rPr>
                  </w:pPr>
                  <w:r>
                    <w:rPr>
                      <w:rFonts w:hint="eastAsia"/>
                      <w:sz w:val="21"/>
                      <w:szCs w:val="21"/>
                      <w:lang w:eastAsia="zh-CN"/>
                    </w:rPr>
                    <w:t>生产车间</w:t>
                  </w:r>
                </w:p>
              </w:tc>
              <w:tc>
                <w:tcPr>
                  <w:tcW w:w="613" w:type="pct"/>
                  <w:vAlign w:val="center"/>
                </w:tcPr>
                <w:p>
                  <w:pPr>
                    <w:keepNext w:val="0"/>
                    <w:keepLines w:val="0"/>
                    <w:pageBreakBefore w:val="0"/>
                    <w:kinsoku/>
                    <w:wordWrap/>
                    <w:overflowPunct/>
                    <w:topLinePunct w:val="0"/>
                    <w:autoSpaceDE/>
                    <w:autoSpaceDN/>
                    <w:bidi w:val="0"/>
                    <w:adjustRightInd/>
                    <w:snapToGrid/>
                    <w:jc w:val="center"/>
                    <w:textAlignment w:val="auto"/>
                    <w:rPr>
                      <w:rFonts w:hint="eastAsia"/>
                      <w:sz w:val="21"/>
                      <w:szCs w:val="21"/>
                      <w:lang w:eastAsia="zh-CN"/>
                    </w:rPr>
                  </w:pPr>
                  <w:r>
                    <w:rPr>
                      <w:sz w:val="21"/>
                      <w:szCs w:val="21"/>
                    </w:rPr>
                    <w:t>1</w:t>
                  </w:r>
                </w:p>
              </w:tc>
              <w:tc>
                <w:tcPr>
                  <w:tcW w:w="1348"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sz w:val="21"/>
                      <w:szCs w:val="21"/>
                      <w:lang w:val="en-US" w:eastAsia="zh-CN"/>
                    </w:rPr>
                  </w:pPr>
                  <w:r>
                    <w:rPr>
                      <w:rFonts w:hint="eastAsia"/>
                      <w:sz w:val="21"/>
                      <w:szCs w:val="21"/>
                      <w:lang w:val="en-US" w:eastAsia="zh-CN"/>
                    </w:rPr>
                    <w:t>400</w:t>
                  </w:r>
                </w:p>
              </w:tc>
              <w:tc>
                <w:tcPr>
                  <w:tcW w:w="1085"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eastAsia"/>
                      <w:sz w:val="21"/>
                      <w:szCs w:val="21"/>
                      <w:lang w:eastAsia="zh-CN"/>
                    </w:rPr>
                  </w:pPr>
                  <w:r>
                    <w:rPr>
                      <w:rFonts w:hint="eastAsia"/>
                      <w:sz w:val="21"/>
                      <w:szCs w:val="21"/>
                      <w:lang w:val="zh-CN" w:eastAsia="zh-CN"/>
                    </w:rPr>
                    <w:t>租用已建厂房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8" w:type="pct"/>
                  <w:vAlign w:val="center"/>
                </w:tcPr>
                <w:p>
                  <w:pPr>
                    <w:keepNext w:val="0"/>
                    <w:keepLines w:val="0"/>
                    <w:pageBreakBefore w:val="0"/>
                    <w:kinsoku/>
                    <w:wordWrap/>
                    <w:overflowPunct/>
                    <w:topLinePunct w:val="0"/>
                    <w:autoSpaceDE/>
                    <w:autoSpaceDN/>
                    <w:bidi w:val="0"/>
                    <w:adjustRightInd/>
                    <w:snapToGrid/>
                    <w:jc w:val="center"/>
                    <w:textAlignment w:val="auto"/>
                    <w:rPr>
                      <w:sz w:val="21"/>
                      <w:szCs w:val="21"/>
                    </w:rPr>
                  </w:pPr>
                  <w:r>
                    <w:rPr>
                      <w:sz w:val="21"/>
                      <w:szCs w:val="21"/>
                    </w:rPr>
                    <w:t>辅助工程</w:t>
                  </w:r>
                </w:p>
              </w:tc>
              <w:tc>
                <w:tcPr>
                  <w:tcW w:w="764" w:type="pct"/>
                  <w:shd w:val="clear" w:color="auto" w:fill="auto"/>
                  <w:vAlign w:val="center"/>
                </w:tcPr>
                <w:p>
                  <w:pPr>
                    <w:keepNext w:val="0"/>
                    <w:keepLines w:val="0"/>
                    <w:pageBreakBefore w:val="0"/>
                    <w:widowControl/>
                    <w:kinsoku/>
                    <w:wordWrap/>
                    <w:overflowPunct/>
                    <w:topLinePunct w:val="0"/>
                    <w:autoSpaceDE/>
                    <w:autoSpaceDN/>
                    <w:bidi w:val="0"/>
                    <w:adjustRightInd/>
                    <w:snapToGrid/>
                    <w:jc w:val="center"/>
                    <w:textAlignment w:val="auto"/>
                    <w:rPr>
                      <w:sz w:val="21"/>
                      <w:szCs w:val="21"/>
                    </w:rPr>
                  </w:pPr>
                  <w:r>
                    <w:rPr>
                      <w:sz w:val="21"/>
                      <w:szCs w:val="21"/>
                    </w:rPr>
                    <w:t>办公用房</w:t>
                  </w:r>
                </w:p>
              </w:tc>
              <w:tc>
                <w:tcPr>
                  <w:tcW w:w="613" w:type="pct"/>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sz w:val="21"/>
                      <w:szCs w:val="21"/>
                      <w:lang w:val="en-US"/>
                    </w:rPr>
                  </w:pPr>
                  <w:r>
                    <w:rPr>
                      <w:rFonts w:hint="eastAsia"/>
                      <w:sz w:val="21"/>
                      <w:szCs w:val="21"/>
                      <w:lang w:val="en-US" w:eastAsia="zh-CN"/>
                    </w:rPr>
                    <w:t>2</w:t>
                  </w:r>
                </w:p>
              </w:tc>
              <w:tc>
                <w:tcPr>
                  <w:tcW w:w="1348" w:type="pct"/>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sz w:val="21"/>
                      <w:szCs w:val="21"/>
                      <w:lang w:val="en-US" w:eastAsia="zh-CN"/>
                    </w:rPr>
                  </w:pPr>
                  <w:r>
                    <w:rPr>
                      <w:rFonts w:hint="eastAsia"/>
                      <w:sz w:val="21"/>
                      <w:szCs w:val="21"/>
                      <w:lang w:val="en-US" w:eastAsia="zh-CN"/>
                    </w:rPr>
                    <w:t>每层200，共400</w:t>
                  </w:r>
                </w:p>
              </w:tc>
              <w:tc>
                <w:tcPr>
                  <w:tcW w:w="1085" w:type="pct"/>
                  <w:shd w:val="clear" w:color="auto" w:fill="auto"/>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sz w:val="21"/>
                      <w:szCs w:val="21"/>
                      <w:lang w:val="en-US"/>
                    </w:rPr>
                  </w:pPr>
                  <w:r>
                    <w:rPr>
                      <w:rFonts w:hint="eastAsia"/>
                      <w:sz w:val="21"/>
                      <w:szCs w:val="21"/>
                      <w:lang w:val="zh-CN" w:eastAsia="zh-CN"/>
                    </w:rPr>
                    <w:t>租用已建办公用房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8" w:type="pct"/>
                  <w:vMerge w:val="restart"/>
                  <w:vAlign w:val="center"/>
                </w:tcPr>
                <w:p>
                  <w:pPr>
                    <w:keepNext w:val="0"/>
                    <w:keepLines w:val="0"/>
                    <w:pageBreakBefore w:val="0"/>
                    <w:kinsoku/>
                    <w:wordWrap/>
                    <w:overflowPunct/>
                    <w:topLinePunct w:val="0"/>
                    <w:autoSpaceDE/>
                    <w:autoSpaceDN/>
                    <w:bidi w:val="0"/>
                    <w:adjustRightInd/>
                    <w:snapToGrid/>
                    <w:jc w:val="center"/>
                    <w:textAlignment w:val="auto"/>
                    <w:rPr>
                      <w:sz w:val="21"/>
                      <w:szCs w:val="21"/>
                    </w:rPr>
                  </w:pPr>
                  <w:r>
                    <w:rPr>
                      <w:sz w:val="21"/>
                      <w:szCs w:val="21"/>
                    </w:rPr>
                    <w:t>储运工程</w:t>
                  </w:r>
                </w:p>
              </w:tc>
              <w:tc>
                <w:tcPr>
                  <w:tcW w:w="764" w:type="pct"/>
                  <w:shd w:val="clear" w:color="auto" w:fill="auto"/>
                  <w:vAlign w:val="center"/>
                </w:tcPr>
                <w:p>
                  <w:pPr>
                    <w:keepNext w:val="0"/>
                    <w:keepLines w:val="0"/>
                    <w:pageBreakBefore w:val="0"/>
                    <w:widowControl/>
                    <w:kinsoku/>
                    <w:wordWrap/>
                    <w:overflowPunct/>
                    <w:topLinePunct w:val="0"/>
                    <w:autoSpaceDE/>
                    <w:autoSpaceDN/>
                    <w:bidi w:val="0"/>
                    <w:adjustRightInd/>
                    <w:snapToGrid/>
                    <w:jc w:val="center"/>
                    <w:textAlignment w:val="auto"/>
                    <w:rPr>
                      <w:sz w:val="21"/>
                      <w:szCs w:val="21"/>
                    </w:rPr>
                  </w:pPr>
                  <w:r>
                    <w:rPr>
                      <w:rFonts w:hint="eastAsia"/>
                      <w:sz w:val="21"/>
                      <w:szCs w:val="21"/>
                      <w:lang w:eastAsia="zh-CN"/>
                    </w:rPr>
                    <w:t>原料</w:t>
                  </w:r>
                  <w:r>
                    <w:rPr>
                      <w:sz w:val="21"/>
                      <w:szCs w:val="21"/>
                    </w:rPr>
                    <w:t>仓库</w:t>
                  </w:r>
                </w:p>
              </w:tc>
              <w:tc>
                <w:tcPr>
                  <w:tcW w:w="613" w:type="pct"/>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sz w:val="21"/>
                      <w:szCs w:val="21"/>
                      <w:lang w:val="en-US" w:eastAsia="zh-CN"/>
                    </w:rPr>
                  </w:pPr>
                  <w:r>
                    <w:rPr>
                      <w:rFonts w:hint="eastAsia"/>
                      <w:sz w:val="21"/>
                      <w:szCs w:val="21"/>
                      <w:lang w:val="en-US" w:eastAsia="zh-CN"/>
                    </w:rPr>
                    <w:t>1</w:t>
                  </w:r>
                </w:p>
              </w:tc>
              <w:tc>
                <w:tcPr>
                  <w:tcW w:w="1348" w:type="pct"/>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sz w:val="21"/>
                      <w:szCs w:val="21"/>
                      <w:lang w:val="en-US" w:eastAsia="zh-CN"/>
                    </w:rPr>
                  </w:pPr>
                  <w:r>
                    <w:rPr>
                      <w:rFonts w:hint="eastAsia"/>
                      <w:sz w:val="21"/>
                      <w:szCs w:val="21"/>
                      <w:lang w:val="en-US" w:eastAsia="zh-CN"/>
                    </w:rPr>
                    <w:t>400</w:t>
                  </w:r>
                </w:p>
              </w:tc>
              <w:tc>
                <w:tcPr>
                  <w:tcW w:w="1085" w:type="pct"/>
                  <w:shd w:val="clear" w:color="auto" w:fill="auto"/>
                  <w:vAlign w:val="center"/>
                </w:tcPr>
                <w:p>
                  <w:pPr>
                    <w:keepNext w:val="0"/>
                    <w:keepLines w:val="0"/>
                    <w:pageBreakBefore w:val="0"/>
                    <w:widowControl/>
                    <w:kinsoku/>
                    <w:wordWrap/>
                    <w:overflowPunct/>
                    <w:topLinePunct w:val="0"/>
                    <w:autoSpaceDE/>
                    <w:autoSpaceDN/>
                    <w:bidi w:val="0"/>
                    <w:adjustRightInd/>
                    <w:snapToGrid/>
                    <w:jc w:val="center"/>
                    <w:textAlignment w:val="auto"/>
                    <w:rPr>
                      <w:sz w:val="21"/>
                      <w:szCs w:val="21"/>
                    </w:rPr>
                  </w:pPr>
                  <w:r>
                    <w:rPr>
                      <w:rFonts w:hint="eastAsia"/>
                      <w:sz w:val="21"/>
                      <w:szCs w:val="21"/>
                      <w:lang w:val="zh-CN" w:eastAsia="zh-CN"/>
                    </w:rPr>
                    <w:t>租用已建仓库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8" w:type="pct"/>
                  <w:vMerge w:val="continue"/>
                  <w:vAlign w:val="center"/>
                </w:tcPr>
                <w:p>
                  <w:pPr>
                    <w:keepNext w:val="0"/>
                    <w:keepLines w:val="0"/>
                    <w:pageBreakBefore w:val="0"/>
                    <w:kinsoku/>
                    <w:wordWrap/>
                    <w:overflowPunct/>
                    <w:topLinePunct w:val="0"/>
                    <w:autoSpaceDE/>
                    <w:autoSpaceDN/>
                    <w:bidi w:val="0"/>
                    <w:adjustRightInd/>
                    <w:snapToGrid/>
                    <w:jc w:val="center"/>
                    <w:textAlignment w:val="auto"/>
                    <w:rPr>
                      <w:sz w:val="21"/>
                      <w:szCs w:val="21"/>
                    </w:rPr>
                  </w:pPr>
                </w:p>
              </w:tc>
              <w:tc>
                <w:tcPr>
                  <w:tcW w:w="764" w:type="pct"/>
                  <w:shd w:val="clear" w:color="auto" w:fill="auto"/>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eastAsia" w:eastAsia="宋体"/>
                      <w:sz w:val="21"/>
                      <w:szCs w:val="21"/>
                      <w:lang w:eastAsia="zh-CN"/>
                    </w:rPr>
                  </w:pPr>
                  <w:r>
                    <w:rPr>
                      <w:rFonts w:hint="eastAsia"/>
                      <w:sz w:val="21"/>
                      <w:szCs w:val="21"/>
                      <w:lang w:eastAsia="zh-CN"/>
                    </w:rPr>
                    <w:t>半成品仓库</w:t>
                  </w:r>
                </w:p>
              </w:tc>
              <w:tc>
                <w:tcPr>
                  <w:tcW w:w="613" w:type="pct"/>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sz w:val="21"/>
                      <w:szCs w:val="21"/>
                      <w:lang w:val="en-US" w:eastAsia="zh-CN"/>
                    </w:rPr>
                  </w:pPr>
                  <w:r>
                    <w:rPr>
                      <w:rFonts w:hint="eastAsia"/>
                      <w:sz w:val="21"/>
                      <w:szCs w:val="21"/>
                      <w:lang w:val="en-US" w:eastAsia="zh-CN"/>
                    </w:rPr>
                    <w:t>1</w:t>
                  </w:r>
                </w:p>
              </w:tc>
              <w:tc>
                <w:tcPr>
                  <w:tcW w:w="1348" w:type="pct"/>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sz w:val="21"/>
                      <w:szCs w:val="21"/>
                      <w:lang w:val="en-US" w:eastAsia="zh-CN"/>
                    </w:rPr>
                  </w:pPr>
                  <w:r>
                    <w:rPr>
                      <w:rFonts w:hint="eastAsia"/>
                      <w:sz w:val="21"/>
                      <w:szCs w:val="21"/>
                      <w:lang w:val="en-US" w:eastAsia="zh-CN"/>
                    </w:rPr>
                    <w:t>100</w:t>
                  </w:r>
                </w:p>
              </w:tc>
              <w:tc>
                <w:tcPr>
                  <w:tcW w:w="1085" w:type="pct"/>
                  <w:shd w:val="clear" w:color="auto" w:fill="auto"/>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eastAsia"/>
                      <w:sz w:val="21"/>
                      <w:szCs w:val="21"/>
                      <w:lang w:eastAsia="zh-CN"/>
                    </w:rPr>
                  </w:pPr>
                  <w:r>
                    <w:rPr>
                      <w:rFonts w:hint="eastAsia"/>
                      <w:sz w:val="21"/>
                      <w:szCs w:val="21"/>
                      <w:lang w:val="zh-CN" w:eastAsia="zh-CN"/>
                    </w:rPr>
                    <w:t>租用已建仓库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8" w:type="pct"/>
                  <w:vMerge w:val="continue"/>
                  <w:vAlign w:val="center"/>
                </w:tcPr>
                <w:p>
                  <w:pPr>
                    <w:keepNext w:val="0"/>
                    <w:keepLines w:val="0"/>
                    <w:pageBreakBefore w:val="0"/>
                    <w:kinsoku/>
                    <w:wordWrap/>
                    <w:overflowPunct/>
                    <w:topLinePunct w:val="0"/>
                    <w:autoSpaceDE/>
                    <w:autoSpaceDN/>
                    <w:bidi w:val="0"/>
                    <w:adjustRightInd/>
                    <w:snapToGrid/>
                    <w:jc w:val="center"/>
                    <w:textAlignment w:val="auto"/>
                    <w:rPr>
                      <w:sz w:val="21"/>
                      <w:szCs w:val="21"/>
                    </w:rPr>
                  </w:pPr>
                </w:p>
              </w:tc>
              <w:tc>
                <w:tcPr>
                  <w:tcW w:w="764" w:type="pct"/>
                  <w:shd w:val="clear" w:color="auto" w:fill="auto"/>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eastAsia" w:eastAsia="宋体"/>
                      <w:sz w:val="21"/>
                      <w:szCs w:val="21"/>
                      <w:lang w:eastAsia="zh-CN"/>
                    </w:rPr>
                  </w:pPr>
                  <w:r>
                    <w:rPr>
                      <w:rFonts w:hint="eastAsia"/>
                      <w:sz w:val="21"/>
                      <w:szCs w:val="21"/>
                      <w:lang w:eastAsia="zh-CN"/>
                    </w:rPr>
                    <w:t>成品仓库</w:t>
                  </w:r>
                </w:p>
              </w:tc>
              <w:tc>
                <w:tcPr>
                  <w:tcW w:w="613" w:type="pct"/>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sz w:val="21"/>
                      <w:szCs w:val="21"/>
                      <w:lang w:val="en-US" w:eastAsia="zh-CN"/>
                    </w:rPr>
                  </w:pPr>
                  <w:r>
                    <w:rPr>
                      <w:rFonts w:hint="eastAsia"/>
                      <w:sz w:val="21"/>
                      <w:szCs w:val="21"/>
                      <w:lang w:val="en-US" w:eastAsia="zh-CN"/>
                    </w:rPr>
                    <w:t>1</w:t>
                  </w:r>
                </w:p>
              </w:tc>
              <w:tc>
                <w:tcPr>
                  <w:tcW w:w="1348" w:type="pct"/>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eastAsia"/>
                      <w:sz w:val="21"/>
                      <w:szCs w:val="21"/>
                      <w:lang w:val="en-US" w:eastAsia="zh-CN"/>
                    </w:rPr>
                  </w:pPr>
                  <w:r>
                    <w:rPr>
                      <w:rFonts w:hint="eastAsia"/>
                      <w:sz w:val="21"/>
                      <w:szCs w:val="21"/>
                      <w:lang w:val="en-US" w:eastAsia="zh-CN"/>
                    </w:rPr>
                    <w:t>400</w:t>
                  </w:r>
                </w:p>
              </w:tc>
              <w:tc>
                <w:tcPr>
                  <w:tcW w:w="1085" w:type="pct"/>
                  <w:shd w:val="clear" w:color="auto" w:fill="auto"/>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eastAsia"/>
                      <w:sz w:val="21"/>
                      <w:szCs w:val="21"/>
                      <w:lang w:eastAsia="zh-CN"/>
                    </w:rPr>
                  </w:pPr>
                  <w:r>
                    <w:rPr>
                      <w:rFonts w:hint="eastAsia"/>
                      <w:sz w:val="21"/>
                      <w:szCs w:val="21"/>
                      <w:lang w:val="zh-CN" w:eastAsia="zh-CN"/>
                    </w:rPr>
                    <w:t>租用已建仓库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8" w:type="pct"/>
                  <w:vMerge w:val="continue"/>
                  <w:vAlign w:val="center"/>
                </w:tcPr>
                <w:p>
                  <w:pPr>
                    <w:keepNext w:val="0"/>
                    <w:keepLines w:val="0"/>
                    <w:pageBreakBefore w:val="0"/>
                    <w:kinsoku/>
                    <w:wordWrap/>
                    <w:overflowPunct/>
                    <w:topLinePunct w:val="0"/>
                    <w:autoSpaceDE/>
                    <w:autoSpaceDN/>
                    <w:bidi w:val="0"/>
                    <w:adjustRightInd/>
                    <w:snapToGrid/>
                    <w:jc w:val="center"/>
                    <w:textAlignment w:val="auto"/>
                    <w:rPr>
                      <w:sz w:val="21"/>
                      <w:szCs w:val="21"/>
                    </w:rPr>
                  </w:pPr>
                </w:p>
              </w:tc>
              <w:tc>
                <w:tcPr>
                  <w:tcW w:w="764" w:type="pct"/>
                  <w:shd w:val="clear" w:color="auto" w:fill="auto"/>
                  <w:vAlign w:val="center"/>
                </w:tcPr>
                <w:p>
                  <w:pPr>
                    <w:keepNext w:val="0"/>
                    <w:keepLines w:val="0"/>
                    <w:pageBreakBefore w:val="0"/>
                    <w:widowControl/>
                    <w:kinsoku/>
                    <w:wordWrap/>
                    <w:overflowPunct/>
                    <w:topLinePunct w:val="0"/>
                    <w:autoSpaceDE/>
                    <w:autoSpaceDN/>
                    <w:bidi w:val="0"/>
                    <w:adjustRightInd/>
                    <w:snapToGrid/>
                    <w:jc w:val="center"/>
                    <w:textAlignment w:val="auto"/>
                    <w:rPr>
                      <w:sz w:val="21"/>
                      <w:szCs w:val="21"/>
                    </w:rPr>
                  </w:pPr>
                  <w:r>
                    <w:rPr>
                      <w:sz w:val="21"/>
                      <w:szCs w:val="21"/>
                    </w:rPr>
                    <w:t>危废间</w:t>
                  </w:r>
                </w:p>
              </w:tc>
              <w:tc>
                <w:tcPr>
                  <w:tcW w:w="1961" w:type="pct"/>
                  <w:gridSpan w:val="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sz w:val="21"/>
                      <w:szCs w:val="21"/>
                      <w:lang w:val="en-US" w:eastAsia="zh-CN"/>
                    </w:rPr>
                  </w:pPr>
                  <w:r>
                    <w:rPr>
                      <w:rFonts w:hint="eastAsia"/>
                      <w:sz w:val="21"/>
                      <w:szCs w:val="21"/>
                      <w:lang w:val="en-US" w:eastAsia="zh-CN"/>
                    </w:rPr>
                    <w:t>10</w:t>
                  </w:r>
                </w:p>
              </w:tc>
              <w:tc>
                <w:tcPr>
                  <w:tcW w:w="1085" w:type="pct"/>
                  <w:shd w:val="clear" w:color="auto" w:fill="auto"/>
                  <w:vAlign w:val="center"/>
                </w:tcPr>
                <w:p>
                  <w:pPr>
                    <w:keepNext w:val="0"/>
                    <w:keepLines w:val="0"/>
                    <w:pageBreakBefore w:val="0"/>
                    <w:widowControl/>
                    <w:kinsoku/>
                    <w:wordWrap/>
                    <w:overflowPunct/>
                    <w:topLinePunct w:val="0"/>
                    <w:autoSpaceDE/>
                    <w:autoSpaceDN/>
                    <w:bidi w:val="0"/>
                    <w:adjustRightInd/>
                    <w:snapToGrid/>
                    <w:jc w:val="center"/>
                    <w:textAlignment w:val="auto"/>
                    <w:rPr>
                      <w:sz w:val="21"/>
                      <w:szCs w:val="21"/>
                    </w:rPr>
                  </w:pPr>
                  <w:r>
                    <w:rPr>
                      <w:rFonts w:hint="eastAsia"/>
                      <w:sz w:val="21"/>
                      <w:szCs w:val="21"/>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8" w:type="pct"/>
                  <w:vMerge w:val="continue"/>
                  <w:vAlign w:val="center"/>
                </w:tcPr>
                <w:p>
                  <w:pPr>
                    <w:keepNext w:val="0"/>
                    <w:keepLines w:val="0"/>
                    <w:pageBreakBefore w:val="0"/>
                    <w:kinsoku/>
                    <w:wordWrap/>
                    <w:overflowPunct/>
                    <w:topLinePunct w:val="0"/>
                    <w:autoSpaceDE/>
                    <w:autoSpaceDN/>
                    <w:bidi w:val="0"/>
                    <w:adjustRightInd/>
                    <w:snapToGrid/>
                    <w:jc w:val="center"/>
                    <w:textAlignment w:val="auto"/>
                    <w:rPr>
                      <w:sz w:val="21"/>
                      <w:szCs w:val="21"/>
                    </w:rPr>
                  </w:pPr>
                </w:p>
              </w:tc>
              <w:tc>
                <w:tcPr>
                  <w:tcW w:w="764" w:type="pct"/>
                  <w:shd w:val="clear" w:color="auto" w:fill="auto"/>
                  <w:vAlign w:val="center"/>
                </w:tcPr>
                <w:p>
                  <w:pPr>
                    <w:keepNext w:val="0"/>
                    <w:keepLines w:val="0"/>
                    <w:pageBreakBefore w:val="0"/>
                    <w:widowControl/>
                    <w:kinsoku/>
                    <w:wordWrap/>
                    <w:overflowPunct/>
                    <w:topLinePunct w:val="0"/>
                    <w:autoSpaceDE/>
                    <w:autoSpaceDN/>
                    <w:bidi w:val="0"/>
                    <w:adjustRightInd/>
                    <w:snapToGrid/>
                    <w:jc w:val="center"/>
                    <w:textAlignment w:val="auto"/>
                    <w:rPr>
                      <w:sz w:val="21"/>
                      <w:szCs w:val="21"/>
                    </w:rPr>
                  </w:pPr>
                  <w:r>
                    <w:rPr>
                      <w:sz w:val="21"/>
                      <w:szCs w:val="21"/>
                    </w:rPr>
                    <w:t>固废间</w:t>
                  </w:r>
                </w:p>
              </w:tc>
              <w:tc>
                <w:tcPr>
                  <w:tcW w:w="1961" w:type="pct"/>
                  <w:gridSpan w:val="2"/>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default"/>
                      <w:sz w:val="21"/>
                      <w:szCs w:val="21"/>
                      <w:lang w:val="en-US" w:eastAsia="zh-CN"/>
                    </w:rPr>
                  </w:pPr>
                  <w:r>
                    <w:rPr>
                      <w:rFonts w:hint="eastAsia"/>
                      <w:sz w:val="21"/>
                      <w:szCs w:val="21"/>
                      <w:lang w:val="en-US" w:eastAsia="zh-CN"/>
                    </w:rPr>
                    <w:t>10</w:t>
                  </w:r>
                </w:p>
              </w:tc>
              <w:tc>
                <w:tcPr>
                  <w:tcW w:w="1085" w:type="pct"/>
                  <w:shd w:val="clear" w:color="auto" w:fill="auto"/>
                  <w:vAlign w:val="center"/>
                </w:tcPr>
                <w:p>
                  <w:pPr>
                    <w:keepNext w:val="0"/>
                    <w:keepLines w:val="0"/>
                    <w:pageBreakBefore w:val="0"/>
                    <w:widowControl/>
                    <w:kinsoku/>
                    <w:wordWrap/>
                    <w:overflowPunct/>
                    <w:topLinePunct w:val="0"/>
                    <w:autoSpaceDE/>
                    <w:autoSpaceDN/>
                    <w:bidi w:val="0"/>
                    <w:adjustRightInd/>
                    <w:snapToGrid/>
                    <w:jc w:val="center"/>
                    <w:textAlignment w:val="auto"/>
                    <w:rPr>
                      <w:sz w:val="21"/>
                      <w:szCs w:val="21"/>
                    </w:rPr>
                  </w:pPr>
                  <w:r>
                    <w:rPr>
                      <w:rFonts w:hint="eastAsia"/>
                      <w:sz w:val="21"/>
                      <w:szCs w:val="21"/>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88" w:type="pct"/>
                  <w:vMerge w:val="restart"/>
                  <w:vAlign w:val="center"/>
                </w:tcPr>
                <w:p>
                  <w:pPr>
                    <w:keepNext w:val="0"/>
                    <w:keepLines w:val="0"/>
                    <w:pageBreakBefore w:val="0"/>
                    <w:kinsoku/>
                    <w:wordWrap/>
                    <w:overflowPunct/>
                    <w:topLinePunct w:val="0"/>
                    <w:autoSpaceDE/>
                    <w:autoSpaceDN/>
                    <w:bidi w:val="0"/>
                    <w:adjustRightInd/>
                    <w:snapToGrid/>
                    <w:jc w:val="center"/>
                    <w:textAlignment w:val="auto"/>
                    <w:rPr>
                      <w:sz w:val="21"/>
                      <w:szCs w:val="21"/>
                    </w:rPr>
                  </w:pPr>
                  <w:r>
                    <w:rPr>
                      <w:sz w:val="21"/>
                      <w:szCs w:val="21"/>
                    </w:rPr>
                    <w:t>公用工程</w:t>
                  </w:r>
                </w:p>
              </w:tc>
              <w:tc>
                <w:tcPr>
                  <w:tcW w:w="764" w:type="pct"/>
                  <w:shd w:val="clear" w:color="auto" w:fill="auto"/>
                  <w:vAlign w:val="center"/>
                </w:tcPr>
                <w:p>
                  <w:pPr>
                    <w:keepNext w:val="0"/>
                    <w:keepLines w:val="0"/>
                    <w:pageBreakBefore w:val="0"/>
                    <w:widowControl/>
                    <w:kinsoku/>
                    <w:wordWrap/>
                    <w:overflowPunct/>
                    <w:topLinePunct w:val="0"/>
                    <w:autoSpaceDE/>
                    <w:autoSpaceDN/>
                    <w:bidi w:val="0"/>
                    <w:adjustRightInd/>
                    <w:snapToGrid/>
                    <w:jc w:val="center"/>
                    <w:textAlignment w:val="auto"/>
                    <w:rPr>
                      <w:sz w:val="21"/>
                      <w:szCs w:val="21"/>
                    </w:rPr>
                  </w:pPr>
                  <w:r>
                    <w:rPr>
                      <w:rFonts w:hint="eastAsia"/>
                      <w:sz w:val="21"/>
                      <w:szCs w:val="21"/>
                    </w:rPr>
                    <w:t>供水</w:t>
                  </w:r>
                </w:p>
              </w:tc>
              <w:tc>
                <w:tcPr>
                  <w:tcW w:w="1961" w:type="pct"/>
                  <w:gridSpan w:val="2"/>
                  <w:vAlign w:val="center"/>
                </w:tcPr>
                <w:p>
                  <w:pPr>
                    <w:keepNext w:val="0"/>
                    <w:keepLines w:val="0"/>
                    <w:pageBreakBefore w:val="0"/>
                    <w:widowControl/>
                    <w:kinsoku/>
                    <w:wordWrap/>
                    <w:overflowPunct/>
                    <w:topLinePunct w:val="0"/>
                    <w:autoSpaceDE/>
                    <w:autoSpaceDN/>
                    <w:bidi w:val="0"/>
                    <w:adjustRightInd/>
                    <w:snapToGrid/>
                    <w:jc w:val="center"/>
                    <w:textAlignment w:val="auto"/>
                    <w:rPr>
                      <w:sz w:val="21"/>
                      <w:szCs w:val="21"/>
                    </w:rPr>
                  </w:pPr>
                  <w:r>
                    <w:rPr>
                      <w:rFonts w:hint="eastAsia"/>
                      <w:sz w:val="21"/>
                      <w:szCs w:val="21"/>
                      <w:lang w:val="en-US" w:eastAsia="zh-CN"/>
                    </w:rPr>
                    <w:t>240</w:t>
                  </w:r>
                  <w:r>
                    <w:rPr>
                      <w:rFonts w:hint="eastAsia"/>
                      <w:sz w:val="21"/>
                      <w:szCs w:val="21"/>
                    </w:rPr>
                    <w:t>t</w:t>
                  </w:r>
                </w:p>
              </w:tc>
              <w:tc>
                <w:tcPr>
                  <w:tcW w:w="1085" w:type="pct"/>
                  <w:shd w:val="clear" w:color="auto" w:fill="auto"/>
                  <w:vAlign w:val="center"/>
                </w:tcPr>
                <w:p>
                  <w:pPr>
                    <w:keepNext w:val="0"/>
                    <w:keepLines w:val="0"/>
                    <w:pageBreakBefore w:val="0"/>
                    <w:widowControl/>
                    <w:kinsoku/>
                    <w:wordWrap/>
                    <w:overflowPunct/>
                    <w:topLinePunct w:val="0"/>
                    <w:autoSpaceDE/>
                    <w:autoSpaceDN/>
                    <w:bidi w:val="0"/>
                    <w:adjustRightInd/>
                    <w:snapToGrid/>
                    <w:jc w:val="center"/>
                    <w:textAlignment w:val="auto"/>
                    <w:rPr>
                      <w:sz w:val="21"/>
                      <w:szCs w:val="21"/>
                    </w:rPr>
                  </w:pPr>
                  <w:r>
                    <w:rPr>
                      <w:rFonts w:hint="eastAsia"/>
                      <w:sz w:val="21"/>
                      <w:szCs w:val="21"/>
                    </w:rPr>
                    <w:t>城市供</w:t>
                  </w:r>
                  <w:r>
                    <w:rPr>
                      <w:rFonts w:hint="eastAsia"/>
                      <w:sz w:val="21"/>
                      <w:szCs w:val="21"/>
                      <w:lang w:eastAsia="zh-CN"/>
                    </w:rPr>
                    <w:t>水管</w:t>
                  </w:r>
                  <w:r>
                    <w:rPr>
                      <w:rFonts w:hint="eastAsia"/>
                      <w:sz w:val="21"/>
                      <w:szCs w:val="21"/>
                    </w:rPr>
                    <w:t>网供给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8" w:type="pct"/>
                  <w:vMerge w:val="continue"/>
                  <w:vAlign w:val="center"/>
                </w:tcPr>
                <w:p>
                  <w:pPr>
                    <w:keepNext w:val="0"/>
                    <w:keepLines w:val="0"/>
                    <w:pageBreakBefore w:val="0"/>
                    <w:kinsoku/>
                    <w:wordWrap/>
                    <w:overflowPunct/>
                    <w:topLinePunct w:val="0"/>
                    <w:autoSpaceDE/>
                    <w:autoSpaceDN/>
                    <w:bidi w:val="0"/>
                    <w:adjustRightInd/>
                    <w:snapToGrid/>
                    <w:jc w:val="center"/>
                    <w:textAlignment w:val="auto"/>
                    <w:rPr>
                      <w:sz w:val="21"/>
                      <w:szCs w:val="21"/>
                    </w:rPr>
                  </w:pPr>
                </w:p>
              </w:tc>
              <w:tc>
                <w:tcPr>
                  <w:tcW w:w="764" w:type="pct"/>
                  <w:shd w:val="clear" w:color="auto" w:fill="auto"/>
                  <w:vAlign w:val="center"/>
                </w:tcPr>
                <w:p>
                  <w:pPr>
                    <w:keepNext w:val="0"/>
                    <w:keepLines w:val="0"/>
                    <w:pageBreakBefore w:val="0"/>
                    <w:widowControl/>
                    <w:kinsoku/>
                    <w:wordWrap/>
                    <w:overflowPunct/>
                    <w:topLinePunct w:val="0"/>
                    <w:autoSpaceDE/>
                    <w:autoSpaceDN/>
                    <w:bidi w:val="0"/>
                    <w:adjustRightInd/>
                    <w:snapToGrid/>
                    <w:jc w:val="center"/>
                    <w:textAlignment w:val="auto"/>
                    <w:rPr>
                      <w:sz w:val="21"/>
                      <w:szCs w:val="21"/>
                    </w:rPr>
                  </w:pPr>
                  <w:r>
                    <w:rPr>
                      <w:sz w:val="21"/>
                      <w:szCs w:val="21"/>
                    </w:rPr>
                    <w:t>排水</w:t>
                  </w:r>
                </w:p>
              </w:tc>
              <w:tc>
                <w:tcPr>
                  <w:tcW w:w="1961" w:type="pct"/>
                  <w:gridSpan w:val="2"/>
                  <w:vAlign w:val="center"/>
                </w:tcPr>
                <w:p>
                  <w:pPr>
                    <w:keepNext w:val="0"/>
                    <w:keepLines w:val="0"/>
                    <w:pageBreakBefore w:val="0"/>
                    <w:widowControl/>
                    <w:kinsoku/>
                    <w:wordWrap/>
                    <w:overflowPunct/>
                    <w:topLinePunct w:val="0"/>
                    <w:autoSpaceDE/>
                    <w:autoSpaceDN/>
                    <w:bidi w:val="0"/>
                    <w:adjustRightInd/>
                    <w:snapToGrid/>
                    <w:jc w:val="center"/>
                    <w:textAlignment w:val="auto"/>
                    <w:rPr>
                      <w:sz w:val="21"/>
                      <w:szCs w:val="21"/>
                    </w:rPr>
                  </w:pPr>
                  <w:r>
                    <w:rPr>
                      <w:sz w:val="21"/>
                      <w:szCs w:val="21"/>
                    </w:rPr>
                    <w:t>0</w:t>
                  </w:r>
                </w:p>
              </w:tc>
              <w:tc>
                <w:tcPr>
                  <w:tcW w:w="1085" w:type="pct"/>
                  <w:shd w:val="clear" w:color="auto" w:fill="auto"/>
                  <w:vAlign w:val="center"/>
                </w:tcPr>
                <w:p>
                  <w:pPr>
                    <w:keepNext w:val="0"/>
                    <w:keepLines w:val="0"/>
                    <w:pageBreakBefore w:val="0"/>
                    <w:widowControl/>
                    <w:kinsoku/>
                    <w:wordWrap/>
                    <w:overflowPunct/>
                    <w:topLinePunct w:val="0"/>
                    <w:autoSpaceDE/>
                    <w:autoSpaceDN/>
                    <w:bidi w:val="0"/>
                    <w:adjustRightInd/>
                    <w:snapToGrid/>
                    <w:jc w:val="center"/>
                    <w:textAlignment w:val="auto"/>
                    <w:rPr>
                      <w:sz w:val="21"/>
                      <w:szCs w:val="21"/>
                    </w:rPr>
                  </w:pPr>
                  <w:r>
                    <w:rPr>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8" w:type="pct"/>
                  <w:vMerge w:val="continue"/>
                  <w:vAlign w:val="center"/>
                </w:tcPr>
                <w:p>
                  <w:pPr>
                    <w:keepNext w:val="0"/>
                    <w:keepLines w:val="0"/>
                    <w:pageBreakBefore w:val="0"/>
                    <w:kinsoku/>
                    <w:wordWrap/>
                    <w:overflowPunct/>
                    <w:topLinePunct w:val="0"/>
                    <w:autoSpaceDE/>
                    <w:autoSpaceDN/>
                    <w:bidi w:val="0"/>
                    <w:adjustRightInd/>
                    <w:snapToGrid/>
                    <w:jc w:val="center"/>
                    <w:textAlignment w:val="auto"/>
                    <w:rPr>
                      <w:sz w:val="21"/>
                      <w:szCs w:val="21"/>
                    </w:rPr>
                  </w:pPr>
                </w:p>
              </w:tc>
              <w:tc>
                <w:tcPr>
                  <w:tcW w:w="764" w:type="pct"/>
                  <w:shd w:val="clear" w:color="auto" w:fill="auto"/>
                  <w:vAlign w:val="center"/>
                </w:tcPr>
                <w:p>
                  <w:pPr>
                    <w:keepNext w:val="0"/>
                    <w:keepLines w:val="0"/>
                    <w:pageBreakBefore w:val="0"/>
                    <w:widowControl/>
                    <w:kinsoku/>
                    <w:wordWrap/>
                    <w:overflowPunct/>
                    <w:topLinePunct w:val="0"/>
                    <w:autoSpaceDE/>
                    <w:autoSpaceDN/>
                    <w:bidi w:val="0"/>
                    <w:adjustRightInd/>
                    <w:snapToGrid/>
                    <w:jc w:val="center"/>
                    <w:textAlignment w:val="auto"/>
                    <w:rPr>
                      <w:sz w:val="21"/>
                      <w:szCs w:val="21"/>
                    </w:rPr>
                  </w:pPr>
                  <w:r>
                    <w:rPr>
                      <w:sz w:val="21"/>
                      <w:szCs w:val="21"/>
                    </w:rPr>
                    <w:t>供电</w:t>
                  </w:r>
                </w:p>
              </w:tc>
              <w:tc>
                <w:tcPr>
                  <w:tcW w:w="1961" w:type="pct"/>
                  <w:gridSpan w:val="2"/>
                  <w:vAlign w:val="center"/>
                </w:tcPr>
                <w:p>
                  <w:pPr>
                    <w:keepNext w:val="0"/>
                    <w:keepLines w:val="0"/>
                    <w:pageBreakBefore w:val="0"/>
                    <w:widowControl/>
                    <w:kinsoku/>
                    <w:wordWrap/>
                    <w:overflowPunct/>
                    <w:topLinePunct w:val="0"/>
                    <w:autoSpaceDE/>
                    <w:autoSpaceDN/>
                    <w:bidi w:val="0"/>
                    <w:adjustRightInd/>
                    <w:snapToGrid/>
                    <w:jc w:val="center"/>
                    <w:textAlignment w:val="auto"/>
                    <w:rPr>
                      <w:sz w:val="21"/>
                      <w:szCs w:val="21"/>
                    </w:rPr>
                  </w:pPr>
                  <w:r>
                    <w:rPr>
                      <w:rFonts w:hint="eastAsia"/>
                      <w:sz w:val="21"/>
                      <w:szCs w:val="21"/>
                      <w:lang w:val="en-US" w:eastAsia="zh-CN"/>
                    </w:rPr>
                    <w:t>2.0</w:t>
                  </w:r>
                  <w:r>
                    <w:rPr>
                      <w:sz w:val="21"/>
                      <w:szCs w:val="21"/>
                    </w:rPr>
                    <w:t>万Kwh/a</w:t>
                  </w:r>
                </w:p>
              </w:tc>
              <w:tc>
                <w:tcPr>
                  <w:tcW w:w="1085" w:type="pct"/>
                  <w:shd w:val="clear" w:color="auto" w:fill="auto"/>
                  <w:vAlign w:val="center"/>
                </w:tcPr>
                <w:p>
                  <w:pPr>
                    <w:keepNext w:val="0"/>
                    <w:keepLines w:val="0"/>
                    <w:pageBreakBefore w:val="0"/>
                    <w:widowControl/>
                    <w:kinsoku/>
                    <w:wordWrap/>
                    <w:overflowPunct/>
                    <w:topLinePunct w:val="0"/>
                    <w:autoSpaceDE/>
                    <w:autoSpaceDN/>
                    <w:bidi w:val="0"/>
                    <w:adjustRightInd/>
                    <w:snapToGrid/>
                    <w:jc w:val="center"/>
                    <w:textAlignment w:val="auto"/>
                    <w:rPr>
                      <w:sz w:val="21"/>
                      <w:szCs w:val="21"/>
                    </w:rPr>
                  </w:pPr>
                  <w:r>
                    <w:rPr>
                      <w:rFonts w:hint="eastAsia"/>
                      <w:sz w:val="21"/>
                      <w:szCs w:val="21"/>
                    </w:rPr>
                    <w:t>城市供电网供给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188" w:type="pct"/>
                  <w:vMerge w:val="restart"/>
                  <w:vAlign w:val="center"/>
                </w:tcPr>
                <w:p>
                  <w:pPr>
                    <w:keepNext w:val="0"/>
                    <w:keepLines w:val="0"/>
                    <w:pageBreakBefore w:val="0"/>
                    <w:kinsoku/>
                    <w:wordWrap/>
                    <w:overflowPunct/>
                    <w:topLinePunct w:val="0"/>
                    <w:autoSpaceDE/>
                    <w:autoSpaceDN/>
                    <w:bidi w:val="0"/>
                    <w:adjustRightInd/>
                    <w:snapToGrid/>
                    <w:jc w:val="center"/>
                    <w:textAlignment w:val="auto"/>
                    <w:rPr>
                      <w:sz w:val="21"/>
                      <w:szCs w:val="21"/>
                    </w:rPr>
                  </w:pPr>
                  <w:r>
                    <w:rPr>
                      <w:sz w:val="21"/>
                      <w:szCs w:val="21"/>
                    </w:rPr>
                    <w:t>环保工程</w:t>
                  </w:r>
                </w:p>
              </w:tc>
              <w:tc>
                <w:tcPr>
                  <w:tcW w:w="764" w:type="pct"/>
                  <w:vMerge w:val="restart"/>
                  <w:shd w:val="clear" w:color="auto" w:fill="auto"/>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sz w:val="21"/>
                      <w:szCs w:val="21"/>
                    </w:rPr>
                  </w:pPr>
                  <w:r>
                    <w:rPr>
                      <w:sz w:val="21"/>
                      <w:szCs w:val="21"/>
                    </w:rPr>
                    <w:t>废气处理</w:t>
                  </w:r>
                </w:p>
              </w:tc>
              <w:tc>
                <w:tcPr>
                  <w:tcW w:w="613" w:type="pct"/>
                  <w:vMerge w:val="restart"/>
                  <w:shd w:val="clear" w:color="auto" w:fill="auto"/>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eastAsia"/>
                      <w:sz w:val="21"/>
                      <w:szCs w:val="21"/>
                      <w:lang w:eastAsia="zh-CN"/>
                    </w:rPr>
                  </w:pPr>
                  <w:r>
                    <w:rPr>
                      <w:rFonts w:hint="eastAsia"/>
                      <w:sz w:val="21"/>
                      <w:szCs w:val="21"/>
                      <w:lang w:eastAsia="zh-CN"/>
                    </w:rPr>
                    <w:t>焊接</w:t>
                  </w:r>
                </w:p>
              </w:tc>
              <w:tc>
                <w:tcPr>
                  <w:tcW w:w="1348" w:type="pct"/>
                  <w:vMerge w:val="restart"/>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sz w:val="21"/>
                      <w:szCs w:val="21"/>
                    </w:rPr>
                  </w:pPr>
                  <w:r>
                    <w:rPr>
                      <w:rFonts w:hint="eastAsia"/>
                      <w:sz w:val="21"/>
                      <w:szCs w:val="21"/>
                      <w:lang w:val="en-US" w:eastAsia="zh-CN"/>
                    </w:rPr>
                    <w:t>1台移动式烟尘净化器</w:t>
                  </w:r>
                </w:p>
              </w:tc>
              <w:tc>
                <w:tcPr>
                  <w:tcW w:w="1085" w:type="pct"/>
                  <w:vMerge w:val="restart"/>
                  <w:shd w:val="clear" w:color="auto" w:fill="auto"/>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sz w:val="21"/>
                      <w:szCs w:val="21"/>
                    </w:rPr>
                  </w:pPr>
                  <w:r>
                    <w:rPr>
                      <w:rFonts w:hint="eastAsia"/>
                      <w:sz w:val="21"/>
                      <w:szCs w:val="21"/>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188" w:type="pct"/>
                  <w:vMerge w:val="continue"/>
                  <w:vAlign w:val="center"/>
                </w:tcPr>
                <w:p>
                  <w:pPr>
                    <w:keepNext w:val="0"/>
                    <w:keepLines w:val="0"/>
                    <w:pageBreakBefore w:val="0"/>
                    <w:kinsoku/>
                    <w:wordWrap/>
                    <w:overflowPunct/>
                    <w:topLinePunct w:val="0"/>
                    <w:autoSpaceDE/>
                    <w:autoSpaceDN/>
                    <w:bidi w:val="0"/>
                    <w:adjustRightInd/>
                    <w:snapToGrid/>
                    <w:jc w:val="center"/>
                    <w:textAlignment w:val="auto"/>
                    <w:rPr>
                      <w:sz w:val="21"/>
                      <w:szCs w:val="21"/>
                    </w:rPr>
                  </w:pPr>
                </w:p>
              </w:tc>
              <w:tc>
                <w:tcPr>
                  <w:tcW w:w="76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jc w:val="center"/>
                    <w:textAlignment w:val="auto"/>
                    <w:rPr>
                      <w:sz w:val="21"/>
                      <w:szCs w:val="21"/>
                    </w:rPr>
                  </w:pPr>
                </w:p>
              </w:tc>
              <w:tc>
                <w:tcPr>
                  <w:tcW w:w="613"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jc w:val="center"/>
                    <w:textAlignment w:val="auto"/>
                    <w:rPr>
                      <w:sz w:val="21"/>
                      <w:szCs w:val="21"/>
                    </w:rPr>
                  </w:pPr>
                </w:p>
              </w:tc>
              <w:tc>
                <w:tcPr>
                  <w:tcW w:w="1348" w:type="pct"/>
                  <w:vMerge w:val="continue"/>
                  <w:vAlign w:val="center"/>
                </w:tcPr>
                <w:p>
                  <w:pPr>
                    <w:keepNext w:val="0"/>
                    <w:keepLines w:val="0"/>
                    <w:pageBreakBefore w:val="0"/>
                    <w:widowControl/>
                    <w:kinsoku/>
                    <w:wordWrap/>
                    <w:overflowPunct/>
                    <w:topLinePunct w:val="0"/>
                    <w:autoSpaceDE/>
                    <w:autoSpaceDN/>
                    <w:bidi w:val="0"/>
                    <w:adjustRightInd/>
                    <w:snapToGrid/>
                    <w:jc w:val="center"/>
                    <w:textAlignment w:val="auto"/>
                    <w:rPr>
                      <w:sz w:val="21"/>
                      <w:szCs w:val="21"/>
                    </w:rPr>
                  </w:pPr>
                </w:p>
              </w:tc>
              <w:tc>
                <w:tcPr>
                  <w:tcW w:w="1085"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jc w:val="center"/>
                    <w:textAlignment w:val="auto"/>
                    <w:rPr>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8" w:type="pct"/>
                  <w:vMerge w:val="continue"/>
                  <w:vAlign w:val="center"/>
                </w:tcPr>
                <w:p>
                  <w:pPr>
                    <w:keepNext w:val="0"/>
                    <w:keepLines w:val="0"/>
                    <w:pageBreakBefore w:val="0"/>
                    <w:kinsoku/>
                    <w:wordWrap/>
                    <w:overflowPunct/>
                    <w:topLinePunct w:val="0"/>
                    <w:autoSpaceDE/>
                    <w:autoSpaceDN/>
                    <w:bidi w:val="0"/>
                    <w:adjustRightInd/>
                    <w:snapToGrid/>
                    <w:jc w:val="center"/>
                    <w:textAlignment w:val="auto"/>
                    <w:rPr>
                      <w:sz w:val="21"/>
                      <w:szCs w:val="21"/>
                    </w:rPr>
                  </w:pPr>
                </w:p>
              </w:tc>
              <w:tc>
                <w:tcPr>
                  <w:tcW w:w="764" w:type="pct"/>
                  <w:shd w:val="clear" w:color="auto" w:fill="auto"/>
                  <w:vAlign w:val="center"/>
                </w:tcPr>
                <w:p>
                  <w:pPr>
                    <w:keepNext w:val="0"/>
                    <w:keepLines w:val="0"/>
                    <w:pageBreakBefore w:val="0"/>
                    <w:widowControl/>
                    <w:kinsoku/>
                    <w:wordWrap/>
                    <w:overflowPunct/>
                    <w:topLinePunct w:val="0"/>
                    <w:autoSpaceDE/>
                    <w:autoSpaceDN/>
                    <w:bidi w:val="0"/>
                    <w:adjustRightInd/>
                    <w:snapToGrid/>
                    <w:jc w:val="center"/>
                    <w:textAlignment w:val="auto"/>
                    <w:rPr>
                      <w:sz w:val="21"/>
                      <w:szCs w:val="21"/>
                    </w:rPr>
                  </w:pPr>
                  <w:r>
                    <w:rPr>
                      <w:sz w:val="21"/>
                      <w:szCs w:val="21"/>
                    </w:rPr>
                    <w:t>废水</w:t>
                  </w:r>
                </w:p>
              </w:tc>
              <w:tc>
                <w:tcPr>
                  <w:tcW w:w="613" w:type="pct"/>
                  <w:shd w:val="clear" w:color="auto" w:fill="auto"/>
                  <w:vAlign w:val="center"/>
                </w:tcPr>
                <w:p>
                  <w:pPr>
                    <w:keepNext w:val="0"/>
                    <w:keepLines w:val="0"/>
                    <w:pageBreakBefore w:val="0"/>
                    <w:widowControl/>
                    <w:kinsoku/>
                    <w:wordWrap/>
                    <w:overflowPunct/>
                    <w:topLinePunct w:val="0"/>
                    <w:autoSpaceDE/>
                    <w:autoSpaceDN/>
                    <w:bidi w:val="0"/>
                    <w:adjustRightInd/>
                    <w:snapToGrid/>
                    <w:jc w:val="center"/>
                    <w:textAlignment w:val="auto"/>
                    <w:rPr>
                      <w:sz w:val="21"/>
                      <w:szCs w:val="21"/>
                    </w:rPr>
                  </w:pPr>
                  <w:r>
                    <w:rPr>
                      <w:sz w:val="21"/>
                      <w:szCs w:val="21"/>
                    </w:rPr>
                    <w:t>生活污水</w:t>
                  </w:r>
                </w:p>
              </w:tc>
              <w:tc>
                <w:tcPr>
                  <w:tcW w:w="1348" w:type="pct"/>
                  <w:vAlign w:val="center"/>
                </w:tcPr>
                <w:p>
                  <w:pPr>
                    <w:keepNext w:val="0"/>
                    <w:keepLines w:val="0"/>
                    <w:pageBreakBefore w:val="0"/>
                    <w:widowControl/>
                    <w:kinsoku/>
                    <w:wordWrap/>
                    <w:overflowPunct/>
                    <w:topLinePunct w:val="0"/>
                    <w:autoSpaceDE/>
                    <w:autoSpaceDN/>
                    <w:bidi w:val="0"/>
                    <w:adjustRightInd/>
                    <w:snapToGrid/>
                    <w:jc w:val="center"/>
                    <w:textAlignment w:val="auto"/>
                    <w:rPr>
                      <w:sz w:val="21"/>
                      <w:szCs w:val="21"/>
                    </w:rPr>
                  </w:pPr>
                  <w:r>
                    <w:rPr>
                      <w:rFonts w:hint="default"/>
                      <w:sz w:val="21"/>
                      <w:szCs w:val="21"/>
                      <w:lang w:val="en-US" w:eastAsia="zh-CN"/>
                    </w:rPr>
                    <w:t>生活区污水经</w:t>
                  </w:r>
                  <w:r>
                    <w:rPr>
                      <w:rFonts w:hint="eastAsia"/>
                      <w:sz w:val="21"/>
                      <w:szCs w:val="21"/>
                      <w:lang w:val="en-US" w:eastAsia="zh-CN"/>
                    </w:rPr>
                    <w:t>豫中地质勘查工程公司平顶山第四工程处院内化粪池</w:t>
                  </w:r>
                  <w:r>
                    <w:rPr>
                      <w:rFonts w:hint="default"/>
                      <w:sz w:val="21"/>
                      <w:szCs w:val="21"/>
                      <w:lang w:eastAsia="zh-CN"/>
                    </w:rPr>
                    <w:t>处理后，排入市政污水管网</w:t>
                  </w:r>
                </w:p>
              </w:tc>
              <w:tc>
                <w:tcPr>
                  <w:tcW w:w="1085" w:type="pct"/>
                  <w:shd w:val="clear" w:color="auto" w:fill="auto"/>
                  <w:vAlign w:val="center"/>
                </w:tcPr>
                <w:p>
                  <w:pPr>
                    <w:keepNext w:val="0"/>
                    <w:keepLines w:val="0"/>
                    <w:pageBreakBefore w:val="0"/>
                    <w:widowControl/>
                    <w:kinsoku/>
                    <w:wordWrap/>
                    <w:overflowPunct/>
                    <w:topLinePunct w:val="0"/>
                    <w:autoSpaceDE/>
                    <w:autoSpaceDN/>
                    <w:bidi w:val="0"/>
                    <w:adjustRightInd/>
                    <w:snapToGrid/>
                    <w:jc w:val="center"/>
                    <w:textAlignment w:val="auto"/>
                    <w:rPr>
                      <w:rFonts w:hint="eastAsia"/>
                      <w:sz w:val="21"/>
                      <w:szCs w:val="21"/>
                    </w:rPr>
                  </w:pPr>
                  <w:r>
                    <w:rPr>
                      <w:rFonts w:hint="eastAsia"/>
                      <w:sz w:val="21"/>
                      <w:szCs w:val="21"/>
                    </w:rPr>
                    <w:t>依托现有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8" w:type="pct"/>
                  <w:vMerge w:val="continue"/>
                  <w:vAlign w:val="center"/>
                </w:tcPr>
                <w:p>
                  <w:pPr>
                    <w:keepNext w:val="0"/>
                    <w:keepLines w:val="0"/>
                    <w:pageBreakBefore w:val="0"/>
                    <w:kinsoku/>
                    <w:wordWrap/>
                    <w:overflowPunct/>
                    <w:topLinePunct w:val="0"/>
                    <w:autoSpaceDE/>
                    <w:autoSpaceDN/>
                    <w:bidi w:val="0"/>
                    <w:adjustRightInd/>
                    <w:snapToGrid/>
                    <w:jc w:val="center"/>
                    <w:textAlignment w:val="auto"/>
                    <w:rPr>
                      <w:sz w:val="21"/>
                      <w:szCs w:val="21"/>
                    </w:rPr>
                  </w:pPr>
                </w:p>
              </w:tc>
              <w:tc>
                <w:tcPr>
                  <w:tcW w:w="1377" w:type="pct"/>
                  <w:gridSpan w:val="2"/>
                  <w:shd w:val="clear" w:color="auto" w:fill="auto"/>
                  <w:vAlign w:val="center"/>
                </w:tcPr>
                <w:p>
                  <w:pPr>
                    <w:keepNext w:val="0"/>
                    <w:keepLines w:val="0"/>
                    <w:pageBreakBefore w:val="0"/>
                    <w:widowControl/>
                    <w:kinsoku/>
                    <w:wordWrap/>
                    <w:overflowPunct/>
                    <w:topLinePunct w:val="0"/>
                    <w:autoSpaceDE/>
                    <w:autoSpaceDN/>
                    <w:bidi w:val="0"/>
                    <w:adjustRightInd/>
                    <w:snapToGrid/>
                    <w:jc w:val="center"/>
                    <w:textAlignment w:val="auto"/>
                    <w:rPr>
                      <w:sz w:val="21"/>
                      <w:szCs w:val="21"/>
                    </w:rPr>
                  </w:pPr>
                  <w:r>
                    <w:rPr>
                      <w:sz w:val="21"/>
                      <w:szCs w:val="21"/>
                    </w:rPr>
                    <w:t>噪声治理</w:t>
                  </w:r>
                </w:p>
              </w:tc>
              <w:tc>
                <w:tcPr>
                  <w:tcW w:w="1348" w:type="pct"/>
                  <w:vAlign w:val="center"/>
                </w:tcPr>
                <w:p>
                  <w:pPr>
                    <w:keepNext w:val="0"/>
                    <w:keepLines w:val="0"/>
                    <w:pageBreakBefore w:val="0"/>
                    <w:widowControl/>
                    <w:kinsoku/>
                    <w:wordWrap/>
                    <w:overflowPunct/>
                    <w:topLinePunct w:val="0"/>
                    <w:autoSpaceDE/>
                    <w:autoSpaceDN/>
                    <w:bidi w:val="0"/>
                    <w:adjustRightInd/>
                    <w:snapToGrid/>
                    <w:jc w:val="center"/>
                    <w:textAlignment w:val="auto"/>
                    <w:rPr>
                      <w:sz w:val="21"/>
                      <w:szCs w:val="21"/>
                    </w:rPr>
                  </w:pPr>
                  <w:r>
                    <w:rPr>
                      <w:sz w:val="21"/>
                      <w:szCs w:val="21"/>
                    </w:rPr>
                    <w:t>隔声、减震、消声</w:t>
                  </w:r>
                </w:p>
              </w:tc>
              <w:tc>
                <w:tcPr>
                  <w:tcW w:w="1085" w:type="pct"/>
                  <w:shd w:val="clear" w:color="auto" w:fill="auto"/>
                  <w:vAlign w:val="center"/>
                </w:tcPr>
                <w:p>
                  <w:pPr>
                    <w:keepNext w:val="0"/>
                    <w:keepLines w:val="0"/>
                    <w:pageBreakBefore w:val="0"/>
                    <w:widowControl/>
                    <w:kinsoku/>
                    <w:wordWrap/>
                    <w:overflowPunct/>
                    <w:topLinePunct w:val="0"/>
                    <w:autoSpaceDE/>
                    <w:autoSpaceDN/>
                    <w:bidi w:val="0"/>
                    <w:adjustRightInd/>
                    <w:snapToGrid/>
                    <w:jc w:val="center"/>
                    <w:textAlignment w:val="auto"/>
                    <w:rPr>
                      <w:sz w:val="21"/>
                      <w:szCs w:val="21"/>
                    </w:rPr>
                  </w:pPr>
                  <w:r>
                    <w:rPr>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8" w:type="pct"/>
                  <w:vMerge w:val="continue"/>
                  <w:vAlign w:val="center"/>
                </w:tcPr>
                <w:p>
                  <w:pPr>
                    <w:keepNext w:val="0"/>
                    <w:keepLines w:val="0"/>
                    <w:pageBreakBefore w:val="0"/>
                    <w:kinsoku/>
                    <w:wordWrap/>
                    <w:overflowPunct/>
                    <w:topLinePunct w:val="0"/>
                    <w:autoSpaceDE/>
                    <w:autoSpaceDN/>
                    <w:bidi w:val="0"/>
                    <w:adjustRightInd/>
                    <w:snapToGrid/>
                    <w:jc w:val="center"/>
                    <w:textAlignment w:val="auto"/>
                    <w:rPr>
                      <w:sz w:val="21"/>
                      <w:szCs w:val="21"/>
                    </w:rPr>
                  </w:pPr>
                </w:p>
              </w:tc>
              <w:tc>
                <w:tcPr>
                  <w:tcW w:w="1377" w:type="pct"/>
                  <w:gridSpan w:val="2"/>
                  <w:vMerge w:val="restart"/>
                  <w:shd w:val="clear" w:color="auto" w:fill="auto"/>
                  <w:vAlign w:val="center"/>
                </w:tcPr>
                <w:p>
                  <w:pPr>
                    <w:keepNext w:val="0"/>
                    <w:keepLines w:val="0"/>
                    <w:pageBreakBefore w:val="0"/>
                    <w:widowControl/>
                    <w:kinsoku/>
                    <w:wordWrap/>
                    <w:overflowPunct/>
                    <w:topLinePunct w:val="0"/>
                    <w:autoSpaceDE/>
                    <w:autoSpaceDN/>
                    <w:bidi w:val="0"/>
                    <w:adjustRightInd/>
                    <w:snapToGrid/>
                    <w:jc w:val="center"/>
                    <w:textAlignment w:val="auto"/>
                    <w:rPr>
                      <w:sz w:val="21"/>
                      <w:szCs w:val="21"/>
                    </w:rPr>
                  </w:pPr>
                  <w:r>
                    <w:rPr>
                      <w:sz w:val="21"/>
                      <w:szCs w:val="21"/>
                    </w:rPr>
                    <w:t>固废处理</w:t>
                  </w:r>
                </w:p>
              </w:tc>
              <w:tc>
                <w:tcPr>
                  <w:tcW w:w="1348" w:type="pct"/>
                  <w:vAlign w:val="center"/>
                </w:tcPr>
                <w:p>
                  <w:pPr>
                    <w:keepNext w:val="0"/>
                    <w:keepLines w:val="0"/>
                    <w:pageBreakBefore w:val="0"/>
                    <w:widowControl/>
                    <w:kinsoku/>
                    <w:wordWrap/>
                    <w:overflowPunct/>
                    <w:topLinePunct w:val="0"/>
                    <w:autoSpaceDE/>
                    <w:autoSpaceDN/>
                    <w:bidi w:val="0"/>
                    <w:adjustRightInd/>
                    <w:snapToGrid/>
                    <w:jc w:val="center"/>
                    <w:textAlignment w:val="auto"/>
                    <w:rPr>
                      <w:sz w:val="21"/>
                      <w:szCs w:val="21"/>
                    </w:rPr>
                  </w:pPr>
                  <w:r>
                    <w:rPr>
                      <w:sz w:val="21"/>
                      <w:szCs w:val="21"/>
                    </w:rPr>
                    <w:t>危废暂存库</w:t>
                  </w:r>
                  <w:r>
                    <w:rPr>
                      <w:rFonts w:hint="eastAsia"/>
                      <w:sz w:val="21"/>
                      <w:szCs w:val="21"/>
                      <w:lang w:val="en-US" w:eastAsia="zh-CN"/>
                    </w:rPr>
                    <w:t>10</w:t>
                  </w:r>
                  <w:r>
                    <w:rPr>
                      <w:sz w:val="21"/>
                      <w:szCs w:val="21"/>
                    </w:rPr>
                    <w:t>m</w:t>
                  </w:r>
                  <w:r>
                    <w:rPr>
                      <w:sz w:val="21"/>
                      <w:szCs w:val="21"/>
                      <w:vertAlign w:val="superscript"/>
                    </w:rPr>
                    <w:t>2</w:t>
                  </w:r>
                </w:p>
              </w:tc>
              <w:tc>
                <w:tcPr>
                  <w:tcW w:w="1085" w:type="pct"/>
                  <w:shd w:val="clear" w:color="auto" w:fill="auto"/>
                  <w:vAlign w:val="center"/>
                </w:tcPr>
                <w:p>
                  <w:pPr>
                    <w:keepNext w:val="0"/>
                    <w:keepLines w:val="0"/>
                    <w:pageBreakBefore w:val="0"/>
                    <w:widowControl/>
                    <w:kinsoku/>
                    <w:wordWrap/>
                    <w:overflowPunct/>
                    <w:topLinePunct w:val="0"/>
                    <w:autoSpaceDE/>
                    <w:autoSpaceDN/>
                    <w:bidi w:val="0"/>
                    <w:adjustRightInd/>
                    <w:snapToGrid/>
                    <w:jc w:val="center"/>
                    <w:textAlignment w:val="auto"/>
                    <w:rPr>
                      <w:sz w:val="21"/>
                      <w:szCs w:val="21"/>
                    </w:rPr>
                  </w:pPr>
                  <w:r>
                    <w:rPr>
                      <w:rFonts w:hint="eastAsia"/>
                      <w:sz w:val="21"/>
                      <w:szCs w:val="21"/>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8" w:type="pct"/>
                  <w:vMerge w:val="continue"/>
                  <w:vAlign w:val="center"/>
                </w:tcPr>
                <w:p>
                  <w:pPr>
                    <w:keepNext w:val="0"/>
                    <w:keepLines w:val="0"/>
                    <w:pageBreakBefore w:val="0"/>
                    <w:kinsoku/>
                    <w:wordWrap/>
                    <w:overflowPunct/>
                    <w:topLinePunct w:val="0"/>
                    <w:autoSpaceDE/>
                    <w:autoSpaceDN/>
                    <w:bidi w:val="0"/>
                    <w:adjustRightInd/>
                    <w:snapToGrid/>
                    <w:jc w:val="center"/>
                    <w:textAlignment w:val="auto"/>
                    <w:rPr>
                      <w:sz w:val="21"/>
                      <w:szCs w:val="21"/>
                    </w:rPr>
                  </w:pPr>
                </w:p>
              </w:tc>
              <w:tc>
                <w:tcPr>
                  <w:tcW w:w="1377" w:type="pct"/>
                  <w:gridSpan w:val="2"/>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jc w:val="center"/>
                    <w:textAlignment w:val="auto"/>
                    <w:rPr>
                      <w:sz w:val="21"/>
                      <w:szCs w:val="21"/>
                    </w:rPr>
                  </w:pPr>
                </w:p>
              </w:tc>
              <w:tc>
                <w:tcPr>
                  <w:tcW w:w="1348" w:type="pct"/>
                  <w:vAlign w:val="center"/>
                </w:tcPr>
                <w:p>
                  <w:pPr>
                    <w:keepNext w:val="0"/>
                    <w:keepLines w:val="0"/>
                    <w:pageBreakBefore w:val="0"/>
                    <w:widowControl/>
                    <w:kinsoku/>
                    <w:wordWrap/>
                    <w:overflowPunct/>
                    <w:topLinePunct w:val="0"/>
                    <w:autoSpaceDE/>
                    <w:autoSpaceDN/>
                    <w:bidi w:val="0"/>
                    <w:adjustRightInd/>
                    <w:snapToGrid/>
                    <w:jc w:val="center"/>
                    <w:textAlignment w:val="auto"/>
                    <w:rPr>
                      <w:sz w:val="21"/>
                      <w:szCs w:val="21"/>
                    </w:rPr>
                  </w:pPr>
                  <w:r>
                    <w:rPr>
                      <w:sz w:val="21"/>
                      <w:szCs w:val="21"/>
                    </w:rPr>
                    <w:t>一般固废库</w:t>
                  </w:r>
                  <w:r>
                    <w:rPr>
                      <w:rFonts w:hint="eastAsia"/>
                      <w:sz w:val="21"/>
                      <w:szCs w:val="21"/>
                      <w:lang w:val="en-US" w:eastAsia="zh-CN"/>
                    </w:rPr>
                    <w:t>10</w:t>
                  </w:r>
                  <w:r>
                    <w:rPr>
                      <w:sz w:val="21"/>
                      <w:szCs w:val="21"/>
                    </w:rPr>
                    <w:t>m</w:t>
                  </w:r>
                  <w:r>
                    <w:rPr>
                      <w:sz w:val="21"/>
                      <w:szCs w:val="21"/>
                      <w:vertAlign w:val="superscript"/>
                    </w:rPr>
                    <w:t>2</w:t>
                  </w:r>
                </w:p>
              </w:tc>
              <w:tc>
                <w:tcPr>
                  <w:tcW w:w="1085" w:type="pct"/>
                  <w:shd w:val="clear" w:color="auto" w:fill="auto"/>
                  <w:vAlign w:val="center"/>
                </w:tcPr>
                <w:p>
                  <w:pPr>
                    <w:keepNext w:val="0"/>
                    <w:keepLines w:val="0"/>
                    <w:pageBreakBefore w:val="0"/>
                    <w:widowControl/>
                    <w:kinsoku/>
                    <w:wordWrap/>
                    <w:overflowPunct/>
                    <w:topLinePunct w:val="0"/>
                    <w:autoSpaceDE/>
                    <w:autoSpaceDN/>
                    <w:bidi w:val="0"/>
                    <w:adjustRightInd/>
                    <w:snapToGrid/>
                    <w:jc w:val="center"/>
                    <w:textAlignment w:val="auto"/>
                    <w:rPr>
                      <w:sz w:val="21"/>
                      <w:szCs w:val="21"/>
                    </w:rPr>
                  </w:pPr>
                  <w:r>
                    <w:rPr>
                      <w:rFonts w:hint="eastAsia"/>
                      <w:sz w:val="21"/>
                      <w:szCs w:val="21"/>
                    </w:rPr>
                    <w:t>新建</w:t>
                  </w:r>
                </w:p>
              </w:tc>
            </w:tr>
          </w:tbl>
          <w:p>
            <w:pPr>
              <w:spacing w:beforeLines="50" w:line="360" w:lineRule="auto"/>
              <w:ind w:firstLine="472" w:firstLineChars="196"/>
              <w:jc w:val="left"/>
              <w:rPr>
                <w:b/>
                <w:bCs/>
                <w:sz w:val="24"/>
                <w:szCs w:val="24"/>
              </w:rPr>
            </w:pPr>
            <w:r>
              <w:rPr>
                <w:rFonts w:hint="eastAsia"/>
                <w:b/>
                <w:bCs/>
                <w:sz w:val="24"/>
                <w:szCs w:val="24"/>
                <w:lang w:val="en-US" w:eastAsia="zh-CN"/>
              </w:rPr>
              <w:t>2</w:t>
            </w:r>
            <w:r>
              <w:rPr>
                <w:b/>
                <w:bCs/>
                <w:sz w:val="24"/>
                <w:szCs w:val="24"/>
              </w:rPr>
              <w:t>.</w:t>
            </w:r>
            <w:r>
              <w:rPr>
                <w:rFonts w:hint="eastAsia"/>
                <w:b/>
                <w:bCs/>
                <w:sz w:val="24"/>
                <w:szCs w:val="24"/>
              </w:rPr>
              <w:t>2</w:t>
            </w:r>
            <w:r>
              <w:rPr>
                <w:b/>
                <w:bCs/>
                <w:sz w:val="24"/>
                <w:szCs w:val="24"/>
              </w:rPr>
              <w:t xml:space="preserve"> 产品方案及生产规模</w:t>
            </w:r>
          </w:p>
          <w:p>
            <w:pPr>
              <w:spacing w:line="360" w:lineRule="auto"/>
              <w:ind w:firstLine="480" w:firstLineChars="200"/>
              <w:rPr>
                <w:sz w:val="24"/>
                <w:szCs w:val="24"/>
              </w:rPr>
            </w:pPr>
            <w:r>
              <w:rPr>
                <w:sz w:val="24"/>
                <w:szCs w:val="24"/>
              </w:rPr>
              <w:t>项目建成后，</w:t>
            </w:r>
            <w:r>
              <w:rPr>
                <w:rFonts w:hint="eastAsia"/>
                <w:sz w:val="24"/>
                <w:szCs w:val="24"/>
                <w:lang w:eastAsia="zh-CN"/>
              </w:rPr>
              <w:t>年产30000件钻探机具及配件</w:t>
            </w:r>
            <w:r>
              <w:rPr>
                <w:sz w:val="24"/>
                <w:szCs w:val="24"/>
              </w:rPr>
              <w:t>。项目产品方案见表</w:t>
            </w:r>
            <w:r>
              <w:rPr>
                <w:rFonts w:hint="eastAsia"/>
                <w:sz w:val="24"/>
                <w:szCs w:val="24"/>
                <w:lang w:val="en-US" w:eastAsia="zh-CN"/>
              </w:rPr>
              <w:t>3</w:t>
            </w:r>
            <w:r>
              <w:rPr>
                <w:sz w:val="24"/>
                <w:szCs w:val="24"/>
              </w:rPr>
              <w:t>。</w:t>
            </w:r>
          </w:p>
          <w:p>
            <w:pPr>
              <w:adjustRightInd w:val="0"/>
              <w:snapToGrid w:val="0"/>
              <w:spacing w:line="360" w:lineRule="auto"/>
              <w:ind w:firstLine="472" w:firstLineChars="196"/>
              <w:jc w:val="center"/>
              <w:rPr>
                <w:b/>
                <w:bCs/>
                <w:sz w:val="24"/>
                <w:szCs w:val="24"/>
              </w:rPr>
            </w:pPr>
            <w:r>
              <w:rPr>
                <w:b/>
                <w:bCs/>
                <w:sz w:val="24"/>
                <w:szCs w:val="24"/>
              </w:rPr>
              <w:t>表</w:t>
            </w:r>
            <w:r>
              <w:rPr>
                <w:rFonts w:hint="eastAsia"/>
                <w:b/>
                <w:bCs/>
                <w:sz w:val="24"/>
                <w:szCs w:val="24"/>
                <w:lang w:val="en-US" w:eastAsia="zh-CN"/>
              </w:rPr>
              <w:t>3</w:t>
            </w:r>
            <w:r>
              <w:rPr>
                <w:rFonts w:hint="eastAsia"/>
                <w:b/>
                <w:bCs/>
                <w:sz w:val="24"/>
                <w:szCs w:val="24"/>
              </w:rPr>
              <w:t xml:space="preserve">  项目</w:t>
            </w:r>
            <w:r>
              <w:rPr>
                <w:b/>
                <w:bCs/>
                <w:sz w:val="24"/>
                <w:szCs w:val="24"/>
              </w:rPr>
              <w:t>产品方案</w:t>
            </w:r>
          </w:p>
          <w:tbl>
            <w:tblPr>
              <w:tblStyle w:val="2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80"/>
              <w:gridCol w:w="1364"/>
              <w:gridCol w:w="1116"/>
              <w:gridCol w:w="2153"/>
              <w:gridCol w:w="215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36" w:hRule="atLeast"/>
                <w:jc w:val="center"/>
              </w:trPr>
              <w:tc>
                <w:tcPr>
                  <w:tcW w:w="1257" w:type="pct"/>
                  <w:vAlign w:val="center"/>
                </w:tcPr>
                <w:p>
                  <w:pPr>
                    <w:jc w:val="center"/>
                  </w:pPr>
                  <w:r>
                    <w:t>工程名称</w:t>
                  </w:r>
                </w:p>
              </w:tc>
              <w:tc>
                <w:tcPr>
                  <w:tcW w:w="752" w:type="pct"/>
                  <w:vAlign w:val="center"/>
                </w:tcPr>
                <w:p>
                  <w:pPr>
                    <w:jc w:val="center"/>
                  </w:pPr>
                  <w:r>
                    <w:t>产品名称</w:t>
                  </w:r>
                </w:p>
              </w:tc>
              <w:tc>
                <w:tcPr>
                  <w:tcW w:w="615" w:type="pct"/>
                  <w:vAlign w:val="center"/>
                </w:tcPr>
                <w:p>
                  <w:pPr>
                    <w:jc w:val="center"/>
                  </w:pPr>
                  <w:r>
                    <w:t>产品规格</w:t>
                  </w:r>
                </w:p>
              </w:tc>
              <w:tc>
                <w:tcPr>
                  <w:tcW w:w="1187" w:type="pct"/>
                  <w:tcBorders>
                    <w:bottom w:val="single" w:color="auto" w:sz="4" w:space="0"/>
                  </w:tcBorders>
                  <w:vAlign w:val="center"/>
                </w:tcPr>
                <w:p>
                  <w:pPr>
                    <w:jc w:val="center"/>
                  </w:pPr>
                  <w:r>
                    <w:t>年产量（</w:t>
                  </w:r>
                  <w:r>
                    <w:rPr>
                      <w:rFonts w:hint="eastAsia"/>
                      <w:lang w:eastAsia="zh-CN"/>
                    </w:rPr>
                    <w:t>件</w:t>
                  </w:r>
                  <w:r>
                    <w:t>）</w:t>
                  </w:r>
                </w:p>
              </w:tc>
              <w:tc>
                <w:tcPr>
                  <w:tcW w:w="1186" w:type="pct"/>
                  <w:tcBorders>
                    <w:bottom w:val="single" w:color="auto" w:sz="4" w:space="0"/>
                  </w:tcBorders>
                  <w:vAlign w:val="center"/>
                </w:tcPr>
                <w:p>
                  <w:pPr>
                    <w:jc w:val="center"/>
                  </w:pPr>
                  <w:r>
                    <w:t>年运行时数（h）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57" w:type="pct"/>
                  <w:vMerge w:val="restart"/>
                  <w:vAlign w:val="center"/>
                </w:tcPr>
                <w:p>
                  <w:pPr>
                    <w:jc w:val="center"/>
                    <w:rPr>
                      <w:rFonts w:hint="eastAsia"/>
                      <w:lang w:eastAsia="zh-CN"/>
                    </w:rPr>
                  </w:pPr>
                  <w:r>
                    <w:rPr>
                      <w:rFonts w:hint="eastAsia"/>
                      <w:lang w:eastAsia="zh-CN"/>
                    </w:rPr>
                    <w:t>钻探机具及配件项目</w:t>
                  </w:r>
                </w:p>
              </w:tc>
              <w:tc>
                <w:tcPr>
                  <w:tcW w:w="752" w:type="pct"/>
                  <w:vAlign w:val="center"/>
                </w:tcPr>
                <w:p>
                  <w:pPr>
                    <w:jc w:val="center"/>
                    <w:rPr>
                      <w:rFonts w:hint="eastAsia"/>
                      <w:lang w:eastAsia="zh-CN"/>
                    </w:rPr>
                  </w:pPr>
                  <w:r>
                    <w:rPr>
                      <w:rFonts w:hint="eastAsia"/>
                      <w:lang w:eastAsia="zh-CN"/>
                    </w:rPr>
                    <w:t>钻头</w:t>
                  </w:r>
                </w:p>
              </w:tc>
              <w:tc>
                <w:tcPr>
                  <w:tcW w:w="615" w:type="pct"/>
                  <w:vAlign w:val="center"/>
                </w:tcPr>
                <w:p>
                  <w:pPr>
                    <w:jc w:val="center"/>
                    <w:rPr>
                      <w:rFonts w:hint="eastAsia"/>
                      <w:lang w:val="en-US" w:eastAsia="zh-CN"/>
                    </w:rPr>
                  </w:pPr>
                  <w:r>
                    <w:rPr>
                      <w:rFonts w:hint="eastAsia"/>
                      <w:lang w:val="en-US" w:eastAsia="zh-CN"/>
                    </w:rPr>
                    <w:t>/</w:t>
                  </w:r>
                </w:p>
              </w:tc>
              <w:tc>
                <w:tcPr>
                  <w:tcW w:w="1187" w:type="pct"/>
                  <w:vAlign w:val="center"/>
                </w:tcPr>
                <w:p>
                  <w:pPr>
                    <w:jc w:val="center"/>
                  </w:pPr>
                  <w:r>
                    <w:rPr>
                      <w:rFonts w:hint="eastAsia"/>
                      <w:lang w:val="en-US" w:eastAsia="zh-CN"/>
                    </w:rPr>
                    <w:t>15000</w:t>
                  </w:r>
                </w:p>
              </w:tc>
              <w:tc>
                <w:tcPr>
                  <w:tcW w:w="1186" w:type="pct"/>
                  <w:vAlign w:val="center"/>
                </w:tcPr>
                <w:p>
                  <w:pPr>
                    <w:jc w:val="center"/>
                  </w:pPr>
                  <w:r>
                    <w:rPr>
                      <w:rFonts w:hint="eastAsia"/>
                    </w:rPr>
                    <w:t>2400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57" w:type="pct"/>
                  <w:vMerge w:val="continue"/>
                  <w:vAlign w:val="center"/>
                </w:tcPr>
                <w:p>
                  <w:pPr>
                    <w:jc w:val="center"/>
                    <w:rPr>
                      <w:rFonts w:hint="eastAsia"/>
                      <w:lang w:eastAsia="zh-CN"/>
                    </w:rPr>
                  </w:pPr>
                </w:p>
              </w:tc>
              <w:tc>
                <w:tcPr>
                  <w:tcW w:w="752" w:type="pct"/>
                  <w:vAlign w:val="center"/>
                </w:tcPr>
                <w:p>
                  <w:pPr>
                    <w:jc w:val="center"/>
                    <w:rPr>
                      <w:rFonts w:hint="eastAsia"/>
                      <w:lang w:eastAsia="zh-CN"/>
                    </w:rPr>
                  </w:pPr>
                  <w:r>
                    <w:rPr>
                      <w:rFonts w:hint="eastAsia"/>
                      <w:lang w:eastAsia="zh-CN"/>
                    </w:rPr>
                    <w:t>钻具</w:t>
                  </w:r>
                </w:p>
              </w:tc>
              <w:tc>
                <w:tcPr>
                  <w:tcW w:w="615" w:type="pct"/>
                  <w:vAlign w:val="center"/>
                </w:tcPr>
                <w:p>
                  <w:pPr>
                    <w:jc w:val="center"/>
                    <w:rPr>
                      <w:rFonts w:hint="eastAsia"/>
                      <w:lang w:val="en-US" w:eastAsia="zh-CN"/>
                    </w:rPr>
                  </w:pPr>
                  <w:r>
                    <w:rPr>
                      <w:rFonts w:hint="eastAsia"/>
                      <w:lang w:val="en-US" w:eastAsia="zh-CN"/>
                    </w:rPr>
                    <w:t>/</w:t>
                  </w:r>
                </w:p>
              </w:tc>
              <w:tc>
                <w:tcPr>
                  <w:tcW w:w="1187" w:type="pct"/>
                  <w:vAlign w:val="center"/>
                </w:tcPr>
                <w:p>
                  <w:pPr>
                    <w:jc w:val="center"/>
                    <w:rPr>
                      <w:rFonts w:hint="default"/>
                      <w:lang w:val="en-US" w:eastAsia="zh-CN"/>
                    </w:rPr>
                  </w:pPr>
                  <w:r>
                    <w:rPr>
                      <w:rFonts w:hint="eastAsia"/>
                      <w:lang w:val="en-US" w:eastAsia="zh-CN"/>
                    </w:rPr>
                    <w:t>15000</w:t>
                  </w:r>
                </w:p>
              </w:tc>
              <w:tc>
                <w:tcPr>
                  <w:tcW w:w="1186" w:type="pct"/>
                  <w:vAlign w:val="center"/>
                </w:tcPr>
                <w:p>
                  <w:pPr>
                    <w:jc w:val="center"/>
                    <w:rPr>
                      <w:rFonts w:hint="default"/>
                      <w:lang w:val="en-US" w:eastAsia="zh-CN"/>
                    </w:rPr>
                  </w:pPr>
                  <w:r>
                    <w:rPr>
                      <w:rFonts w:hint="eastAsia"/>
                      <w:lang w:val="en-US" w:eastAsia="zh-CN"/>
                    </w:rPr>
                    <w:t>2400</w:t>
                  </w:r>
                </w:p>
              </w:tc>
            </w:tr>
          </w:tbl>
          <w:p>
            <w:pPr>
              <w:spacing w:beforeLines="50" w:line="360" w:lineRule="auto"/>
              <w:ind w:firstLine="472" w:firstLineChars="196"/>
              <w:jc w:val="left"/>
              <w:rPr>
                <w:rFonts w:hint="eastAsia"/>
                <w:b/>
                <w:bCs/>
                <w:sz w:val="24"/>
                <w:szCs w:val="24"/>
                <w:lang w:val="en-US" w:eastAsia="zh-CN"/>
              </w:rPr>
            </w:pPr>
            <w:r>
              <w:rPr>
                <w:rFonts w:hint="eastAsia"/>
                <w:b/>
                <w:bCs/>
                <w:sz w:val="24"/>
                <w:szCs w:val="24"/>
                <w:lang w:val="en-US" w:eastAsia="zh-CN"/>
              </w:rPr>
              <w:t>2.3  项目原辅材料及能源消耗</w:t>
            </w:r>
          </w:p>
          <w:p>
            <w:pPr>
              <w:widowControl/>
              <w:spacing w:line="360" w:lineRule="auto"/>
              <w:ind w:firstLine="480"/>
              <w:rPr>
                <w:sz w:val="24"/>
                <w:szCs w:val="24"/>
              </w:rPr>
            </w:pPr>
            <w:r>
              <w:rPr>
                <w:sz w:val="24"/>
                <w:szCs w:val="24"/>
              </w:rPr>
              <w:t>本项目原辅材料及能源消耗情况见表</w:t>
            </w:r>
            <w:r>
              <w:rPr>
                <w:rFonts w:hint="eastAsia"/>
                <w:sz w:val="24"/>
                <w:szCs w:val="24"/>
                <w:lang w:val="en-US" w:eastAsia="zh-CN"/>
              </w:rPr>
              <w:t>4</w:t>
            </w:r>
            <w:r>
              <w:rPr>
                <w:sz w:val="24"/>
                <w:szCs w:val="24"/>
              </w:rPr>
              <w:t>。</w:t>
            </w:r>
          </w:p>
          <w:p>
            <w:pPr>
              <w:adjustRightInd w:val="0"/>
              <w:snapToGrid w:val="0"/>
              <w:spacing w:line="360" w:lineRule="auto"/>
              <w:ind w:firstLine="472" w:firstLineChars="196"/>
              <w:jc w:val="center"/>
              <w:rPr>
                <w:b/>
                <w:bCs/>
                <w:sz w:val="24"/>
                <w:szCs w:val="24"/>
              </w:rPr>
            </w:pPr>
            <w:r>
              <w:rPr>
                <w:b/>
                <w:bCs/>
                <w:sz w:val="24"/>
                <w:szCs w:val="24"/>
              </w:rPr>
              <w:t>表</w:t>
            </w:r>
            <w:r>
              <w:rPr>
                <w:rFonts w:hint="eastAsia"/>
                <w:b/>
                <w:bCs/>
                <w:sz w:val="24"/>
                <w:szCs w:val="24"/>
                <w:lang w:val="en-US" w:eastAsia="zh-CN"/>
              </w:rPr>
              <w:t xml:space="preserve">4  </w:t>
            </w:r>
            <w:r>
              <w:rPr>
                <w:b/>
                <w:bCs/>
                <w:sz w:val="24"/>
                <w:szCs w:val="24"/>
              </w:rPr>
              <w:t>本项目原辅材料消耗一览表</w:t>
            </w:r>
          </w:p>
          <w:tbl>
            <w:tblPr>
              <w:tblStyle w:val="2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61"/>
              <w:gridCol w:w="2204"/>
              <w:gridCol w:w="2346"/>
              <w:gridCol w:w="355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5" w:hRule="atLeast"/>
                <w:jc w:val="center"/>
              </w:trPr>
              <w:tc>
                <w:tcPr>
                  <w:tcW w:w="530" w:type="pct"/>
                  <w:tcBorders>
                    <w:top w:val="single" w:color="auto" w:sz="12" w:space="0"/>
                    <w:left w:val="nil"/>
                    <w:bottom w:val="single" w:color="auto" w:sz="4" w:space="0"/>
                    <w:right w:val="single" w:color="auto" w:sz="4" w:space="0"/>
                  </w:tcBorders>
                  <w:vAlign w:val="center"/>
                </w:tcPr>
                <w:p>
                  <w:pPr>
                    <w:jc w:val="center"/>
                  </w:pPr>
                  <w:r>
                    <w:t>类别</w:t>
                  </w:r>
                </w:p>
              </w:tc>
              <w:tc>
                <w:tcPr>
                  <w:tcW w:w="1215" w:type="pct"/>
                  <w:tcBorders>
                    <w:top w:val="single" w:color="auto" w:sz="12" w:space="0"/>
                    <w:left w:val="single" w:color="auto" w:sz="4" w:space="0"/>
                    <w:bottom w:val="single" w:color="auto" w:sz="4" w:space="0"/>
                    <w:right w:val="single" w:color="auto" w:sz="4" w:space="0"/>
                  </w:tcBorders>
                  <w:vAlign w:val="center"/>
                </w:tcPr>
                <w:p>
                  <w:pPr>
                    <w:jc w:val="center"/>
                  </w:pPr>
                  <w:r>
                    <w:t>名称</w:t>
                  </w:r>
                </w:p>
              </w:tc>
              <w:tc>
                <w:tcPr>
                  <w:tcW w:w="1293" w:type="pct"/>
                  <w:tcBorders>
                    <w:top w:val="single" w:color="auto" w:sz="12" w:space="0"/>
                    <w:left w:val="single" w:color="auto" w:sz="4" w:space="0"/>
                    <w:bottom w:val="single" w:color="auto" w:sz="4" w:space="0"/>
                    <w:right w:val="single" w:color="auto" w:sz="4" w:space="0"/>
                  </w:tcBorders>
                  <w:vAlign w:val="center"/>
                </w:tcPr>
                <w:p>
                  <w:pPr>
                    <w:jc w:val="center"/>
                  </w:pPr>
                  <w:r>
                    <w:t>年耗量</w:t>
                  </w:r>
                </w:p>
              </w:tc>
              <w:tc>
                <w:tcPr>
                  <w:tcW w:w="1960" w:type="pct"/>
                  <w:tcBorders>
                    <w:top w:val="single" w:color="auto" w:sz="12" w:space="0"/>
                    <w:left w:val="single" w:color="auto" w:sz="4" w:space="0"/>
                    <w:bottom w:val="single" w:color="auto" w:sz="4" w:space="0"/>
                    <w:right w:val="nil"/>
                  </w:tcBorders>
                  <w:vAlign w:val="center"/>
                </w:tcPr>
                <w:p>
                  <w:pPr>
                    <w:jc w:val="center"/>
                  </w:pPr>
                  <w: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70" w:hRule="atLeast"/>
                <w:jc w:val="center"/>
              </w:trPr>
              <w:tc>
                <w:tcPr>
                  <w:tcW w:w="530" w:type="pct"/>
                  <w:vMerge w:val="restart"/>
                  <w:tcBorders>
                    <w:top w:val="single" w:color="auto" w:sz="4" w:space="0"/>
                    <w:left w:val="nil"/>
                    <w:right w:val="single" w:color="auto" w:sz="4" w:space="0"/>
                  </w:tcBorders>
                  <w:vAlign w:val="center"/>
                </w:tcPr>
                <w:p>
                  <w:pPr>
                    <w:jc w:val="center"/>
                  </w:pPr>
                  <w:r>
                    <w:t>原辅</w:t>
                  </w:r>
                </w:p>
                <w:p>
                  <w:pPr>
                    <w:jc w:val="center"/>
                  </w:pPr>
                  <w:r>
                    <w:t>材料</w:t>
                  </w:r>
                </w:p>
              </w:tc>
              <w:tc>
                <w:tcPr>
                  <w:tcW w:w="1215" w:type="pct"/>
                  <w:tcBorders>
                    <w:top w:val="single" w:color="auto" w:sz="4" w:space="0"/>
                    <w:left w:val="single" w:color="auto" w:sz="4" w:space="0"/>
                    <w:bottom w:val="single" w:color="auto" w:sz="4" w:space="0"/>
                    <w:right w:val="single" w:color="auto" w:sz="4" w:space="0"/>
                  </w:tcBorders>
                  <w:vAlign w:val="center"/>
                </w:tcPr>
                <w:p>
                  <w:pPr>
                    <w:jc w:val="center"/>
                    <w:rPr>
                      <w:rFonts w:hint="eastAsia"/>
                      <w:lang w:eastAsia="zh-CN"/>
                    </w:rPr>
                  </w:pPr>
                  <w:r>
                    <w:rPr>
                      <w:rFonts w:hint="eastAsia"/>
                      <w:lang w:eastAsia="zh-CN"/>
                    </w:rPr>
                    <w:t>合金无缝钢管</w:t>
                  </w:r>
                </w:p>
              </w:tc>
              <w:tc>
                <w:tcPr>
                  <w:tcW w:w="1293" w:type="pct"/>
                  <w:tcBorders>
                    <w:top w:val="single" w:color="auto" w:sz="4" w:space="0"/>
                    <w:left w:val="single" w:color="auto" w:sz="4" w:space="0"/>
                    <w:bottom w:val="single" w:color="auto" w:sz="4" w:space="0"/>
                    <w:right w:val="single" w:color="auto" w:sz="4" w:space="0"/>
                  </w:tcBorders>
                  <w:vAlign w:val="center"/>
                </w:tcPr>
                <w:p>
                  <w:pPr>
                    <w:jc w:val="center"/>
                  </w:pPr>
                  <w:r>
                    <w:rPr>
                      <w:rFonts w:hint="eastAsia"/>
                      <w:lang w:val="en-US" w:eastAsia="zh-CN"/>
                    </w:rPr>
                    <w:t>6600</w:t>
                  </w:r>
                  <w:r>
                    <w:t>t/a</w:t>
                  </w:r>
                </w:p>
              </w:tc>
              <w:tc>
                <w:tcPr>
                  <w:tcW w:w="1960" w:type="pct"/>
                  <w:tcBorders>
                    <w:top w:val="single" w:color="auto" w:sz="4" w:space="0"/>
                    <w:left w:val="single" w:color="auto" w:sz="4" w:space="0"/>
                    <w:bottom w:val="single" w:color="auto" w:sz="4" w:space="0"/>
                    <w:right w:val="nil"/>
                  </w:tcBorders>
                  <w:vAlign w:val="center"/>
                </w:tcPr>
                <w:p>
                  <w:pPr>
                    <w:jc w:val="center"/>
                    <w:rPr>
                      <w:rFonts w:hint="eastAsia"/>
                      <w:lang w:val="en-US" w:eastAsia="zh-CN"/>
                    </w:rPr>
                  </w:pPr>
                  <w:r>
                    <w:rPr>
                      <w:rFonts w:hint="eastAsia"/>
                      <w:lang w:val="en-US" w:eastAsia="zh-CN"/>
                    </w:rPr>
                    <w:t>已锻压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70" w:hRule="atLeast"/>
                <w:jc w:val="center"/>
              </w:trPr>
              <w:tc>
                <w:tcPr>
                  <w:tcW w:w="530" w:type="pct"/>
                  <w:vMerge w:val="continue"/>
                  <w:tcBorders>
                    <w:left w:val="nil"/>
                    <w:right w:val="single" w:color="auto" w:sz="4" w:space="0"/>
                  </w:tcBorders>
                  <w:vAlign w:val="center"/>
                </w:tcPr>
                <w:p>
                  <w:pPr>
                    <w:widowControl/>
                    <w:jc w:val="center"/>
                  </w:pPr>
                </w:p>
              </w:tc>
              <w:tc>
                <w:tcPr>
                  <w:tcW w:w="1215" w:type="pct"/>
                  <w:tcBorders>
                    <w:top w:val="single" w:color="auto" w:sz="4" w:space="0"/>
                    <w:left w:val="single" w:color="auto" w:sz="4" w:space="0"/>
                    <w:bottom w:val="single" w:color="auto" w:sz="4" w:space="0"/>
                    <w:right w:val="single" w:color="auto" w:sz="4" w:space="0"/>
                  </w:tcBorders>
                  <w:vAlign w:val="center"/>
                </w:tcPr>
                <w:p>
                  <w:pPr>
                    <w:jc w:val="center"/>
                    <w:rPr>
                      <w:rFonts w:hint="eastAsia"/>
                      <w:lang w:eastAsia="zh-CN"/>
                    </w:rPr>
                  </w:pPr>
                  <w:r>
                    <w:rPr>
                      <w:rFonts w:hint="eastAsia"/>
                      <w:lang w:eastAsia="zh-CN"/>
                    </w:rPr>
                    <w:t>元钢及无缝钢管</w:t>
                  </w:r>
                </w:p>
              </w:tc>
              <w:tc>
                <w:tcPr>
                  <w:tcW w:w="1293" w:type="pct"/>
                  <w:tcBorders>
                    <w:top w:val="single" w:color="auto" w:sz="4" w:space="0"/>
                    <w:left w:val="single" w:color="auto" w:sz="4" w:space="0"/>
                    <w:bottom w:val="single" w:color="auto" w:sz="4" w:space="0"/>
                    <w:right w:val="single" w:color="auto" w:sz="4" w:space="0"/>
                  </w:tcBorders>
                  <w:vAlign w:val="center"/>
                </w:tcPr>
                <w:p>
                  <w:pPr>
                    <w:jc w:val="center"/>
                    <w:rPr>
                      <w:rFonts w:hint="eastAsia"/>
                      <w:lang w:eastAsia="zh-CN"/>
                    </w:rPr>
                  </w:pPr>
                  <w:r>
                    <w:rPr>
                      <w:rFonts w:hint="eastAsia"/>
                      <w:lang w:val="en-US" w:eastAsia="zh-CN"/>
                    </w:rPr>
                    <w:t>1300</w:t>
                  </w:r>
                  <w:r>
                    <w:rPr>
                      <w:rFonts w:hint="eastAsia"/>
                      <w:lang w:eastAsia="zh-CN"/>
                    </w:rPr>
                    <w:t>t/a</w:t>
                  </w:r>
                </w:p>
              </w:tc>
              <w:tc>
                <w:tcPr>
                  <w:tcW w:w="1960" w:type="pct"/>
                  <w:tcBorders>
                    <w:top w:val="single" w:color="auto" w:sz="4" w:space="0"/>
                    <w:left w:val="single" w:color="auto" w:sz="4" w:space="0"/>
                    <w:bottom w:val="single" w:color="auto" w:sz="4" w:space="0"/>
                    <w:right w:val="nil"/>
                  </w:tcBorders>
                  <w:vAlign w:val="center"/>
                </w:tcPr>
                <w:p>
                  <w:pPr>
                    <w:jc w:val="center"/>
                    <w:rPr>
                      <w:rFonts w:hint="eastAsia"/>
                      <w:lang w:eastAsia="zh-CN"/>
                    </w:rPr>
                  </w:pPr>
                  <w:r>
                    <w:rPr>
                      <w:rFonts w:hint="eastAsia"/>
                      <w:lang w:eastAsia="zh-CN"/>
                    </w:rPr>
                    <w:t>已锻压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70" w:hRule="atLeast"/>
                <w:jc w:val="center"/>
              </w:trPr>
              <w:tc>
                <w:tcPr>
                  <w:tcW w:w="530" w:type="pct"/>
                  <w:vMerge w:val="continue"/>
                  <w:tcBorders>
                    <w:left w:val="nil"/>
                    <w:right w:val="single" w:color="auto" w:sz="4" w:space="0"/>
                  </w:tcBorders>
                  <w:vAlign w:val="center"/>
                </w:tcPr>
                <w:p>
                  <w:pPr>
                    <w:widowControl/>
                    <w:jc w:val="center"/>
                  </w:pPr>
                </w:p>
              </w:tc>
              <w:tc>
                <w:tcPr>
                  <w:tcW w:w="1215" w:type="pct"/>
                  <w:tcBorders>
                    <w:top w:val="single" w:color="auto" w:sz="4" w:space="0"/>
                    <w:left w:val="single" w:color="auto" w:sz="4" w:space="0"/>
                    <w:bottom w:val="single" w:color="auto" w:sz="4" w:space="0"/>
                    <w:right w:val="single" w:color="auto" w:sz="4" w:space="0"/>
                  </w:tcBorders>
                  <w:vAlign w:val="center"/>
                </w:tcPr>
                <w:p>
                  <w:pPr>
                    <w:jc w:val="center"/>
                    <w:rPr>
                      <w:rFonts w:hint="eastAsia"/>
                      <w:lang w:eastAsia="zh-CN"/>
                    </w:rPr>
                  </w:pPr>
                  <w:r>
                    <w:rPr>
                      <w:rFonts w:hint="eastAsia"/>
                      <w:lang w:eastAsia="zh-CN"/>
                    </w:rPr>
                    <w:t>金刚石</w:t>
                  </w:r>
                </w:p>
              </w:tc>
              <w:tc>
                <w:tcPr>
                  <w:tcW w:w="1293" w:type="pct"/>
                  <w:tcBorders>
                    <w:top w:val="single" w:color="auto" w:sz="4" w:space="0"/>
                    <w:left w:val="single" w:color="auto" w:sz="4" w:space="0"/>
                    <w:bottom w:val="single" w:color="auto" w:sz="4" w:space="0"/>
                    <w:right w:val="single" w:color="auto" w:sz="4" w:space="0"/>
                  </w:tcBorders>
                  <w:vAlign w:val="center"/>
                </w:tcPr>
                <w:p>
                  <w:pPr>
                    <w:jc w:val="center"/>
                    <w:rPr>
                      <w:rFonts w:hint="default"/>
                      <w:lang w:val="en-US" w:eastAsia="zh-CN"/>
                    </w:rPr>
                  </w:pPr>
                  <w:r>
                    <w:rPr>
                      <w:rFonts w:hint="eastAsia"/>
                      <w:lang w:val="en-US" w:eastAsia="zh-CN"/>
                    </w:rPr>
                    <w:t>75万克拉/a</w:t>
                  </w:r>
                </w:p>
              </w:tc>
              <w:tc>
                <w:tcPr>
                  <w:tcW w:w="1960" w:type="pct"/>
                  <w:tcBorders>
                    <w:top w:val="single" w:color="auto" w:sz="4" w:space="0"/>
                    <w:left w:val="single" w:color="auto" w:sz="4" w:space="0"/>
                    <w:bottom w:val="single" w:color="auto" w:sz="4" w:space="0"/>
                    <w:right w:val="nil"/>
                  </w:tcBorders>
                  <w:vAlign w:val="center"/>
                </w:tcPr>
                <w:p>
                  <w:pPr>
                    <w:jc w:val="center"/>
                    <w:rPr>
                      <w:rFonts w:hint="eastAsia"/>
                      <w:lang w:eastAsia="zh-CN"/>
                    </w:rPr>
                  </w:pPr>
                  <w:r>
                    <w:rPr>
                      <w:rFonts w:hint="eastAsia"/>
                      <w:lang w:eastAsia="zh-CN"/>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530" w:type="pct"/>
                  <w:vMerge w:val="continue"/>
                  <w:tcBorders>
                    <w:left w:val="nil"/>
                    <w:right w:val="single" w:color="auto" w:sz="4" w:space="0"/>
                  </w:tcBorders>
                  <w:vAlign w:val="center"/>
                </w:tcPr>
                <w:p>
                  <w:pPr>
                    <w:widowControl/>
                    <w:jc w:val="center"/>
                  </w:pPr>
                </w:p>
              </w:tc>
              <w:tc>
                <w:tcPr>
                  <w:tcW w:w="1215" w:type="pct"/>
                  <w:tcBorders>
                    <w:top w:val="single" w:color="auto" w:sz="4" w:space="0"/>
                    <w:left w:val="single" w:color="auto" w:sz="4" w:space="0"/>
                    <w:bottom w:val="single" w:color="auto" w:sz="4" w:space="0"/>
                    <w:right w:val="single" w:color="auto" w:sz="4" w:space="0"/>
                  </w:tcBorders>
                  <w:vAlign w:val="center"/>
                </w:tcPr>
                <w:p>
                  <w:pPr>
                    <w:jc w:val="center"/>
                    <w:rPr>
                      <w:rFonts w:hint="eastAsia"/>
                      <w:lang w:eastAsia="zh-CN"/>
                    </w:rPr>
                  </w:pPr>
                  <w:r>
                    <w:rPr>
                      <w:rFonts w:hint="eastAsia"/>
                      <w:lang w:eastAsia="zh-CN"/>
                    </w:rPr>
                    <w:t>金刚石聚晶</w:t>
                  </w:r>
                </w:p>
              </w:tc>
              <w:tc>
                <w:tcPr>
                  <w:tcW w:w="1293" w:type="pct"/>
                  <w:tcBorders>
                    <w:top w:val="single" w:color="auto" w:sz="4" w:space="0"/>
                    <w:left w:val="single" w:color="auto" w:sz="4" w:space="0"/>
                    <w:bottom w:val="single" w:color="auto" w:sz="4" w:space="0"/>
                    <w:right w:val="single" w:color="auto" w:sz="4" w:space="0"/>
                  </w:tcBorders>
                  <w:vAlign w:val="center"/>
                </w:tcPr>
                <w:p>
                  <w:pPr>
                    <w:jc w:val="center"/>
                    <w:rPr>
                      <w:rFonts w:hint="default"/>
                      <w:lang w:val="en-US" w:eastAsia="zh-CN"/>
                    </w:rPr>
                  </w:pPr>
                  <w:r>
                    <w:rPr>
                      <w:rFonts w:hint="eastAsia"/>
                      <w:lang w:val="en-US" w:eastAsia="zh-CN"/>
                    </w:rPr>
                    <w:t>35万粒/a</w:t>
                  </w:r>
                </w:p>
              </w:tc>
              <w:tc>
                <w:tcPr>
                  <w:tcW w:w="1960" w:type="pct"/>
                  <w:tcBorders>
                    <w:top w:val="single" w:color="auto" w:sz="4" w:space="0"/>
                    <w:left w:val="single" w:color="auto" w:sz="4" w:space="0"/>
                    <w:bottom w:val="single" w:color="auto" w:sz="4" w:space="0"/>
                    <w:right w:val="nil"/>
                  </w:tcBorders>
                  <w:vAlign w:val="center"/>
                </w:tcPr>
                <w:p>
                  <w:pPr>
                    <w:jc w:val="center"/>
                    <w:rPr>
                      <w:rFonts w:hint="eastAsia"/>
                      <w:lang w:eastAsia="zh-CN"/>
                    </w:rPr>
                  </w:pPr>
                  <w:r>
                    <w:rPr>
                      <w:rFonts w:hint="eastAsia"/>
                      <w:lang w:eastAsia="zh-CN"/>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530" w:type="pct"/>
                  <w:vMerge w:val="continue"/>
                  <w:tcBorders>
                    <w:left w:val="nil"/>
                    <w:right w:val="single" w:color="auto" w:sz="4" w:space="0"/>
                  </w:tcBorders>
                  <w:vAlign w:val="center"/>
                </w:tcPr>
                <w:p>
                  <w:pPr>
                    <w:widowControl/>
                    <w:jc w:val="center"/>
                  </w:pPr>
                </w:p>
              </w:tc>
              <w:tc>
                <w:tcPr>
                  <w:tcW w:w="1215" w:type="pct"/>
                  <w:tcBorders>
                    <w:top w:val="single" w:color="auto" w:sz="4" w:space="0"/>
                    <w:left w:val="single" w:color="auto" w:sz="4" w:space="0"/>
                    <w:right w:val="single" w:color="auto" w:sz="4" w:space="0"/>
                  </w:tcBorders>
                  <w:vAlign w:val="center"/>
                </w:tcPr>
                <w:p>
                  <w:pPr>
                    <w:jc w:val="center"/>
                    <w:rPr>
                      <w:rFonts w:hint="default"/>
                      <w:lang w:val="en-US" w:eastAsia="zh-CN"/>
                    </w:rPr>
                  </w:pPr>
                  <w:r>
                    <w:rPr>
                      <w:rFonts w:hint="eastAsia"/>
                      <w:lang w:eastAsia="zh-CN"/>
                    </w:rPr>
                    <w:t>合金钢、圆钢</w:t>
                  </w:r>
                </w:p>
              </w:tc>
              <w:tc>
                <w:tcPr>
                  <w:tcW w:w="1293" w:type="pct"/>
                  <w:tcBorders>
                    <w:top w:val="single" w:color="auto" w:sz="4" w:space="0"/>
                    <w:left w:val="single" w:color="auto" w:sz="4" w:space="0"/>
                    <w:right w:val="single" w:color="auto" w:sz="4" w:space="0"/>
                  </w:tcBorders>
                  <w:vAlign w:val="center"/>
                </w:tcPr>
                <w:p>
                  <w:pPr>
                    <w:jc w:val="center"/>
                    <w:rPr>
                      <w:rFonts w:hint="default"/>
                      <w:lang w:val="en-US" w:eastAsia="zh-CN"/>
                    </w:rPr>
                  </w:pPr>
                  <w:r>
                    <w:rPr>
                      <w:rFonts w:hint="eastAsia"/>
                      <w:lang w:val="en-US" w:eastAsia="zh-CN"/>
                    </w:rPr>
                    <w:t>100t/a</w:t>
                  </w:r>
                </w:p>
              </w:tc>
              <w:tc>
                <w:tcPr>
                  <w:tcW w:w="1960" w:type="pct"/>
                  <w:tcBorders>
                    <w:top w:val="single" w:color="auto" w:sz="4" w:space="0"/>
                    <w:left w:val="single" w:color="auto" w:sz="4" w:space="0"/>
                    <w:right w:val="nil"/>
                  </w:tcBorders>
                  <w:vAlign w:val="center"/>
                </w:tcPr>
                <w:p>
                  <w:pPr>
                    <w:jc w:val="center"/>
                    <w:rPr>
                      <w:rFonts w:hint="eastAsia"/>
                      <w:lang w:eastAsia="zh-CN"/>
                    </w:rPr>
                  </w:pPr>
                  <w:r>
                    <w:rPr>
                      <w:rFonts w:hint="eastAsia"/>
                      <w:lang w:eastAsia="zh-CN"/>
                    </w:rPr>
                    <w:t>已锻压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530" w:type="pct"/>
                  <w:vMerge w:val="continue"/>
                  <w:tcBorders>
                    <w:left w:val="nil"/>
                    <w:right w:val="single" w:color="auto" w:sz="4" w:space="0"/>
                  </w:tcBorders>
                  <w:vAlign w:val="center"/>
                </w:tcPr>
                <w:p>
                  <w:pPr>
                    <w:widowControl/>
                    <w:jc w:val="center"/>
                  </w:pPr>
                </w:p>
              </w:tc>
              <w:tc>
                <w:tcPr>
                  <w:tcW w:w="1215" w:type="pct"/>
                  <w:tcBorders>
                    <w:top w:val="single" w:color="auto" w:sz="4" w:space="0"/>
                    <w:left w:val="single" w:color="auto" w:sz="4" w:space="0"/>
                    <w:right w:val="single" w:color="auto" w:sz="4" w:space="0"/>
                  </w:tcBorders>
                  <w:vAlign w:val="center"/>
                </w:tcPr>
                <w:p>
                  <w:pPr>
                    <w:jc w:val="center"/>
                    <w:rPr>
                      <w:rFonts w:hint="eastAsia"/>
                      <w:lang w:eastAsia="zh-CN"/>
                    </w:rPr>
                  </w:pPr>
                  <w:r>
                    <w:rPr>
                      <w:rFonts w:hint="eastAsia"/>
                      <w:lang w:eastAsia="zh-CN"/>
                    </w:rPr>
                    <w:t>铜焊条</w:t>
                  </w:r>
                </w:p>
              </w:tc>
              <w:tc>
                <w:tcPr>
                  <w:tcW w:w="1293" w:type="pct"/>
                  <w:tcBorders>
                    <w:top w:val="single" w:color="auto" w:sz="4" w:space="0"/>
                    <w:left w:val="single" w:color="auto" w:sz="4" w:space="0"/>
                    <w:right w:val="single" w:color="auto" w:sz="4" w:space="0"/>
                  </w:tcBorders>
                  <w:vAlign w:val="center"/>
                </w:tcPr>
                <w:p>
                  <w:pPr>
                    <w:jc w:val="center"/>
                    <w:rPr>
                      <w:rFonts w:hint="eastAsia"/>
                      <w:lang w:eastAsia="zh-CN"/>
                    </w:rPr>
                  </w:pPr>
                  <w:r>
                    <w:rPr>
                      <w:rFonts w:hint="eastAsia"/>
                      <w:lang w:val="en-US" w:eastAsia="zh-CN"/>
                    </w:rPr>
                    <w:t>20</w:t>
                  </w:r>
                  <w:r>
                    <w:rPr>
                      <w:rFonts w:hint="eastAsia"/>
                      <w:lang w:eastAsia="zh-CN"/>
                    </w:rPr>
                    <w:t>t/a</w:t>
                  </w:r>
                </w:p>
              </w:tc>
              <w:tc>
                <w:tcPr>
                  <w:tcW w:w="1960" w:type="pct"/>
                  <w:tcBorders>
                    <w:top w:val="single" w:color="auto" w:sz="4" w:space="0"/>
                    <w:left w:val="single" w:color="auto" w:sz="4" w:space="0"/>
                    <w:right w:val="nil"/>
                  </w:tcBorders>
                  <w:vAlign w:val="center"/>
                </w:tcPr>
                <w:p>
                  <w:pPr>
                    <w:jc w:val="center"/>
                    <w:rPr>
                      <w:rFonts w:hint="eastAsia"/>
                      <w:lang w:eastAsia="zh-CN"/>
                    </w:rPr>
                  </w:pPr>
                  <w:r>
                    <w:rPr>
                      <w:rFonts w:hint="eastAsia"/>
                      <w:lang w:eastAsia="zh-CN"/>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530" w:type="pct"/>
                  <w:vMerge w:val="continue"/>
                  <w:tcBorders>
                    <w:left w:val="nil"/>
                    <w:right w:val="single" w:color="auto" w:sz="4" w:space="0"/>
                  </w:tcBorders>
                  <w:vAlign w:val="center"/>
                </w:tcPr>
                <w:p>
                  <w:pPr>
                    <w:widowControl/>
                    <w:jc w:val="center"/>
                  </w:pPr>
                </w:p>
              </w:tc>
              <w:tc>
                <w:tcPr>
                  <w:tcW w:w="1215" w:type="pct"/>
                  <w:tcBorders>
                    <w:top w:val="single" w:color="auto" w:sz="4" w:space="0"/>
                    <w:left w:val="single" w:color="auto" w:sz="4" w:space="0"/>
                    <w:right w:val="single" w:color="auto" w:sz="4" w:space="0"/>
                  </w:tcBorders>
                  <w:vAlign w:val="center"/>
                </w:tcPr>
                <w:p>
                  <w:pPr>
                    <w:jc w:val="center"/>
                    <w:rPr>
                      <w:rFonts w:hint="eastAsia"/>
                      <w:lang w:eastAsia="zh-CN"/>
                    </w:rPr>
                  </w:pPr>
                  <w:r>
                    <w:rPr>
                      <w:rFonts w:hint="eastAsia"/>
                      <w:lang w:eastAsia="zh-CN"/>
                    </w:rPr>
                    <w:t>乳化液</w:t>
                  </w:r>
                </w:p>
              </w:tc>
              <w:tc>
                <w:tcPr>
                  <w:tcW w:w="1293" w:type="pct"/>
                  <w:tcBorders>
                    <w:top w:val="single" w:color="auto" w:sz="4" w:space="0"/>
                    <w:left w:val="single" w:color="auto" w:sz="4" w:space="0"/>
                    <w:right w:val="single" w:color="auto" w:sz="4" w:space="0"/>
                  </w:tcBorders>
                  <w:vAlign w:val="center"/>
                </w:tcPr>
                <w:p>
                  <w:pPr>
                    <w:jc w:val="center"/>
                    <w:rPr>
                      <w:rFonts w:hint="default"/>
                      <w:lang w:val="en-US" w:eastAsia="zh-CN"/>
                    </w:rPr>
                  </w:pPr>
                  <w:r>
                    <w:rPr>
                      <w:rFonts w:hint="eastAsia"/>
                      <w:lang w:val="en-US" w:eastAsia="zh-CN"/>
                    </w:rPr>
                    <w:t>0.5t/a</w:t>
                  </w:r>
                </w:p>
              </w:tc>
              <w:tc>
                <w:tcPr>
                  <w:tcW w:w="1960" w:type="pct"/>
                  <w:tcBorders>
                    <w:top w:val="single" w:color="auto" w:sz="4" w:space="0"/>
                    <w:left w:val="single" w:color="auto" w:sz="4" w:space="0"/>
                    <w:right w:val="nil"/>
                  </w:tcBorders>
                  <w:vAlign w:val="center"/>
                </w:tcPr>
                <w:p>
                  <w:pPr>
                    <w:jc w:val="center"/>
                    <w:rPr>
                      <w:rFonts w:hint="eastAsia"/>
                      <w:lang w:eastAsia="zh-CN"/>
                    </w:rPr>
                  </w:pPr>
                  <w:r>
                    <w:rPr>
                      <w:rFonts w:hint="eastAsia"/>
                      <w:lang w:eastAsia="zh-CN"/>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530" w:type="pct"/>
                  <w:vMerge w:val="continue"/>
                  <w:tcBorders>
                    <w:left w:val="nil"/>
                    <w:right w:val="single" w:color="auto" w:sz="4" w:space="0"/>
                  </w:tcBorders>
                  <w:vAlign w:val="center"/>
                </w:tcPr>
                <w:p>
                  <w:pPr>
                    <w:widowControl/>
                    <w:jc w:val="center"/>
                  </w:pPr>
                </w:p>
              </w:tc>
              <w:tc>
                <w:tcPr>
                  <w:tcW w:w="1215" w:type="pct"/>
                  <w:tcBorders>
                    <w:top w:val="single" w:color="auto" w:sz="4" w:space="0"/>
                    <w:left w:val="single" w:color="auto" w:sz="4" w:space="0"/>
                    <w:right w:val="single" w:color="auto" w:sz="4" w:space="0"/>
                  </w:tcBorders>
                  <w:vAlign w:val="center"/>
                </w:tcPr>
                <w:p>
                  <w:pPr>
                    <w:jc w:val="center"/>
                    <w:rPr>
                      <w:rFonts w:hint="eastAsia"/>
                      <w:lang w:eastAsia="zh-CN"/>
                    </w:rPr>
                  </w:pPr>
                  <w:r>
                    <w:rPr>
                      <w:rFonts w:hint="eastAsia"/>
                      <w:lang w:eastAsia="zh-CN"/>
                    </w:rPr>
                    <w:t>机油</w:t>
                  </w:r>
                </w:p>
              </w:tc>
              <w:tc>
                <w:tcPr>
                  <w:tcW w:w="1293" w:type="pct"/>
                  <w:tcBorders>
                    <w:top w:val="single" w:color="auto" w:sz="4" w:space="0"/>
                    <w:left w:val="single" w:color="auto" w:sz="4" w:space="0"/>
                    <w:right w:val="single" w:color="auto" w:sz="4" w:space="0"/>
                  </w:tcBorders>
                  <w:vAlign w:val="center"/>
                </w:tcPr>
                <w:p>
                  <w:pPr>
                    <w:jc w:val="center"/>
                    <w:rPr>
                      <w:rFonts w:hint="default"/>
                      <w:lang w:val="en-US" w:eastAsia="zh-CN"/>
                    </w:rPr>
                  </w:pPr>
                  <w:r>
                    <w:rPr>
                      <w:rFonts w:hint="eastAsia"/>
                      <w:lang w:val="en-US" w:eastAsia="zh-CN"/>
                    </w:rPr>
                    <w:t>0.2t/a</w:t>
                  </w:r>
                </w:p>
              </w:tc>
              <w:tc>
                <w:tcPr>
                  <w:tcW w:w="1960" w:type="pct"/>
                  <w:tcBorders>
                    <w:top w:val="single" w:color="auto" w:sz="4" w:space="0"/>
                    <w:left w:val="single" w:color="auto" w:sz="4" w:space="0"/>
                    <w:right w:val="nil"/>
                  </w:tcBorders>
                  <w:vAlign w:val="center"/>
                </w:tcPr>
                <w:p>
                  <w:pPr>
                    <w:jc w:val="center"/>
                    <w:rPr>
                      <w:rFonts w:hint="eastAsia"/>
                      <w:lang w:eastAsia="zh-CN"/>
                    </w:rPr>
                  </w:pPr>
                  <w:r>
                    <w:rPr>
                      <w:rFonts w:hint="eastAsia"/>
                      <w:lang w:eastAsia="zh-CN"/>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3" w:hRule="atLeast"/>
                <w:jc w:val="center"/>
              </w:trPr>
              <w:tc>
                <w:tcPr>
                  <w:tcW w:w="530" w:type="pct"/>
                  <w:vMerge w:val="restart"/>
                  <w:tcBorders>
                    <w:top w:val="single" w:color="000000" w:sz="4" w:space="0"/>
                    <w:left w:val="nil"/>
                    <w:bottom w:val="single" w:color="auto" w:sz="12" w:space="0"/>
                    <w:right w:val="single" w:color="auto" w:sz="4" w:space="0"/>
                  </w:tcBorders>
                  <w:vAlign w:val="center"/>
                </w:tcPr>
                <w:p>
                  <w:pPr>
                    <w:jc w:val="center"/>
                  </w:pPr>
                  <w:r>
                    <w:t>能源</w:t>
                  </w:r>
                </w:p>
              </w:tc>
              <w:tc>
                <w:tcPr>
                  <w:tcW w:w="1215" w:type="pct"/>
                  <w:tcBorders>
                    <w:top w:val="single" w:color="auto" w:sz="4" w:space="0"/>
                    <w:left w:val="single" w:color="auto" w:sz="4" w:space="0"/>
                    <w:bottom w:val="single" w:color="auto" w:sz="4" w:space="0"/>
                    <w:right w:val="single" w:color="auto" w:sz="4" w:space="0"/>
                  </w:tcBorders>
                  <w:vAlign w:val="center"/>
                </w:tcPr>
                <w:p>
                  <w:pPr>
                    <w:jc w:val="center"/>
                    <w:rPr>
                      <w:rFonts w:hint="eastAsia"/>
                      <w:lang w:eastAsia="zh-CN"/>
                    </w:rPr>
                  </w:pPr>
                  <w:r>
                    <w:rPr>
                      <w:rFonts w:hint="eastAsia"/>
                      <w:lang w:eastAsia="zh-CN"/>
                    </w:rPr>
                    <w:t>新鲜水</w:t>
                  </w:r>
                </w:p>
              </w:tc>
              <w:tc>
                <w:tcPr>
                  <w:tcW w:w="1293" w:type="pct"/>
                  <w:tcBorders>
                    <w:top w:val="single" w:color="auto" w:sz="4" w:space="0"/>
                    <w:left w:val="single" w:color="auto" w:sz="4" w:space="0"/>
                    <w:bottom w:val="single" w:color="auto" w:sz="4" w:space="0"/>
                    <w:right w:val="single" w:color="auto" w:sz="4" w:space="0"/>
                  </w:tcBorders>
                  <w:vAlign w:val="center"/>
                </w:tcPr>
                <w:p>
                  <w:pPr>
                    <w:jc w:val="center"/>
                    <w:rPr>
                      <w:rFonts w:hint="eastAsia"/>
                      <w:lang w:eastAsia="zh-CN"/>
                    </w:rPr>
                  </w:pPr>
                  <w:r>
                    <w:rPr>
                      <w:rFonts w:hint="eastAsia"/>
                      <w:lang w:val="en-US" w:eastAsia="zh-CN"/>
                    </w:rPr>
                    <w:t>240</w:t>
                  </w:r>
                  <w:r>
                    <w:rPr>
                      <w:rFonts w:hint="eastAsia"/>
                      <w:lang w:eastAsia="zh-CN"/>
                    </w:rPr>
                    <w:t>t/a</w:t>
                  </w:r>
                </w:p>
              </w:tc>
              <w:tc>
                <w:tcPr>
                  <w:tcW w:w="1960" w:type="pct"/>
                  <w:tcBorders>
                    <w:top w:val="single" w:color="auto" w:sz="4" w:space="0"/>
                    <w:left w:val="single" w:color="auto" w:sz="4" w:space="0"/>
                    <w:bottom w:val="single" w:color="auto" w:sz="4" w:space="0"/>
                    <w:right w:val="nil"/>
                  </w:tcBorders>
                  <w:vAlign w:val="center"/>
                </w:tcPr>
                <w:p>
                  <w:pPr>
                    <w:jc w:val="center"/>
                    <w:rPr>
                      <w:rFonts w:hint="eastAsia"/>
                      <w:lang w:eastAsia="zh-CN"/>
                    </w:rPr>
                  </w:pPr>
                  <w:r>
                    <w:rPr>
                      <w:rFonts w:hint="eastAsia"/>
                      <w:lang w:eastAsia="zh-CN"/>
                    </w:rPr>
                    <w:t>市政供水管网供水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70" w:hRule="atLeast"/>
                <w:jc w:val="center"/>
              </w:trPr>
              <w:tc>
                <w:tcPr>
                  <w:tcW w:w="530" w:type="pct"/>
                  <w:vMerge w:val="continue"/>
                  <w:tcBorders>
                    <w:top w:val="single" w:color="000000" w:sz="4" w:space="0"/>
                    <w:left w:val="nil"/>
                    <w:bottom w:val="single" w:color="auto" w:sz="12" w:space="0"/>
                    <w:right w:val="single" w:color="auto" w:sz="4" w:space="0"/>
                  </w:tcBorders>
                  <w:vAlign w:val="center"/>
                </w:tcPr>
                <w:p>
                  <w:pPr>
                    <w:widowControl/>
                    <w:jc w:val="center"/>
                  </w:pPr>
                </w:p>
              </w:tc>
              <w:tc>
                <w:tcPr>
                  <w:tcW w:w="1215" w:type="pct"/>
                  <w:tcBorders>
                    <w:top w:val="single" w:color="auto" w:sz="4" w:space="0"/>
                    <w:left w:val="single" w:color="auto" w:sz="4" w:space="0"/>
                    <w:bottom w:val="single" w:color="auto" w:sz="12" w:space="0"/>
                    <w:right w:val="single" w:color="auto" w:sz="4" w:space="0"/>
                  </w:tcBorders>
                  <w:vAlign w:val="center"/>
                </w:tcPr>
                <w:p>
                  <w:pPr>
                    <w:jc w:val="center"/>
                    <w:rPr>
                      <w:rFonts w:hint="eastAsia"/>
                      <w:lang w:eastAsia="zh-CN"/>
                    </w:rPr>
                  </w:pPr>
                  <w:r>
                    <w:rPr>
                      <w:rFonts w:hint="eastAsia"/>
                      <w:lang w:eastAsia="zh-CN"/>
                    </w:rPr>
                    <w:t>电</w:t>
                  </w:r>
                </w:p>
              </w:tc>
              <w:tc>
                <w:tcPr>
                  <w:tcW w:w="1293" w:type="pct"/>
                  <w:tcBorders>
                    <w:top w:val="single" w:color="auto" w:sz="4" w:space="0"/>
                    <w:left w:val="single" w:color="auto" w:sz="4" w:space="0"/>
                    <w:bottom w:val="single" w:color="auto" w:sz="12" w:space="0"/>
                    <w:right w:val="single" w:color="auto" w:sz="4" w:space="0"/>
                  </w:tcBorders>
                  <w:vAlign w:val="center"/>
                </w:tcPr>
                <w:p>
                  <w:pPr>
                    <w:jc w:val="center"/>
                    <w:rPr>
                      <w:rFonts w:hint="eastAsia"/>
                      <w:lang w:eastAsia="zh-CN"/>
                    </w:rPr>
                  </w:pPr>
                  <w:r>
                    <w:rPr>
                      <w:rFonts w:hint="eastAsia"/>
                      <w:lang w:val="en-US" w:eastAsia="zh-CN"/>
                    </w:rPr>
                    <w:t>2.0</w:t>
                  </w:r>
                  <w:r>
                    <w:rPr>
                      <w:rFonts w:hint="eastAsia"/>
                      <w:lang w:eastAsia="zh-CN"/>
                    </w:rPr>
                    <w:t>万kwh</w:t>
                  </w:r>
                </w:p>
              </w:tc>
              <w:tc>
                <w:tcPr>
                  <w:tcW w:w="1960" w:type="pct"/>
                  <w:tcBorders>
                    <w:top w:val="single" w:color="auto" w:sz="4" w:space="0"/>
                    <w:left w:val="single" w:color="auto" w:sz="4" w:space="0"/>
                    <w:bottom w:val="single" w:color="auto" w:sz="12" w:space="0"/>
                    <w:right w:val="nil"/>
                  </w:tcBorders>
                  <w:vAlign w:val="center"/>
                </w:tcPr>
                <w:p>
                  <w:pPr>
                    <w:jc w:val="center"/>
                    <w:rPr>
                      <w:rFonts w:hint="eastAsia"/>
                      <w:lang w:eastAsia="zh-CN"/>
                    </w:rPr>
                  </w:pPr>
                  <w:r>
                    <w:rPr>
                      <w:rFonts w:hint="eastAsia"/>
                      <w:lang w:eastAsia="zh-CN"/>
                    </w:rPr>
                    <w:t>市政供电电网供电</w:t>
                  </w:r>
                </w:p>
              </w:tc>
            </w:tr>
          </w:tbl>
          <w:p>
            <w:pPr>
              <w:spacing w:beforeLines="50" w:line="360" w:lineRule="auto"/>
              <w:ind w:firstLine="472" w:firstLineChars="196"/>
              <w:jc w:val="left"/>
              <w:rPr>
                <w:b/>
                <w:bCs/>
                <w:sz w:val="24"/>
                <w:szCs w:val="24"/>
              </w:rPr>
            </w:pPr>
            <w:r>
              <w:rPr>
                <w:rFonts w:hint="eastAsia"/>
                <w:b/>
                <w:bCs/>
                <w:sz w:val="24"/>
                <w:szCs w:val="24"/>
                <w:lang w:val="en-US" w:eastAsia="zh-CN"/>
              </w:rPr>
              <w:t>2</w:t>
            </w:r>
            <w:r>
              <w:rPr>
                <w:b/>
                <w:bCs/>
                <w:sz w:val="24"/>
                <w:szCs w:val="24"/>
              </w:rPr>
              <w:t>.4  主要设备</w:t>
            </w:r>
          </w:p>
          <w:p>
            <w:pPr>
              <w:pStyle w:val="7"/>
              <w:spacing w:line="360" w:lineRule="auto"/>
              <w:ind w:firstLine="480"/>
              <w:rPr>
                <w:sz w:val="24"/>
                <w:szCs w:val="24"/>
              </w:rPr>
            </w:pPr>
            <w:r>
              <w:rPr>
                <w:sz w:val="24"/>
                <w:szCs w:val="24"/>
              </w:rPr>
              <w:t>本项目用到的主要设备见下表</w:t>
            </w:r>
            <w:r>
              <w:rPr>
                <w:rFonts w:hint="eastAsia"/>
                <w:sz w:val="24"/>
                <w:szCs w:val="24"/>
                <w:lang w:val="en-US" w:eastAsia="zh-CN"/>
              </w:rPr>
              <w:t>5</w:t>
            </w:r>
            <w:r>
              <w:rPr>
                <w:sz w:val="24"/>
                <w:szCs w:val="24"/>
              </w:rPr>
              <w:t>。</w:t>
            </w:r>
          </w:p>
          <w:p>
            <w:pPr>
              <w:widowControl/>
              <w:spacing w:line="360" w:lineRule="auto"/>
              <w:ind w:firstLine="482" w:firstLineChars="200"/>
              <w:jc w:val="center"/>
              <w:rPr>
                <w:b/>
                <w:bCs/>
                <w:sz w:val="24"/>
                <w:szCs w:val="24"/>
              </w:rPr>
            </w:pPr>
            <w:r>
              <w:rPr>
                <w:b/>
                <w:bCs/>
                <w:sz w:val="24"/>
                <w:szCs w:val="24"/>
              </w:rPr>
              <w:t>表</w:t>
            </w:r>
            <w:r>
              <w:rPr>
                <w:rFonts w:hint="eastAsia"/>
                <w:b/>
                <w:bCs/>
                <w:sz w:val="24"/>
                <w:szCs w:val="24"/>
                <w:lang w:val="en-US" w:eastAsia="zh-CN"/>
              </w:rPr>
              <w:t>5</w:t>
            </w:r>
            <w:r>
              <w:rPr>
                <w:rFonts w:hint="eastAsia"/>
                <w:b/>
                <w:bCs/>
                <w:sz w:val="24"/>
                <w:szCs w:val="24"/>
              </w:rPr>
              <w:t xml:space="preserve">  </w:t>
            </w:r>
            <w:r>
              <w:rPr>
                <w:b/>
                <w:bCs/>
                <w:sz w:val="24"/>
                <w:szCs w:val="24"/>
              </w:rPr>
              <w:t>本项目主要设备清单一览表</w:t>
            </w:r>
          </w:p>
          <w:tbl>
            <w:tblPr>
              <w:tblStyle w:val="23"/>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67"/>
              <w:gridCol w:w="3181"/>
              <w:gridCol w:w="2771"/>
              <w:gridCol w:w="214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533" w:type="pct"/>
                  <w:vAlign w:val="center"/>
                </w:tcPr>
                <w:p>
                  <w:pPr>
                    <w:adjustRightInd w:val="0"/>
                    <w:snapToGrid w:val="0"/>
                    <w:spacing w:line="240" w:lineRule="atLeast"/>
                    <w:jc w:val="center"/>
                  </w:pPr>
                  <w:r>
                    <w:t>类型</w:t>
                  </w:r>
                </w:p>
              </w:tc>
              <w:tc>
                <w:tcPr>
                  <w:tcW w:w="1753" w:type="pct"/>
                  <w:vAlign w:val="center"/>
                </w:tcPr>
                <w:p>
                  <w:pPr>
                    <w:adjustRightInd w:val="0"/>
                    <w:snapToGrid w:val="0"/>
                    <w:spacing w:line="240" w:lineRule="atLeast"/>
                    <w:jc w:val="center"/>
                  </w:pPr>
                  <w:r>
                    <w:t>名称</w:t>
                  </w:r>
                </w:p>
              </w:tc>
              <w:tc>
                <w:tcPr>
                  <w:tcW w:w="1527" w:type="pct"/>
                  <w:vAlign w:val="center"/>
                </w:tcPr>
                <w:p>
                  <w:pPr>
                    <w:adjustRightInd w:val="0"/>
                    <w:snapToGrid w:val="0"/>
                    <w:spacing w:line="240" w:lineRule="atLeast"/>
                    <w:jc w:val="center"/>
                  </w:pPr>
                  <w:r>
                    <w:t>数量（台）</w:t>
                  </w:r>
                </w:p>
              </w:tc>
              <w:tc>
                <w:tcPr>
                  <w:tcW w:w="1184" w:type="pct"/>
                  <w:vAlign w:val="center"/>
                </w:tcPr>
                <w:p>
                  <w:pPr>
                    <w:adjustRightInd w:val="0"/>
                    <w:snapToGrid w:val="0"/>
                    <w:spacing w:line="240" w:lineRule="atLeast"/>
                    <w:jc w:val="center"/>
                  </w:pPr>
                  <w: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533" w:type="pct"/>
                  <w:vMerge w:val="restart"/>
                  <w:vAlign w:val="center"/>
                </w:tcPr>
                <w:p>
                  <w:pPr>
                    <w:adjustRightInd w:val="0"/>
                    <w:snapToGrid w:val="0"/>
                    <w:spacing w:line="240" w:lineRule="atLeast"/>
                    <w:jc w:val="center"/>
                  </w:pPr>
                  <w:r>
                    <w:t>生产</w:t>
                  </w:r>
                </w:p>
                <w:p>
                  <w:pPr>
                    <w:adjustRightInd w:val="0"/>
                    <w:snapToGrid w:val="0"/>
                    <w:spacing w:line="240" w:lineRule="atLeast"/>
                    <w:jc w:val="center"/>
                  </w:pPr>
                  <w:r>
                    <w:t>设备</w:t>
                  </w:r>
                </w:p>
              </w:tc>
              <w:tc>
                <w:tcPr>
                  <w:tcW w:w="1753" w:type="pct"/>
                  <w:vAlign w:val="center"/>
                </w:tcPr>
                <w:p>
                  <w:pPr>
                    <w:jc w:val="center"/>
                  </w:pPr>
                  <w:r>
                    <w:rPr>
                      <w:rFonts w:hint="eastAsia"/>
                      <w:lang w:eastAsia="zh-CN"/>
                    </w:rPr>
                    <w:t>数控车床</w:t>
                  </w:r>
                </w:p>
              </w:tc>
              <w:tc>
                <w:tcPr>
                  <w:tcW w:w="1527" w:type="pct"/>
                  <w:vAlign w:val="center"/>
                </w:tcPr>
                <w:p>
                  <w:pPr>
                    <w:jc w:val="center"/>
                    <w:rPr>
                      <w:rFonts w:hint="default"/>
                      <w:lang w:val="en-US" w:eastAsia="zh-CN"/>
                    </w:rPr>
                  </w:pPr>
                  <w:r>
                    <w:rPr>
                      <w:rFonts w:hint="eastAsia"/>
                      <w:lang w:val="en-US" w:eastAsia="zh-CN"/>
                    </w:rPr>
                    <w:t>2</w:t>
                  </w:r>
                </w:p>
              </w:tc>
              <w:tc>
                <w:tcPr>
                  <w:tcW w:w="1184" w:type="pct"/>
                  <w:vAlign w:val="center"/>
                </w:tcPr>
                <w:p>
                  <w:pPr>
                    <w:adjustRightInd w:val="0"/>
                    <w:snapToGrid w:val="0"/>
                    <w:spacing w:line="240" w:lineRule="atLeast"/>
                    <w:jc w:val="center"/>
                    <w:rPr>
                      <w:rFonts w:hint="eastAsia"/>
                      <w:lang w:eastAsia="zh-CN"/>
                    </w:rPr>
                  </w:pPr>
                  <w:r>
                    <w:rPr>
                      <w:rFonts w:hint="eastAsia"/>
                      <w:lang w:eastAsia="zh-CN"/>
                    </w:rPr>
                    <w:t>机加工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533" w:type="pct"/>
                  <w:vMerge w:val="continue"/>
                  <w:vAlign w:val="center"/>
                </w:tcPr>
                <w:p>
                  <w:pPr>
                    <w:widowControl/>
                    <w:adjustRightInd w:val="0"/>
                    <w:snapToGrid w:val="0"/>
                    <w:spacing w:line="240" w:lineRule="atLeast"/>
                    <w:jc w:val="center"/>
                  </w:pPr>
                </w:p>
              </w:tc>
              <w:tc>
                <w:tcPr>
                  <w:tcW w:w="1753" w:type="pct"/>
                  <w:vAlign w:val="center"/>
                </w:tcPr>
                <w:p>
                  <w:pPr>
                    <w:jc w:val="center"/>
                    <w:rPr>
                      <w:rFonts w:hint="eastAsia"/>
                      <w:lang w:eastAsia="zh-CN"/>
                    </w:rPr>
                  </w:pPr>
                  <w:r>
                    <w:rPr>
                      <w:rFonts w:hint="eastAsia"/>
                      <w:lang w:eastAsia="zh-CN"/>
                    </w:rPr>
                    <w:t>普通车床</w:t>
                  </w:r>
                </w:p>
              </w:tc>
              <w:tc>
                <w:tcPr>
                  <w:tcW w:w="1527" w:type="pct"/>
                  <w:vAlign w:val="center"/>
                </w:tcPr>
                <w:p>
                  <w:pPr>
                    <w:jc w:val="center"/>
                    <w:rPr>
                      <w:rFonts w:hint="default"/>
                      <w:lang w:val="en-US" w:eastAsia="zh-CN"/>
                    </w:rPr>
                  </w:pPr>
                  <w:r>
                    <w:rPr>
                      <w:rFonts w:hint="eastAsia"/>
                      <w:lang w:val="en-US" w:eastAsia="zh-CN"/>
                    </w:rPr>
                    <w:t>5</w:t>
                  </w:r>
                </w:p>
              </w:tc>
              <w:tc>
                <w:tcPr>
                  <w:tcW w:w="1184" w:type="pct"/>
                  <w:vAlign w:val="center"/>
                </w:tcPr>
                <w:p>
                  <w:pPr>
                    <w:jc w:val="center"/>
                  </w:pPr>
                  <w:r>
                    <w:rPr>
                      <w:rFonts w:hint="eastAsia"/>
                      <w:lang w:eastAsia="zh-CN"/>
                    </w:rPr>
                    <w:t>机加工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533" w:type="pct"/>
                  <w:vMerge w:val="continue"/>
                  <w:vAlign w:val="center"/>
                </w:tcPr>
                <w:p>
                  <w:pPr>
                    <w:widowControl/>
                    <w:adjustRightInd w:val="0"/>
                    <w:snapToGrid w:val="0"/>
                    <w:spacing w:line="240" w:lineRule="atLeast"/>
                    <w:jc w:val="center"/>
                  </w:pPr>
                </w:p>
              </w:tc>
              <w:tc>
                <w:tcPr>
                  <w:tcW w:w="1753" w:type="pct"/>
                  <w:vAlign w:val="center"/>
                </w:tcPr>
                <w:p>
                  <w:pPr>
                    <w:jc w:val="center"/>
                    <w:rPr>
                      <w:rFonts w:hint="eastAsia"/>
                      <w:lang w:eastAsia="zh-CN"/>
                    </w:rPr>
                  </w:pPr>
                  <w:r>
                    <w:rPr>
                      <w:rFonts w:hint="eastAsia"/>
                      <w:lang w:eastAsia="zh-CN"/>
                    </w:rPr>
                    <w:t>数控中心</w:t>
                  </w:r>
                </w:p>
              </w:tc>
              <w:tc>
                <w:tcPr>
                  <w:tcW w:w="1527" w:type="pct"/>
                  <w:vAlign w:val="center"/>
                </w:tcPr>
                <w:p>
                  <w:pPr>
                    <w:jc w:val="center"/>
                    <w:rPr>
                      <w:rFonts w:hint="default"/>
                      <w:lang w:val="en-US" w:eastAsia="zh-CN"/>
                    </w:rPr>
                  </w:pPr>
                  <w:r>
                    <w:rPr>
                      <w:rFonts w:hint="eastAsia"/>
                      <w:lang w:val="en-US" w:eastAsia="zh-CN"/>
                    </w:rPr>
                    <w:t>2</w:t>
                  </w:r>
                </w:p>
              </w:tc>
              <w:tc>
                <w:tcPr>
                  <w:tcW w:w="1184" w:type="pct"/>
                  <w:vAlign w:val="center"/>
                </w:tcPr>
                <w:p>
                  <w:pPr>
                    <w:jc w:val="center"/>
                  </w:pPr>
                  <w:r>
                    <w:rPr>
                      <w:rFonts w:hint="eastAsia"/>
                      <w:lang w:eastAsia="zh-CN"/>
                    </w:rPr>
                    <w:t>机加工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533" w:type="pct"/>
                  <w:vMerge w:val="continue"/>
                  <w:vAlign w:val="center"/>
                </w:tcPr>
                <w:p>
                  <w:pPr>
                    <w:widowControl/>
                    <w:adjustRightInd w:val="0"/>
                    <w:snapToGrid w:val="0"/>
                    <w:spacing w:line="240" w:lineRule="atLeast"/>
                    <w:jc w:val="center"/>
                  </w:pPr>
                </w:p>
              </w:tc>
              <w:tc>
                <w:tcPr>
                  <w:tcW w:w="1753" w:type="pct"/>
                  <w:vAlign w:val="center"/>
                </w:tcPr>
                <w:p>
                  <w:pPr>
                    <w:jc w:val="center"/>
                    <w:rPr>
                      <w:rFonts w:hint="eastAsia"/>
                      <w:lang w:eastAsia="zh-CN"/>
                    </w:rPr>
                  </w:pPr>
                  <w:r>
                    <w:rPr>
                      <w:rFonts w:hint="eastAsia"/>
                      <w:lang w:eastAsia="zh-CN"/>
                    </w:rPr>
                    <w:t>钻床</w:t>
                  </w:r>
                </w:p>
              </w:tc>
              <w:tc>
                <w:tcPr>
                  <w:tcW w:w="1527" w:type="pct"/>
                  <w:vAlign w:val="center"/>
                </w:tcPr>
                <w:p>
                  <w:pPr>
                    <w:jc w:val="center"/>
                    <w:rPr>
                      <w:rFonts w:hint="eastAsia"/>
                      <w:lang w:val="en-US" w:eastAsia="zh-CN"/>
                    </w:rPr>
                  </w:pPr>
                  <w:r>
                    <w:rPr>
                      <w:rFonts w:hint="eastAsia"/>
                      <w:lang w:val="en-US" w:eastAsia="zh-CN"/>
                    </w:rPr>
                    <w:t>3</w:t>
                  </w:r>
                </w:p>
              </w:tc>
              <w:tc>
                <w:tcPr>
                  <w:tcW w:w="1184" w:type="pct"/>
                  <w:vAlign w:val="center"/>
                </w:tcPr>
                <w:p>
                  <w:pPr>
                    <w:jc w:val="center"/>
                    <w:rPr>
                      <w:rFonts w:hint="eastAsia"/>
                      <w:lang w:eastAsia="zh-CN"/>
                    </w:rPr>
                  </w:pPr>
                  <w:r>
                    <w:rPr>
                      <w:rFonts w:hint="eastAsia"/>
                      <w:lang w:eastAsia="zh-CN"/>
                    </w:rPr>
                    <w:t>机加工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4" w:hRule="atLeast"/>
                <w:jc w:val="center"/>
              </w:trPr>
              <w:tc>
                <w:tcPr>
                  <w:tcW w:w="533" w:type="pct"/>
                  <w:vMerge w:val="continue"/>
                  <w:vAlign w:val="center"/>
                </w:tcPr>
                <w:p>
                  <w:pPr>
                    <w:widowControl/>
                    <w:adjustRightInd w:val="0"/>
                    <w:snapToGrid w:val="0"/>
                    <w:spacing w:line="240" w:lineRule="atLeast"/>
                    <w:jc w:val="center"/>
                  </w:pPr>
                </w:p>
              </w:tc>
              <w:tc>
                <w:tcPr>
                  <w:tcW w:w="1753" w:type="pct"/>
                  <w:vAlign w:val="center"/>
                </w:tcPr>
                <w:p>
                  <w:pPr>
                    <w:jc w:val="center"/>
                    <w:rPr>
                      <w:rFonts w:hint="eastAsia"/>
                      <w:lang w:eastAsia="zh-CN"/>
                    </w:rPr>
                  </w:pPr>
                  <w:r>
                    <w:rPr>
                      <w:rFonts w:hint="eastAsia"/>
                      <w:lang w:eastAsia="zh-CN"/>
                    </w:rPr>
                    <w:t>铣床</w:t>
                  </w:r>
                </w:p>
              </w:tc>
              <w:tc>
                <w:tcPr>
                  <w:tcW w:w="1527" w:type="pct"/>
                  <w:vAlign w:val="center"/>
                </w:tcPr>
                <w:p>
                  <w:pPr>
                    <w:jc w:val="center"/>
                    <w:rPr>
                      <w:rFonts w:hint="eastAsia"/>
                      <w:lang w:val="en-US" w:eastAsia="zh-CN"/>
                    </w:rPr>
                  </w:pPr>
                  <w:r>
                    <w:rPr>
                      <w:rFonts w:hint="eastAsia"/>
                      <w:lang w:val="en-US" w:eastAsia="zh-CN"/>
                    </w:rPr>
                    <w:t>3</w:t>
                  </w:r>
                </w:p>
              </w:tc>
              <w:tc>
                <w:tcPr>
                  <w:tcW w:w="1184" w:type="pct"/>
                  <w:vAlign w:val="center"/>
                </w:tcPr>
                <w:p>
                  <w:pPr>
                    <w:jc w:val="center"/>
                    <w:rPr>
                      <w:rFonts w:hint="eastAsia"/>
                      <w:lang w:eastAsia="zh-CN"/>
                    </w:rPr>
                  </w:pPr>
                  <w:r>
                    <w:rPr>
                      <w:rFonts w:hint="eastAsia"/>
                      <w:lang w:eastAsia="zh-CN"/>
                    </w:rPr>
                    <w:t>机加工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33" w:type="pct"/>
                  <w:vMerge w:val="continue"/>
                  <w:vAlign w:val="center"/>
                </w:tcPr>
                <w:p>
                  <w:pPr>
                    <w:widowControl/>
                    <w:adjustRightInd w:val="0"/>
                    <w:snapToGrid w:val="0"/>
                    <w:spacing w:line="240" w:lineRule="atLeast"/>
                    <w:jc w:val="center"/>
                  </w:pPr>
                </w:p>
              </w:tc>
              <w:tc>
                <w:tcPr>
                  <w:tcW w:w="1753" w:type="pct"/>
                  <w:vAlign w:val="center"/>
                </w:tcPr>
                <w:p>
                  <w:pPr>
                    <w:jc w:val="center"/>
                    <w:rPr>
                      <w:rFonts w:hint="eastAsia"/>
                      <w:lang w:eastAsia="zh-CN"/>
                    </w:rPr>
                  </w:pPr>
                  <w:r>
                    <w:rPr>
                      <w:rFonts w:hint="eastAsia"/>
                      <w:lang w:eastAsia="zh-CN"/>
                    </w:rPr>
                    <w:t>焊机</w:t>
                  </w:r>
                </w:p>
              </w:tc>
              <w:tc>
                <w:tcPr>
                  <w:tcW w:w="1527" w:type="pct"/>
                  <w:vAlign w:val="center"/>
                </w:tcPr>
                <w:p>
                  <w:pPr>
                    <w:jc w:val="center"/>
                    <w:rPr>
                      <w:rFonts w:hint="default"/>
                      <w:lang w:val="en-US" w:eastAsia="zh-CN"/>
                    </w:rPr>
                  </w:pPr>
                  <w:r>
                    <w:rPr>
                      <w:rFonts w:hint="eastAsia"/>
                      <w:lang w:val="en-US" w:eastAsia="zh-CN"/>
                    </w:rPr>
                    <w:t>1</w:t>
                  </w:r>
                </w:p>
              </w:tc>
              <w:tc>
                <w:tcPr>
                  <w:tcW w:w="1184" w:type="pct"/>
                  <w:vAlign w:val="center"/>
                </w:tcPr>
                <w:p>
                  <w:pPr>
                    <w:jc w:val="center"/>
                    <w:rPr>
                      <w:rFonts w:hint="eastAsia"/>
                      <w:lang w:eastAsia="zh-CN"/>
                    </w:rPr>
                  </w:pPr>
                  <w:r>
                    <w:rPr>
                      <w:rFonts w:hint="eastAsia"/>
                      <w:lang w:eastAsia="zh-CN"/>
                    </w:rPr>
                    <w:t>焊接</w:t>
                  </w:r>
                </w:p>
              </w:tc>
            </w:tr>
          </w:tbl>
          <w:p>
            <w:pPr>
              <w:spacing w:line="360" w:lineRule="auto"/>
              <w:ind w:firstLine="482" w:firstLineChars="200"/>
              <w:rPr>
                <w:b/>
                <w:bCs/>
                <w:sz w:val="24"/>
                <w:szCs w:val="24"/>
              </w:rPr>
            </w:pPr>
            <w:r>
              <w:rPr>
                <w:rFonts w:hint="eastAsia"/>
                <w:b/>
                <w:bCs/>
                <w:sz w:val="24"/>
                <w:szCs w:val="24"/>
                <w:lang w:val="en-US" w:eastAsia="zh-CN"/>
              </w:rPr>
              <w:t>2.5</w:t>
            </w:r>
            <w:r>
              <w:rPr>
                <w:b/>
                <w:bCs/>
                <w:sz w:val="24"/>
                <w:szCs w:val="24"/>
              </w:rPr>
              <w:t>、投资估算及资金来源</w:t>
            </w:r>
          </w:p>
          <w:p>
            <w:pPr>
              <w:spacing w:line="360" w:lineRule="auto"/>
              <w:ind w:firstLine="480"/>
              <w:rPr>
                <w:sz w:val="24"/>
                <w:szCs w:val="24"/>
              </w:rPr>
            </w:pPr>
            <w:r>
              <w:rPr>
                <w:sz w:val="24"/>
                <w:szCs w:val="24"/>
              </w:rPr>
              <w:t>本项目总投资</w:t>
            </w:r>
            <w:r>
              <w:rPr>
                <w:rFonts w:hint="eastAsia"/>
                <w:sz w:val="24"/>
                <w:szCs w:val="24"/>
                <w:lang w:val="en-US" w:eastAsia="zh-CN"/>
              </w:rPr>
              <w:t>100</w:t>
            </w:r>
            <w:r>
              <w:rPr>
                <w:sz w:val="24"/>
                <w:szCs w:val="24"/>
              </w:rPr>
              <w:t>万元，</w:t>
            </w:r>
            <w:r>
              <w:rPr>
                <w:rFonts w:hint="eastAsia"/>
                <w:sz w:val="24"/>
                <w:szCs w:val="24"/>
              </w:rPr>
              <w:t>全部为</w:t>
            </w:r>
            <w:r>
              <w:rPr>
                <w:sz w:val="24"/>
                <w:szCs w:val="24"/>
              </w:rPr>
              <w:t>企业自筹。</w:t>
            </w:r>
          </w:p>
          <w:p>
            <w:pPr>
              <w:spacing w:line="360" w:lineRule="auto"/>
              <w:ind w:firstLine="480"/>
              <w:rPr>
                <w:b/>
                <w:bCs/>
                <w:sz w:val="24"/>
                <w:szCs w:val="24"/>
              </w:rPr>
            </w:pPr>
            <w:r>
              <w:rPr>
                <w:rFonts w:hint="eastAsia"/>
                <w:b/>
                <w:bCs/>
                <w:sz w:val="24"/>
                <w:szCs w:val="24"/>
                <w:lang w:val="en-US" w:eastAsia="zh-CN"/>
              </w:rPr>
              <w:t>2.6</w:t>
            </w:r>
            <w:r>
              <w:rPr>
                <w:b/>
                <w:bCs/>
                <w:sz w:val="24"/>
                <w:szCs w:val="24"/>
              </w:rPr>
              <w:t>、劳动定员及工作制度</w:t>
            </w:r>
          </w:p>
          <w:p>
            <w:pPr>
              <w:widowControl/>
              <w:spacing w:line="360" w:lineRule="auto"/>
              <w:ind w:firstLine="480" w:firstLineChars="200"/>
              <w:rPr>
                <w:sz w:val="24"/>
                <w:szCs w:val="24"/>
              </w:rPr>
            </w:pPr>
            <w:r>
              <w:rPr>
                <w:rFonts w:hint="eastAsia"/>
                <w:sz w:val="24"/>
                <w:szCs w:val="24"/>
              </w:rPr>
              <w:t>本项目劳动总定员</w:t>
            </w:r>
            <w:r>
              <w:rPr>
                <w:rFonts w:hint="eastAsia"/>
                <w:sz w:val="24"/>
                <w:szCs w:val="24"/>
                <w:lang w:val="en-US" w:eastAsia="zh-CN"/>
              </w:rPr>
              <w:t>20</w:t>
            </w:r>
            <w:r>
              <w:rPr>
                <w:rFonts w:hint="eastAsia"/>
                <w:sz w:val="24"/>
                <w:szCs w:val="24"/>
              </w:rPr>
              <w:t>人，实行8小时制度，年工作300天，</w:t>
            </w:r>
            <w:r>
              <w:rPr>
                <w:sz w:val="24"/>
                <w:szCs w:val="24"/>
              </w:rPr>
              <w:t>厂区</w:t>
            </w:r>
            <w:r>
              <w:rPr>
                <w:rFonts w:hint="eastAsia"/>
                <w:sz w:val="24"/>
                <w:szCs w:val="24"/>
              </w:rPr>
              <w:t>不设</w:t>
            </w:r>
            <w:r>
              <w:rPr>
                <w:sz w:val="24"/>
                <w:szCs w:val="24"/>
              </w:rPr>
              <w:t>职工食堂和宿舍。</w:t>
            </w:r>
          </w:p>
          <w:p>
            <w:pPr>
              <w:spacing w:line="360" w:lineRule="auto"/>
              <w:ind w:firstLine="482"/>
              <w:rPr>
                <w:b/>
                <w:bCs/>
                <w:sz w:val="24"/>
                <w:szCs w:val="24"/>
              </w:rPr>
            </w:pPr>
            <w:r>
              <w:rPr>
                <w:rFonts w:hint="eastAsia"/>
                <w:b/>
                <w:bCs/>
                <w:sz w:val="24"/>
                <w:szCs w:val="24"/>
                <w:lang w:val="en-US" w:eastAsia="zh-CN"/>
              </w:rPr>
              <w:t>2.7</w:t>
            </w:r>
            <w:r>
              <w:rPr>
                <w:b/>
                <w:bCs/>
                <w:sz w:val="24"/>
                <w:szCs w:val="24"/>
              </w:rPr>
              <w:t>、公用设施</w:t>
            </w:r>
          </w:p>
          <w:p>
            <w:pPr>
              <w:adjustRightInd w:val="0"/>
              <w:snapToGrid w:val="0"/>
              <w:spacing w:line="360" w:lineRule="auto"/>
              <w:ind w:firstLine="470" w:firstLineChars="196"/>
              <w:rPr>
                <w:sz w:val="24"/>
                <w:szCs w:val="24"/>
              </w:rPr>
            </w:pPr>
            <w:r>
              <w:rPr>
                <w:sz w:val="24"/>
                <w:szCs w:val="24"/>
              </w:rPr>
              <w:t>供水：本项目用</w:t>
            </w:r>
            <w:r>
              <w:rPr>
                <w:rFonts w:hint="eastAsia"/>
                <w:sz w:val="24"/>
                <w:szCs w:val="24"/>
                <w:lang w:eastAsia="zh-CN"/>
              </w:rPr>
              <w:t>水</w:t>
            </w:r>
            <w:r>
              <w:rPr>
                <w:sz w:val="24"/>
                <w:szCs w:val="24"/>
              </w:rPr>
              <w:t>由</w:t>
            </w:r>
            <w:r>
              <w:rPr>
                <w:rFonts w:hint="eastAsia"/>
                <w:sz w:val="24"/>
                <w:szCs w:val="24"/>
                <w:lang w:eastAsia="zh-CN"/>
              </w:rPr>
              <w:t>平顶山市卫东区市政</w:t>
            </w:r>
            <w:r>
              <w:rPr>
                <w:sz w:val="24"/>
                <w:szCs w:val="24"/>
              </w:rPr>
              <w:t>供</w:t>
            </w:r>
            <w:r>
              <w:rPr>
                <w:rFonts w:hint="eastAsia"/>
                <w:sz w:val="24"/>
                <w:szCs w:val="24"/>
                <w:lang w:eastAsia="zh-CN"/>
              </w:rPr>
              <w:t>水管</w:t>
            </w:r>
            <w:r>
              <w:rPr>
                <w:sz w:val="24"/>
                <w:szCs w:val="24"/>
              </w:rPr>
              <w:t>网供给，可满足本工程用水需要。</w:t>
            </w:r>
          </w:p>
          <w:p>
            <w:pPr>
              <w:adjustRightInd w:val="0"/>
              <w:snapToGrid w:val="0"/>
              <w:spacing w:line="360" w:lineRule="auto"/>
              <w:ind w:firstLine="470" w:firstLineChars="196"/>
              <w:rPr>
                <w:sz w:val="24"/>
                <w:szCs w:val="24"/>
              </w:rPr>
            </w:pPr>
            <w:r>
              <w:rPr>
                <w:sz w:val="24"/>
                <w:szCs w:val="24"/>
              </w:rPr>
              <w:t>供电：本项目用电由</w:t>
            </w:r>
            <w:r>
              <w:rPr>
                <w:rFonts w:hint="eastAsia"/>
                <w:sz w:val="24"/>
                <w:szCs w:val="24"/>
                <w:lang w:eastAsia="zh-CN"/>
              </w:rPr>
              <w:t>平顶山市卫东区市政</w:t>
            </w:r>
            <w:r>
              <w:rPr>
                <w:sz w:val="24"/>
                <w:szCs w:val="24"/>
              </w:rPr>
              <w:t>供电</w:t>
            </w:r>
            <w:r>
              <w:rPr>
                <w:rFonts w:hint="eastAsia"/>
                <w:sz w:val="24"/>
                <w:szCs w:val="24"/>
                <w:lang w:eastAsia="zh-CN"/>
              </w:rPr>
              <w:t>电</w:t>
            </w:r>
            <w:r>
              <w:rPr>
                <w:sz w:val="24"/>
                <w:szCs w:val="24"/>
              </w:rPr>
              <w:t>网供给，可以满足项目用电需要。</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sz w:val="24"/>
                <w:szCs w:val="24"/>
                <w:lang w:val="en-US" w:eastAsia="zh-CN"/>
              </w:rPr>
            </w:pPr>
            <w:r>
              <w:rPr>
                <w:sz w:val="24"/>
                <w:szCs w:val="24"/>
              </w:rPr>
              <w:t>排水：厂区</w:t>
            </w:r>
            <w:r>
              <w:rPr>
                <w:rFonts w:hint="eastAsia"/>
                <w:sz w:val="24"/>
                <w:szCs w:val="24"/>
              </w:rPr>
              <w:t>雨污分流</w:t>
            </w:r>
            <w:r>
              <w:rPr>
                <w:sz w:val="24"/>
                <w:szCs w:val="24"/>
              </w:rPr>
              <w:t>，雨水经收集后排至</w:t>
            </w:r>
            <w:r>
              <w:rPr>
                <w:rFonts w:hint="eastAsia"/>
                <w:sz w:val="24"/>
                <w:szCs w:val="24"/>
              </w:rPr>
              <w:t>东侧的申楼沟，最终汇入湛河</w:t>
            </w:r>
            <w:r>
              <w:rPr>
                <w:sz w:val="24"/>
                <w:szCs w:val="24"/>
              </w:rPr>
              <w:t>。</w:t>
            </w:r>
            <w:r>
              <w:rPr>
                <w:rFonts w:hint="eastAsia"/>
                <w:sz w:val="24"/>
                <w:szCs w:val="24"/>
                <w:lang w:eastAsia="zh-CN"/>
              </w:rPr>
              <w:t>生活污水依托厂区现有化粪池处理后排入城市污水管网。厂区水平衡图见图</w:t>
            </w:r>
            <w:r>
              <w:rPr>
                <w:rFonts w:hint="eastAsia"/>
                <w:sz w:val="24"/>
                <w:szCs w:val="24"/>
                <w:lang w:val="en-US" w:eastAsia="zh-CN"/>
              </w:rPr>
              <w:t>1。</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lang w:val="en-US" w:eastAsia="zh-CN"/>
              </w:rPr>
            </w:pPr>
            <w:r>
              <w:rPr>
                <w:rFonts w:hint="default"/>
                <w:lang w:val="en-US" w:eastAsia="zh-CN"/>
              </w:rPr>
              <w:drawing>
                <wp:inline distT="0" distB="0" distL="114300" distR="114300">
                  <wp:extent cx="5443855" cy="743585"/>
                  <wp:effectExtent l="0" t="0" r="4445" b="18415"/>
                  <wp:docPr id="8" name="图片 8" descr="绘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绘图1.jpg"/>
                          <pic:cNvPicPr>
                            <a:picLocks noChangeAspect="1"/>
                          </pic:cNvPicPr>
                        </pic:nvPicPr>
                        <pic:blipFill>
                          <a:blip r:embed="rId16"/>
                          <a:stretch>
                            <a:fillRect/>
                          </a:stretch>
                        </pic:blipFill>
                        <pic:spPr>
                          <a:xfrm>
                            <a:off x="0" y="0"/>
                            <a:ext cx="5443855" cy="743585"/>
                          </a:xfrm>
                          <a:prstGeom prst="rect">
                            <a:avLst/>
                          </a:prstGeom>
                        </pic:spPr>
                      </pic:pic>
                    </a:graphicData>
                  </a:graphic>
                </wp:inline>
              </w:drawing>
            </w:r>
          </w:p>
          <w:p>
            <w:pPr>
              <w:pStyle w:val="2"/>
              <w:keepNext w:val="0"/>
              <w:keepLines w:val="0"/>
              <w:pageBreakBefore w:val="0"/>
              <w:widowControl w:val="0"/>
              <w:kinsoku/>
              <w:wordWrap/>
              <w:overflowPunct/>
              <w:topLinePunct w:val="0"/>
              <w:autoSpaceDE w:val="0"/>
              <w:autoSpaceDN w:val="0"/>
              <w:bidi w:val="0"/>
              <w:adjustRightInd w:val="0"/>
              <w:snapToGrid/>
              <w:spacing w:before="0" w:line="240" w:lineRule="auto"/>
              <w:ind w:left="91" w:right="6"/>
              <w:jc w:val="center"/>
              <w:textAlignment w:val="auto"/>
              <w:rPr>
                <w:rFonts w:hint="default"/>
                <w:lang w:val="en-US" w:eastAsia="zh-CN"/>
              </w:rPr>
            </w:pPr>
            <w:r>
              <w:rPr>
                <w:rFonts w:ascii="Times New Roman" w:hAnsi="Times New Roman" w:eastAsia="宋体" w:cs="Times New Roman"/>
                <w:b/>
                <w:color w:val="000000"/>
                <w:sz w:val="24"/>
                <w:szCs w:val="24"/>
              </w:rPr>
              <w:t>图</w:t>
            </w:r>
            <w:r>
              <w:rPr>
                <w:rFonts w:hint="eastAsia" w:ascii="Times New Roman" w:hAnsi="Times New Roman" w:eastAsia="宋体" w:cs="Times New Roman"/>
                <w:b/>
                <w:color w:val="000000"/>
                <w:sz w:val="24"/>
                <w:szCs w:val="24"/>
                <w:lang w:val="en-US" w:eastAsia="zh-CN"/>
              </w:rPr>
              <w:t>1</w:t>
            </w:r>
            <w:r>
              <w:rPr>
                <w:rFonts w:hint="eastAsia" w:ascii="Times New Roman" w:hAnsi="Times New Roman" w:eastAsia="宋体" w:cs="Times New Roman"/>
                <w:b/>
                <w:color w:val="000000"/>
                <w:sz w:val="24"/>
                <w:szCs w:val="24"/>
              </w:rPr>
              <w:t xml:space="preserve">  </w:t>
            </w:r>
            <w:r>
              <w:rPr>
                <w:rFonts w:ascii="Times New Roman" w:hAnsi="Times New Roman" w:eastAsia="宋体" w:cs="Times New Roman"/>
                <w:b/>
                <w:color w:val="000000"/>
                <w:sz w:val="24"/>
                <w:szCs w:val="24"/>
              </w:rPr>
              <w:t>本项目水平衡示意图（m</w:t>
            </w:r>
            <w:r>
              <w:rPr>
                <w:rFonts w:ascii="Times New Roman" w:hAnsi="Times New Roman" w:eastAsia="宋体" w:cs="Times New Roman"/>
                <w:b/>
                <w:color w:val="000000"/>
                <w:sz w:val="24"/>
                <w:szCs w:val="24"/>
                <w:vertAlign w:val="superscript"/>
              </w:rPr>
              <w:t>3</w:t>
            </w:r>
            <w:r>
              <w:rPr>
                <w:rFonts w:ascii="Times New Roman" w:hAnsi="Times New Roman" w:eastAsia="宋体" w:cs="Times New Roman"/>
                <w:b/>
                <w:color w:val="000000"/>
                <w:sz w:val="24"/>
                <w:szCs w:val="24"/>
              </w:rPr>
              <w:t>/</w:t>
            </w:r>
            <w:r>
              <w:rPr>
                <w:rFonts w:hint="eastAsia" w:ascii="Times New Roman" w:hAnsi="Times New Roman" w:eastAsia="宋体" w:cs="Times New Roman"/>
                <w:b/>
                <w:color w:val="000000"/>
                <w:sz w:val="24"/>
                <w:szCs w:val="24"/>
                <w:lang w:val="en-US" w:eastAsia="zh-CN"/>
              </w:rPr>
              <w:t>d</w:t>
            </w:r>
            <w:r>
              <w:rPr>
                <w:rFonts w:ascii="Times New Roman" w:hAnsi="Times New Roman" w:eastAsia="宋体" w:cs="Times New Roman"/>
                <w:b/>
                <w:color w:val="000000"/>
                <w:sz w:val="24"/>
                <w:szCs w:val="24"/>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105" w:hRule="atLeast"/>
        </w:trPr>
        <w:tc>
          <w:tcPr>
            <w:tcW w:w="9286" w:type="dxa"/>
            <w:gridSpan w:val="9"/>
            <w:vAlign w:val="top"/>
          </w:tcPr>
          <w:p>
            <w:pPr>
              <w:spacing w:before="240" w:line="520" w:lineRule="exact"/>
              <w:jc w:val="left"/>
              <w:rPr>
                <w:rFonts w:ascii="Times New Roman" w:hAnsi="Times New Roman" w:eastAsia="宋体"/>
                <w:b/>
                <w:sz w:val="28"/>
                <w:szCs w:val="28"/>
              </w:rPr>
            </w:pPr>
            <w:r>
              <w:rPr>
                <w:rFonts w:ascii="Times New Roman" w:hAnsi="Times New Roman" w:eastAsia="宋体"/>
                <w:b/>
                <w:sz w:val="28"/>
                <w:szCs w:val="28"/>
              </w:rPr>
              <w:t>与本项目有关的原有污染情况及主要环境问题：</w:t>
            </w:r>
          </w:p>
          <w:p>
            <w:pPr>
              <w:spacing w:line="500" w:lineRule="exact"/>
              <w:ind w:firstLine="480" w:firstLineChars="200"/>
              <w:jc w:val="left"/>
              <w:rPr>
                <w:rFonts w:ascii="Times New Roman" w:hAnsi="Times New Roman" w:eastAsia="宋体"/>
                <w:sz w:val="24"/>
              </w:rPr>
            </w:pPr>
            <w:r>
              <w:rPr>
                <w:color w:val="000000"/>
                <w:sz w:val="24"/>
              </w:rPr>
              <w:t>本项目为新建项目，</w:t>
            </w:r>
            <w:bookmarkStart w:id="0" w:name="_Hlk524599038"/>
            <w:bookmarkStart w:id="1" w:name="_Hlk524792548"/>
            <w:r>
              <w:rPr>
                <w:rFonts w:hint="eastAsia"/>
                <w:color w:val="000000"/>
                <w:sz w:val="24"/>
              </w:rPr>
              <w:t>租赁</w:t>
            </w:r>
            <w:r>
              <w:rPr>
                <w:color w:val="000000"/>
                <w:sz w:val="24"/>
              </w:rPr>
              <w:t>已建成</w:t>
            </w:r>
            <w:r>
              <w:rPr>
                <w:rFonts w:hint="eastAsia"/>
                <w:color w:val="000000"/>
                <w:sz w:val="24"/>
              </w:rPr>
              <w:t>空置</w:t>
            </w:r>
            <w:r>
              <w:rPr>
                <w:color w:val="000000"/>
                <w:sz w:val="24"/>
              </w:rPr>
              <w:t>生产厂房进行建设</w:t>
            </w:r>
            <w:bookmarkEnd w:id="0"/>
            <w:bookmarkEnd w:id="1"/>
            <w:r>
              <w:rPr>
                <w:color w:val="000000"/>
                <w:sz w:val="24"/>
              </w:rPr>
              <w:t>，无现有污染及环境问题</w:t>
            </w:r>
            <w:r>
              <w:rPr>
                <w:rFonts w:hint="eastAsia" w:ascii="宋体" w:cs="宋体"/>
                <w:color w:val="000000"/>
                <w:kern w:val="0"/>
                <w:sz w:val="24"/>
              </w:rPr>
              <w:t>。</w:t>
            </w:r>
          </w:p>
        </w:tc>
      </w:tr>
    </w:tbl>
    <w:p>
      <w:pPr>
        <w:spacing w:line="360" w:lineRule="auto"/>
        <w:rPr>
          <w:rFonts w:eastAsia="黑体"/>
          <w:b/>
          <w:sz w:val="30"/>
        </w:rPr>
      </w:pPr>
      <w:r>
        <w:rPr>
          <w:sz w:val="28"/>
        </w:rPr>
        <w:br w:type="page"/>
      </w:r>
      <w:r>
        <w:rPr>
          <w:rFonts w:eastAsia="黑体"/>
          <w:b/>
          <w:sz w:val="30"/>
        </w:rPr>
        <w:t>建设项目所在地自然环境社会环境简况</w:t>
      </w:r>
    </w:p>
    <w:tbl>
      <w:tblPr>
        <w:tblStyle w:val="23"/>
        <w:tblW w:w="0" w:type="auto"/>
        <w:tblInd w:w="0" w:type="dxa"/>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fixed"/>
        <w:tblCellMar>
          <w:top w:w="0" w:type="dxa"/>
          <w:left w:w="108" w:type="dxa"/>
          <w:bottom w:w="0" w:type="dxa"/>
          <w:right w:w="108" w:type="dxa"/>
        </w:tblCellMar>
      </w:tblPr>
      <w:tblGrid>
        <w:gridCol w:w="9286"/>
      </w:tblGrid>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c>
          <w:tcPr>
            <w:tcW w:w="9286" w:type="dxa"/>
            <w:tcBorders>
              <w:top w:val="single" w:color="auto" w:sz="12" w:space="0"/>
              <w:left w:val="single" w:color="auto" w:sz="12" w:space="0"/>
              <w:bottom w:val="single" w:color="auto" w:sz="6" w:space="0"/>
              <w:right w:val="single" w:color="auto" w:sz="12" w:space="0"/>
            </w:tcBorders>
          </w:tcPr>
          <w:p>
            <w:pPr>
              <w:spacing w:before="240" w:line="360" w:lineRule="auto"/>
              <w:rPr>
                <w:rFonts w:ascii="Times New Roman" w:hAnsi="Times New Roman" w:eastAsia="宋体"/>
                <w:b/>
                <w:spacing w:val="-6"/>
                <w:sz w:val="28"/>
              </w:rPr>
            </w:pPr>
            <w:r>
              <w:rPr>
                <w:rFonts w:ascii="Times New Roman" w:hAnsi="Times New Roman" w:eastAsia="宋体"/>
                <w:b/>
                <w:spacing w:val="-6"/>
                <w:sz w:val="28"/>
              </w:rPr>
              <w:t>自然环境简况(地形、地貌、地质、气候、气象、水文、植被、生物多样性等)：</w:t>
            </w:r>
          </w:p>
          <w:p>
            <w:pPr>
              <w:spacing w:line="520" w:lineRule="atLeast"/>
              <w:ind w:firstLine="482"/>
              <w:rPr>
                <w:rFonts w:ascii="Times New Roman" w:hAnsi="Times New Roman" w:eastAsia="宋体"/>
                <w:b/>
                <w:sz w:val="24"/>
              </w:rPr>
            </w:pPr>
            <w:r>
              <w:rPr>
                <w:rFonts w:ascii="Times New Roman" w:hAnsi="Times New Roman" w:eastAsia="宋体"/>
                <w:b/>
                <w:sz w:val="24"/>
              </w:rPr>
              <w:t>1、地理位置</w:t>
            </w:r>
          </w:p>
          <w:p>
            <w:pPr>
              <w:pStyle w:val="35"/>
              <w:ind w:firstLine="480"/>
              <w:rPr>
                <w:rFonts w:ascii="Times New Roman" w:hAnsi="Times New Roman" w:eastAsia="宋体"/>
                <w:color w:val="000000"/>
              </w:rPr>
            </w:pPr>
            <w:r>
              <w:rPr>
                <w:rFonts w:ascii="Times New Roman" w:hAnsi="Times New Roman" w:eastAsia="宋体"/>
                <w:color w:val="000000"/>
              </w:rPr>
              <w:t>平顶山市位于河南省中南部，中国煤炭工业城市，西靠伏牛山，并联接洛阳；东接黄淮平原和漯河市；南与驻马店市、南阳市为邻；北与郑州市、许昌市相接。全境西高东低，呈阶梯状递降，海拔最高2153米，最低68.5米；东西长150公里，南北宽140公里，现已成为以能源、原材料工业为主体，煤炭、电力、钢铁、纺织、化工等工业综合发展的新兴工业城市，以其得天独厚的地理位置、丰富的自然资源、雄厚的经济实力以及源远流长的灿烂文化，越来越为中外所瞩目。平顶山地处京广、焦枝两大铁路干线之间，并有漯宝铁路与两大干线相连。项目地理位置图见附图一。</w:t>
            </w:r>
          </w:p>
          <w:p>
            <w:pPr>
              <w:pStyle w:val="67"/>
              <w:spacing w:line="520" w:lineRule="atLeast"/>
              <w:ind w:firstLine="480" w:firstLineChars="200"/>
              <w:rPr>
                <w:rFonts w:ascii="Times New Roman" w:hAnsi="Times New Roman" w:eastAsia="宋体"/>
                <w:color w:val="000000"/>
                <w:sz w:val="24"/>
              </w:rPr>
            </w:pPr>
            <w:r>
              <w:rPr>
                <w:rFonts w:hint="eastAsia" w:ascii="Times New Roman" w:hAnsi="Times New Roman" w:eastAsia="宋体"/>
                <w:color w:val="000000"/>
                <w:sz w:val="24"/>
              </w:rPr>
              <w:t>卫东区位于平顶山市市区东部，地处外方山余脉和黄淮平原的过渡地带，地理坐标为北纬</w:t>
            </w:r>
            <w:r>
              <w:rPr>
                <w:rFonts w:ascii="Times New Roman" w:hAnsi="Times New Roman" w:eastAsia="宋体"/>
                <w:color w:val="000000"/>
                <w:sz w:val="24"/>
              </w:rPr>
              <w:t>33°44′—33°49′</w:t>
            </w:r>
            <w:r>
              <w:rPr>
                <w:rFonts w:hint="eastAsia" w:ascii="Times New Roman" w:hAnsi="Times New Roman" w:eastAsia="宋体"/>
                <w:color w:val="000000"/>
                <w:sz w:val="24"/>
              </w:rPr>
              <w:t>，东经</w:t>
            </w:r>
            <w:r>
              <w:rPr>
                <w:rFonts w:ascii="Times New Roman" w:hAnsi="Times New Roman" w:eastAsia="宋体"/>
                <w:color w:val="000000"/>
                <w:sz w:val="24"/>
              </w:rPr>
              <w:t>113°18′—113°28′</w:t>
            </w:r>
            <w:r>
              <w:rPr>
                <w:rFonts w:hint="eastAsia" w:ascii="Times New Roman" w:hAnsi="Times New Roman" w:eastAsia="宋体"/>
                <w:color w:val="000000"/>
                <w:sz w:val="24"/>
              </w:rPr>
              <w:t>。东及东南与叶县接壤，南隔湛河与湛河区相望，西与新华区交界，西北和宝丰县连接，北与郏县为邻，东北与许昌市襄城县相连。许（昌）南（阳）公路纵穿东部，漯（河）宝（丰）铁路横亘南部。南北最大纵距</w:t>
            </w:r>
            <w:r>
              <w:rPr>
                <w:rFonts w:ascii="Times New Roman" w:hAnsi="Times New Roman" w:eastAsia="宋体"/>
                <w:color w:val="000000"/>
                <w:sz w:val="24"/>
              </w:rPr>
              <w:t>10.2</w:t>
            </w:r>
            <w:r>
              <w:rPr>
                <w:rFonts w:hint="eastAsia" w:ascii="Times New Roman" w:hAnsi="Times New Roman" w:eastAsia="宋体"/>
                <w:color w:val="000000"/>
                <w:sz w:val="24"/>
              </w:rPr>
              <w:t>公里，东西最大横距</w:t>
            </w:r>
            <w:r>
              <w:rPr>
                <w:rFonts w:ascii="Times New Roman" w:hAnsi="Times New Roman" w:eastAsia="宋体"/>
                <w:color w:val="000000"/>
                <w:sz w:val="24"/>
              </w:rPr>
              <w:t>14.8</w:t>
            </w:r>
            <w:r>
              <w:rPr>
                <w:rFonts w:hint="eastAsia" w:ascii="Times New Roman" w:hAnsi="Times New Roman" w:eastAsia="宋体"/>
                <w:color w:val="000000"/>
                <w:sz w:val="24"/>
              </w:rPr>
              <w:t>公里。</w:t>
            </w:r>
          </w:p>
          <w:p>
            <w:pPr>
              <w:pStyle w:val="67"/>
              <w:widowControl w:val="0"/>
              <w:spacing w:line="520" w:lineRule="atLeast"/>
              <w:ind w:firstLine="480"/>
              <w:rPr>
                <w:rFonts w:ascii="Times New Roman" w:hAnsi="Times New Roman" w:eastAsia="宋体"/>
                <w:color w:val="000000"/>
                <w:kern w:val="2"/>
                <w:sz w:val="24"/>
                <w:szCs w:val="24"/>
              </w:rPr>
            </w:pPr>
            <w:r>
              <w:rPr>
                <w:rFonts w:ascii="Times New Roman" w:hAnsi="Times New Roman" w:eastAsia="宋体"/>
                <w:color w:val="000000"/>
                <w:kern w:val="2"/>
                <w:sz w:val="24"/>
                <w:szCs w:val="24"/>
              </w:rPr>
              <w:t>本项目位于</w:t>
            </w:r>
            <w:r>
              <w:rPr>
                <w:rFonts w:hint="eastAsia" w:ascii="Times New Roman" w:hAnsi="Times New Roman" w:eastAsia="宋体"/>
                <w:color w:val="000000"/>
                <w:kern w:val="2"/>
                <w:sz w:val="24"/>
                <w:szCs w:val="24"/>
              </w:rPr>
              <w:t>平顶山市卫东区</w:t>
            </w:r>
            <w:r>
              <w:rPr>
                <w:rFonts w:hint="eastAsia"/>
                <w:color w:val="000000"/>
                <w:kern w:val="2"/>
                <w:sz w:val="24"/>
                <w:szCs w:val="24"/>
                <w:lang w:eastAsia="zh-CN"/>
              </w:rPr>
              <w:t>矿工路</w:t>
            </w:r>
            <w:r>
              <w:rPr>
                <w:rFonts w:hint="eastAsia"/>
                <w:color w:val="000000"/>
                <w:kern w:val="2"/>
                <w:sz w:val="24"/>
                <w:szCs w:val="24"/>
                <w:lang w:val="en-US" w:eastAsia="zh-CN"/>
              </w:rPr>
              <w:t>59号院，</w:t>
            </w:r>
            <w:r>
              <w:rPr>
                <w:rFonts w:hint="eastAsia"/>
                <w:sz w:val="24"/>
                <w:lang w:eastAsia="zh-CN"/>
              </w:rPr>
              <w:t>豫中地质勘查工程公司平顶山第四工程处院</w:t>
            </w:r>
            <w:r>
              <w:rPr>
                <w:rFonts w:hint="eastAsia" w:ascii="Times New Roman" w:hAnsi="Times New Roman" w:eastAsia="宋体"/>
                <w:sz w:val="24"/>
              </w:rPr>
              <w:t>内</w:t>
            </w:r>
            <w:r>
              <w:rPr>
                <w:rFonts w:hint="eastAsia" w:ascii="Times New Roman" w:hAnsi="Times New Roman" w:eastAsia="宋体"/>
                <w:color w:val="000000"/>
                <w:kern w:val="2"/>
                <w:sz w:val="24"/>
                <w:szCs w:val="24"/>
              </w:rPr>
              <w:t>，</w:t>
            </w:r>
            <w:r>
              <w:rPr>
                <w:rFonts w:ascii="Times New Roman" w:hAnsi="Times New Roman" w:eastAsia="宋体"/>
                <w:color w:val="000000"/>
                <w:kern w:val="2"/>
                <w:sz w:val="24"/>
                <w:szCs w:val="24"/>
              </w:rPr>
              <w:t>项目地理位置见</w:t>
            </w:r>
            <w:r>
              <w:rPr>
                <w:rFonts w:hint="eastAsia" w:ascii="Times New Roman" w:hAnsi="Times New Roman" w:eastAsia="宋体"/>
                <w:color w:val="000000"/>
                <w:kern w:val="2"/>
                <w:sz w:val="24"/>
                <w:szCs w:val="24"/>
              </w:rPr>
              <w:t>报告表</w:t>
            </w:r>
            <w:r>
              <w:rPr>
                <w:rFonts w:ascii="Times New Roman" w:hAnsi="Times New Roman" w:eastAsia="宋体"/>
                <w:color w:val="000000"/>
                <w:kern w:val="2"/>
                <w:sz w:val="24"/>
                <w:szCs w:val="24"/>
              </w:rPr>
              <w:t>附图</w:t>
            </w:r>
            <w:r>
              <w:rPr>
                <w:rFonts w:hint="eastAsia" w:ascii="Times New Roman" w:hAnsi="Times New Roman" w:eastAsia="宋体"/>
                <w:color w:val="000000"/>
                <w:kern w:val="2"/>
                <w:sz w:val="24"/>
                <w:szCs w:val="24"/>
              </w:rPr>
              <w:t>1</w:t>
            </w:r>
            <w:r>
              <w:rPr>
                <w:rFonts w:ascii="Times New Roman" w:hAnsi="Times New Roman" w:eastAsia="宋体"/>
                <w:color w:val="000000"/>
                <w:kern w:val="2"/>
                <w:sz w:val="24"/>
                <w:szCs w:val="24"/>
              </w:rPr>
              <w:t>。</w:t>
            </w:r>
          </w:p>
          <w:p>
            <w:pPr>
              <w:pStyle w:val="13"/>
              <w:spacing w:after="0" w:line="520" w:lineRule="exact"/>
              <w:ind w:left="0" w:leftChars="0" w:firstLine="482" w:firstLineChars="200"/>
              <w:rPr>
                <w:rFonts w:ascii="Times New Roman" w:hAnsi="Times New Roman" w:eastAsia="宋体"/>
                <w:b/>
                <w:sz w:val="24"/>
              </w:rPr>
            </w:pPr>
            <w:r>
              <w:rPr>
                <w:rFonts w:ascii="Times New Roman" w:hAnsi="Times New Roman" w:eastAsia="宋体"/>
                <w:b/>
                <w:sz w:val="24"/>
              </w:rPr>
              <w:t>2、地形地貌</w:t>
            </w:r>
          </w:p>
          <w:p>
            <w:pPr>
              <w:spacing w:line="520" w:lineRule="exact"/>
              <w:ind w:firstLine="480" w:firstLineChars="200"/>
              <w:textAlignment w:val="baseline"/>
              <w:rPr>
                <w:rFonts w:ascii="Times New Roman" w:hAnsi="Times New Roman" w:eastAsia="宋体"/>
                <w:sz w:val="24"/>
              </w:rPr>
            </w:pPr>
            <w:r>
              <w:rPr>
                <w:rFonts w:ascii="Times New Roman" w:hAnsi="Times New Roman" w:eastAsia="宋体"/>
                <w:color w:val="000000"/>
                <w:sz w:val="24"/>
              </w:rPr>
              <w:t>平顶山中心市区西北、西南地势较高，向东南逐渐降低，形似簸箕状。北部有焦赞寨、马棚山、平顶山、落凫山、擂鼓台、龙山等山峰呈北西西向排列，其中擂鼓台为群峰之首，海拔506.5m；南部有河山、北渡山、白龟山、凤凰山、锅底山、舒山，海拔</w:t>
            </w:r>
            <w:r>
              <w:rPr>
                <w:rFonts w:ascii="Times New Roman" w:hAnsi="Times New Roman" w:eastAsia="宋体"/>
                <w:sz w:val="24"/>
              </w:rPr>
              <w:t>高程135～245m，构成了白龟山水库和沙河北岸的天然堤坝。这种特殊的地貌特征，使两山间形成狭长的走廊式洼地，湛河自西向东穿市而过。</w:t>
            </w:r>
          </w:p>
          <w:p>
            <w:pPr>
              <w:spacing w:line="520" w:lineRule="exact"/>
              <w:ind w:firstLine="480" w:firstLineChars="200"/>
              <w:textAlignment w:val="baseline"/>
              <w:rPr>
                <w:rFonts w:ascii="Times New Roman" w:hAnsi="Times New Roman" w:eastAsia="宋体"/>
                <w:sz w:val="24"/>
              </w:rPr>
            </w:pPr>
            <w:r>
              <w:rPr>
                <w:rFonts w:hint="eastAsia" w:ascii="Times New Roman" w:hAnsi="Times New Roman" w:eastAsia="宋体"/>
                <w:sz w:val="24"/>
              </w:rPr>
              <w:t>卫东区地处外方山余脉和黄淮平原的过渡地带。境域呈不规则直角三角图形。地势北高南低，北部为低山丘陵，南部为缓坡平原。北部自西向东有落凫山、铧角山、平顶山、张寨山、马棚山、焦赞山等低山丘陵。平顶山位于市区北部</w:t>
            </w:r>
            <w:r>
              <w:rPr>
                <w:rFonts w:ascii="Times New Roman" w:hAnsi="Times New Roman" w:eastAsia="宋体"/>
                <w:sz w:val="24"/>
              </w:rPr>
              <w:t>4</w:t>
            </w:r>
            <w:r>
              <w:rPr>
                <w:rFonts w:hint="eastAsia" w:ascii="Times New Roman" w:hAnsi="Times New Roman" w:eastAsia="宋体"/>
                <w:sz w:val="24"/>
              </w:rPr>
              <w:t>公里，海拔</w:t>
            </w:r>
            <w:r>
              <w:rPr>
                <w:rFonts w:ascii="Times New Roman" w:hAnsi="Times New Roman" w:eastAsia="宋体"/>
                <w:sz w:val="24"/>
              </w:rPr>
              <w:t>427</w:t>
            </w:r>
            <w:r>
              <w:rPr>
                <w:rFonts w:hint="eastAsia" w:ascii="Times New Roman" w:hAnsi="Times New Roman" w:eastAsia="宋体"/>
                <w:sz w:val="24"/>
              </w:rPr>
              <w:t>米。山顶平而无峰，故称平顶山。平顶山市因此而得名。南部沿湛河以北，地势平坦低洼。境内落凫山最高点海拔</w:t>
            </w:r>
            <w:r>
              <w:rPr>
                <w:rFonts w:ascii="Times New Roman" w:hAnsi="Times New Roman" w:eastAsia="宋体"/>
                <w:sz w:val="24"/>
              </w:rPr>
              <w:t>493.7</w:t>
            </w:r>
            <w:r>
              <w:rPr>
                <w:rFonts w:hint="eastAsia" w:ascii="Times New Roman" w:hAnsi="Times New Roman" w:eastAsia="宋体"/>
                <w:sz w:val="24"/>
              </w:rPr>
              <w:t>米，东南部蒲城村一带最低处海拔</w:t>
            </w:r>
            <w:r>
              <w:rPr>
                <w:rFonts w:ascii="Times New Roman" w:hAnsi="Times New Roman" w:eastAsia="宋体"/>
                <w:sz w:val="24"/>
              </w:rPr>
              <w:t>75.8</w:t>
            </w:r>
            <w:r>
              <w:rPr>
                <w:rFonts w:hint="eastAsia" w:ascii="Times New Roman" w:hAnsi="Times New Roman" w:eastAsia="宋体"/>
                <w:sz w:val="24"/>
              </w:rPr>
              <w:t>米。</w:t>
            </w:r>
            <w:r>
              <w:rPr>
                <w:rFonts w:ascii="Times New Roman" w:hAnsi="Times New Roman" w:eastAsia="宋体"/>
                <w:sz w:val="24"/>
              </w:rPr>
              <w:t xml:space="preserve"> </w:t>
            </w:r>
            <w:r>
              <w:rPr>
                <w:rFonts w:hint="eastAsia" w:ascii="Times New Roman" w:hAnsi="Times New Roman" w:eastAsia="宋体"/>
                <w:sz w:val="24"/>
              </w:rPr>
              <w:t>区境南部及东南部为山前缓坡平原，海拔在</w:t>
            </w:r>
            <w:r>
              <w:rPr>
                <w:rFonts w:ascii="Times New Roman" w:hAnsi="Times New Roman" w:eastAsia="宋体"/>
                <w:sz w:val="24"/>
              </w:rPr>
              <w:t>75.8</w:t>
            </w:r>
            <w:r>
              <w:rPr>
                <w:rFonts w:hint="eastAsia" w:ascii="Times New Roman" w:hAnsi="Times New Roman" w:eastAsia="宋体"/>
                <w:sz w:val="24"/>
              </w:rPr>
              <w:t>—</w:t>
            </w:r>
            <w:r>
              <w:rPr>
                <w:rFonts w:ascii="Times New Roman" w:hAnsi="Times New Roman" w:eastAsia="宋体"/>
                <w:sz w:val="24"/>
              </w:rPr>
              <w:t>85.5</w:t>
            </w:r>
            <w:r>
              <w:rPr>
                <w:rFonts w:hint="eastAsia" w:ascii="Times New Roman" w:hAnsi="Times New Roman" w:eastAsia="宋体"/>
                <w:sz w:val="24"/>
              </w:rPr>
              <w:t>米之间，地势平坦，地面平均坡降</w:t>
            </w:r>
            <w:r>
              <w:rPr>
                <w:rFonts w:ascii="Times New Roman" w:hAnsi="Times New Roman" w:eastAsia="宋体"/>
                <w:sz w:val="24"/>
              </w:rPr>
              <w:t>1.5%</w:t>
            </w:r>
            <w:r>
              <w:rPr>
                <w:rFonts w:hint="eastAsia" w:ascii="Times New Roman" w:hAnsi="Times New Roman" w:eastAsia="宋体"/>
                <w:sz w:val="24"/>
              </w:rPr>
              <w:t>。东南部从蒲城村到任寨村、门楼张村一带，系由沙河滚动沉积而成的沙河冲积平原。南部从大营村到皇台徐村、辛南村为山前平原，地面物质由淤泥质、亚黏土组成。平原地区土地肥沃，盛产粮食、蔬菜，并储有较丰富的地下水。</w:t>
            </w:r>
          </w:p>
          <w:p>
            <w:pPr>
              <w:pStyle w:val="13"/>
              <w:spacing w:after="0" w:line="520" w:lineRule="exact"/>
              <w:ind w:left="0" w:leftChars="0" w:firstLine="480" w:firstLineChars="200"/>
              <w:rPr>
                <w:rFonts w:ascii="Times New Roman" w:hAnsi="Times New Roman" w:eastAsia="宋体"/>
                <w:sz w:val="24"/>
              </w:rPr>
            </w:pPr>
            <w:r>
              <w:rPr>
                <w:rFonts w:ascii="Times New Roman" w:hAnsi="Times New Roman" w:eastAsia="宋体"/>
                <w:sz w:val="24"/>
              </w:rPr>
              <w:t>本项目所在地属平原地区，地势起伏不大，较为平坦。</w:t>
            </w:r>
          </w:p>
          <w:p>
            <w:pPr>
              <w:spacing w:line="520" w:lineRule="exact"/>
              <w:ind w:firstLine="482" w:firstLineChars="200"/>
              <w:textAlignment w:val="baseline"/>
              <w:rPr>
                <w:rFonts w:ascii="Times New Roman" w:hAnsi="Times New Roman" w:eastAsia="宋体"/>
                <w:b/>
                <w:sz w:val="24"/>
              </w:rPr>
            </w:pPr>
            <w:r>
              <w:rPr>
                <w:rFonts w:hint="eastAsia" w:ascii="Times New Roman" w:hAnsi="Times New Roman" w:eastAsia="宋体"/>
                <w:b/>
                <w:sz w:val="24"/>
              </w:rPr>
              <w:t>3</w:t>
            </w:r>
            <w:r>
              <w:rPr>
                <w:rFonts w:ascii="Times New Roman" w:hAnsi="Times New Roman" w:eastAsia="宋体"/>
                <w:b/>
                <w:sz w:val="24"/>
              </w:rPr>
              <w:t>、气候气象</w:t>
            </w:r>
          </w:p>
          <w:p>
            <w:pPr>
              <w:spacing w:line="520" w:lineRule="exact"/>
              <w:ind w:firstLine="480" w:firstLineChars="200"/>
              <w:textAlignment w:val="baseline"/>
              <w:rPr>
                <w:rFonts w:ascii="Times New Roman" w:hAnsi="Times New Roman" w:eastAsia="宋体"/>
                <w:sz w:val="24"/>
              </w:rPr>
            </w:pPr>
            <w:r>
              <w:rPr>
                <w:rFonts w:ascii="Times New Roman" w:hAnsi="Times New Roman" w:eastAsia="宋体"/>
                <w:sz w:val="24"/>
              </w:rPr>
              <w:t>平顶山市地处暖温带，为大陆性季风气候区。雨水充沛，日照充足，热量资源丰富。由于受季风影响，冬季盛吹偏北风，夏季盛行偏南风，随着冬夏季环流转换，四季明显。年主导风向为东北风，次主导风向为西北风，年平均风速为2.2m/s，最大风速13.7m/s。</w:t>
            </w:r>
          </w:p>
          <w:p>
            <w:pPr>
              <w:spacing w:line="520" w:lineRule="exact"/>
              <w:ind w:firstLine="480" w:firstLineChars="200"/>
              <w:textAlignment w:val="baseline"/>
              <w:rPr>
                <w:rFonts w:ascii="Times New Roman" w:hAnsi="Times New Roman" w:eastAsia="宋体"/>
                <w:sz w:val="24"/>
              </w:rPr>
            </w:pPr>
            <w:r>
              <w:rPr>
                <w:rFonts w:hint="eastAsia" w:ascii="Times New Roman" w:hAnsi="Times New Roman" w:eastAsia="宋体"/>
                <w:sz w:val="24"/>
              </w:rPr>
              <w:t>卫东区区境属大陆性季风气候，其特点是：四季分明，春季气温逐月递增，由寒转暖，升温快，日差大，多风沙，少雨水，气候干燥；夏季炎热多雨，气温偏高，降水集中，全季降水占年降水量的</w:t>
            </w:r>
            <w:r>
              <w:rPr>
                <w:rFonts w:ascii="Times New Roman" w:hAnsi="Times New Roman" w:eastAsia="宋体"/>
                <w:sz w:val="24"/>
              </w:rPr>
              <w:t>51%</w:t>
            </w:r>
            <w:r>
              <w:rPr>
                <w:rFonts w:hint="eastAsia" w:ascii="Times New Roman" w:hAnsi="Times New Roman" w:eastAsia="宋体"/>
                <w:sz w:val="24"/>
              </w:rPr>
              <w:t>，易出现大风、雷电、冰雹等灾害性天气；秋季由温趋凉，温度逐渐下降，昼夜温差大，天气多晴好；冬季空气干冷，雨雪稀少，全季降水量只占年降水量的</w:t>
            </w:r>
            <w:r>
              <w:rPr>
                <w:rFonts w:ascii="Times New Roman" w:hAnsi="Times New Roman" w:eastAsia="宋体"/>
                <w:sz w:val="24"/>
              </w:rPr>
              <w:t>4.8</w:t>
            </w:r>
            <w:r>
              <w:rPr>
                <w:rFonts w:hint="eastAsia" w:ascii="Times New Roman" w:hAnsi="Times New Roman" w:eastAsia="宋体"/>
                <w:sz w:val="24"/>
              </w:rPr>
              <w:t>％，盛刮西北风。年内平均气温</w:t>
            </w:r>
            <w:r>
              <w:rPr>
                <w:rFonts w:ascii="Times New Roman" w:hAnsi="Times New Roman" w:eastAsia="宋体"/>
                <w:sz w:val="24"/>
              </w:rPr>
              <w:t>15</w:t>
            </w:r>
            <w:r>
              <w:rPr>
                <w:rFonts w:hint="eastAsia" w:ascii="Times New Roman" w:hAnsi="Times New Roman" w:eastAsia="宋体" w:cs="宋体"/>
                <w:sz w:val="24"/>
              </w:rPr>
              <w:t>℃</w:t>
            </w:r>
            <w:r>
              <w:rPr>
                <w:rFonts w:hint="eastAsia" w:ascii="Times New Roman" w:hAnsi="Times New Roman" w:eastAsia="宋体"/>
                <w:sz w:val="24"/>
              </w:rPr>
              <w:t>，</w:t>
            </w:r>
            <w:r>
              <w:rPr>
                <w:rFonts w:ascii="Times New Roman" w:hAnsi="Times New Roman" w:eastAsia="宋体"/>
                <w:sz w:val="24"/>
              </w:rPr>
              <w:t>1</w:t>
            </w:r>
            <w:r>
              <w:rPr>
                <w:rFonts w:hint="eastAsia" w:ascii="Times New Roman" w:hAnsi="Times New Roman" w:eastAsia="宋体"/>
                <w:sz w:val="24"/>
              </w:rPr>
              <w:t>月平均气温</w:t>
            </w:r>
            <w:r>
              <w:rPr>
                <w:rFonts w:ascii="Times New Roman" w:hAnsi="Times New Roman" w:eastAsia="宋体"/>
                <w:sz w:val="24"/>
              </w:rPr>
              <w:t>1.2</w:t>
            </w:r>
            <w:r>
              <w:rPr>
                <w:rFonts w:hint="eastAsia" w:ascii="Times New Roman" w:hAnsi="Times New Roman" w:eastAsia="宋体" w:cs="宋体"/>
                <w:sz w:val="24"/>
              </w:rPr>
              <w:t>℃</w:t>
            </w:r>
            <w:r>
              <w:rPr>
                <w:rFonts w:hint="eastAsia" w:ascii="Times New Roman" w:hAnsi="Times New Roman" w:eastAsia="宋体"/>
                <w:sz w:val="24"/>
              </w:rPr>
              <w:t>，极端最低气温为</w:t>
            </w:r>
            <w:r>
              <w:rPr>
                <w:rFonts w:ascii="Times New Roman" w:hAnsi="Times New Roman" w:eastAsia="宋体"/>
                <w:sz w:val="24"/>
              </w:rPr>
              <w:t>-14</w:t>
            </w:r>
            <w:r>
              <w:rPr>
                <w:rFonts w:hint="eastAsia" w:ascii="Times New Roman" w:hAnsi="Times New Roman" w:eastAsia="宋体" w:cs="宋体"/>
                <w:sz w:val="24"/>
              </w:rPr>
              <w:t>℃</w:t>
            </w:r>
            <w:r>
              <w:rPr>
                <w:rFonts w:hint="eastAsia" w:ascii="Times New Roman" w:hAnsi="Times New Roman" w:eastAsia="宋体"/>
                <w:sz w:val="24"/>
              </w:rPr>
              <w:t>；</w:t>
            </w:r>
            <w:r>
              <w:rPr>
                <w:rFonts w:ascii="Times New Roman" w:hAnsi="Times New Roman" w:eastAsia="宋体"/>
                <w:sz w:val="24"/>
              </w:rPr>
              <w:t>7</w:t>
            </w:r>
            <w:r>
              <w:rPr>
                <w:rFonts w:hint="eastAsia" w:ascii="Times New Roman" w:hAnsi="Times New Roman" w:eastAsia="宋体"/>
                <w:sz w:val="24"/>
              </w:rPr>
              <w:t>月平均气温</w:t>
            </w:r>
            <w:r>
              <w:rPr>
                <w:rFonts w:ascii="Times New Roman" w:hAnsi="Times New Roman" w:eastAsia="宋体"/>
                <w:sz w:val="24"/>
              </w:rPr>
              <w:t>27.6</w:t>
            </w:r>
            <w:r>
              <w:rPr>
                <w:rFonts w:hint="eastAsia" w:ascii="Times New Roman" w:hAnsi="Times New Roman" w:eastAsia="宋体" w:cs="宋体"/>
                <w:sz w:val="24"/>
              </w:rPr>
              <w:t>℃</w:t>
            </w:r>
            <w:r>
              <w:rPr>
                <w:rFonts w:hint="eastAsia" w:ascii="Times New Roman" w:hAnsi="Times New Roman" w:eastAsia="宋体"/>
                <w:sz w:val="24"/>
              </w:rPr>
              <w:t>，极端最高气温为</w:t>
            </w:r>
            <w:r>
              <w:rPr>
                <w:rFonts w:ascii="Times New Roman" w:hAnsi="Times New Roman" w:eastAsia="宋体"/>
                <w:sz w:val="24"/>
              </w:rPr>
              <w:t>42.4</w:t>
            </w:r>
            <w:r>
              <w:rPr>
                <w:rFonts w:hint="eastAsia" w:ascii="Times New Roman" w:hAnsi="Times New Roman" w:eastAsia="宋体" w:cs="宋体"/>
                <w:sz w:val="24"/>
              </w:rPr>
              <w:t>℃</w:t>
            </w:r>
            <w:r>
              <w:rPr>
                <w:rFonts w:hint="eastAsia" w:ascii="Times New Roman" w:hAnsi="Times New Roman" w:eastAsia="宋体"/>
                <w:sz w:val="24"/>
              </w:rPr>
              <w:t>。无霜期年平均</w:t>
            </w:r>
            <w:r>
              <w:rPr>
                <w:rFonts w:ascii="Times New Roman" w:hAnsi="Times New Roman" w:eastAsia="宋体"/>
                <w:sz w:val="24"/>
              </w:rPr>
              <w:t>228</w:t>
            </w:r>
            <w:r>
              <w:rPr>
                <w:rFonts w:hint="eastAsia" w:ascii="Times New Roman" w:hAnsi="Times New Roman" w:eastAsia="宋体"/>
                <w:sz w:val="24"/>
              </w:rPr>
              <w:t>天。年平均日照时数为</w:t>
            </w:r>
            <w:r>
              <w:rPr>
                <w:rFonts w:ascii="Times New Roman" w:hAnsi="Times New Roman" w:eastAsia="宋体"/>
                <w:sz w:val="24"/>
              </w:rPr>
              <w:t>2061</w:t>
            </w:r>
            <w:r>
              <w:rPr>
                <w:rFonts w:hint="eastAsia" w:ascii="Times New Roman" w:hAnsi="Times New Roman" w:eastAsia="宋体"/>
                <w:sz w:val="24"/>
              </w:rPr>
              <w:t>小时，年总辐射为</w:t>
            </w:r>
            <w:r>
              <w:rPr>
                <w:rFonts w:ascii="Times New Roman" w:hAnsi="Times New Roman" w:eastAsia="宋体"/>
                <w:sz w:val="24"/>
              </w:rPr>
              <w:t>113.774</w:t>
            </w:r>
            <w:r>
              <w:rPr>
                <w:rFonts w:hint="eastAsia" w:ascii="Times New Roman" w:hAnsi="Times New Roman" w:eastAsia="宋体"/>
                <w:sz w:val="24"/>
              </w:rPr>
              <w:t>卡</w:t>
            </w:r>
            <w:r>
              <w:rPr>
                <w:rFonts w:ascii="Times New Roman" w:hAnsi="Times New Roman" w:eastAsia="宋体"/>
                <w:sz w:val="24"/>
              </w:rPr>
              <w:t>/</w:t>
            </w:r>
            <w:r>
              <w:rPr>
                <w:rFonts w:hint="eastAsia" w:ascii="Times New Roman" w:hAnsi="Times New Roman" w:eastAsia="宋体"/>
                <w:sz w:val="24"/>
              </w:rPr>
              <w:t>平方厘米。年平均降水量</w:t>
            </w:r>
            <w:r>
              <w:rPr>
                <w:rFonts w:ascii="Times New Roman" w:hAnsi="Times New Roman" w:eastAsia="宋体"/>
                <w:sz w:val="24"/>
              </w:rPr>
              <w:t>726.3</w:t>
            </w:r>
            <w:r>
              <w:rPr>
                <w:rFonts w:hint="eastAsia" w:ascii="Times New Roman" w:hAnsi="Times New Roman" w:eastAsia="宋体"/>
                <w:sz w:val="24"/>
              </w:rPr>
              <w:t>毫米；极端年（</w:t>
            </w:r>
            <w:r>
              <w:rPr>
                <w:rFonts w:ascii="Times New Roman" w:hAnsi="Times New Roman" w:eastAsia="宋体"/>
                <w:sz w:val="24"/>
              </w:rPr>
              <w:t>1964</w:t>
            </w:r>
            <w:r>
              <w:rPr>
                <w:rFonts w:hint="eastAsia" w:ascii="Times New Roman" w:hAnsi="Times New Roman" w:eastAsia="宋体"/>
                <w:sz w:val="24"/>
              </w:rPr>
              <w:t>）最大雨量为</w:t>
            </w:r>
            <w:r>
              <w:rPr>
                <w:rFonts w:ascii="Times New Roman" w:hAnsi="Times New Roman" w:eastAsia="宋体"/>
                <w:sz w:val="24"/>
              </w:rPr>
              <w:t>1323.6</w:t>
            </w:r>
            <w:r>
              <w:rPr>
                <w:rFonts w:hint="eastAsia" w:ascii="Times New Roman" w:hAnsi="Times New Roman" w:eastAsia="宋体"/>
                <w:sz w:val="24"/>
              </w:rPr>
              <w:t>毫米，极端年（</w:t>
            </w:r>
            <w:r>
              <w:rPr>
                <w:rFonts w:ascii="Times New Roman" w:hAnsi="Times New Roman" w:eastAsia="宋体"/>
                <w:sz w:val="24"/>
              </w:rPr>
              <w:t>1966</w:t>
            </w:r>
            <w:r>
              <w:rPr>
                <w:rFonts w:hint="eastAsia" w:ascii="Times New Roman" w:hAnsi="Times New Roman" w:eastAsia="宋体"/>
                <w:sz w:val="24"/>
              </w:rPr>
              <w:t>）最少降雨量为</w:t>
            </w:r>
            <w:r>
              <w:rPr>
                <w:rFonts w:ascii="Times New Roman" w:hAnsi="Times New Roman" w:eastAsia="宋体"/>
                <w:sz w:val="24"/>
              </w:rPr>
              <w:t>373.9</w:t>
            </w:r>
            <w:r>
              <w:rPr>
                <w:rFonts w:hint="eastAsia" w:ascii="Times New Roman" w:hAnsi="Times New Roman" w:eastAsia="宋体"/>
                <w:sz w:val="24"/>
              </w:rPr>
              <w:t>毫米。降雨多集中在每年的</w:t>
            </w:r>
            <w:r>
              <w:rPr>
                <w:rFonts w:ascii="Times New Roman" w:hAnsi="Times New Roman" w:eastAsia="宋体"/>
                <w:sz w:val="24"/>
              </w:rPr>
              <w:t>6</w:t>
            </w:r>
            <w:r>
              <w:rPr>
                <w:rFonts w:hint="eastAsia" w:ascii="Times New Roman" w:hAnsi="Times New Roman" w:eastAsia="宋体"/>
                <w:sz w:val="24"/>
              </w:rPr>
              <w:t>月至</w:t>
            </w:r>
            <w:r>
              <w:rPr>
                <w:rFonts w:ascii="Times New Roman" w:hAnsi="Times New Roman" w:eastAsia="宋体"/>
                <w:sz w:val="24"/>
              </w:rPr>
              <w:t>8</w:t>
            </w:r>
            <w:r>
              <w:rPr>
                <w:rFonts w:hint="eastAsia" w:ascii="Times New Roman" w:hAnsi="Times New Roman" w:eastAsia="宋体"/>
                <w:sz w:val="24"/>
              </w:rPr>
              <w:t>月，</w:t>
            </w:r>
            <w:r>
              <w:rPr>
                <w:rFonts w:ascii="Times New Roman" w:hAnsi="Times New Roman" w:eastAsia="宋体"/>
                <w:sz w:val="24"/>
              </w:rPr>
              <w:t>7</w:t>
            </w:r>
            <w:r>
              <w:rPr>
                <w:rFonts w:hint="eastAsia" w:ascii="Times New Roman" w:hAnsi="Times New Roman" w:eastAsia="宋体"/>
                <w:sz w:val="24"/>
              </w:rPr>
              <w:t>月降雨最多。</w:t>
            </w:r>
          </w:p>
          <w:p>
            <w:pPr>
              <w:pStyle w:val="13"/>
              <w:spacing w:after="0" w:line="520" w:lineRule="exact"/>
              <w:ind w:left="0" w:leftChars="0" w:firstLine="482" w:firstLineChars="200"/>
              <w:rPr>
                <w:rFonts w:ascii="Times New Roman" w:hAnsi="Times New Roman" w:eastAsia="宋体"/>
                <w:b/>
                <w:sz w:val="24"/>
              </w:rPr>
            </w:pPr>
            <w:r>
              <w:rPr>
                <w:rFonts w:hint="eastAsia" w:ascii="Times New Roman" w:hAnsi="Times New Roman" w:eastAsia="宋体"/>
                <w:b/>
                <w:sz w:val="24"/>
              </w:rPr>
              <w:t>4</w:t>
            </w:r>
            <w:r>
              <w:rPr>
                <w:rFonts w:ascii="Times New Roman" w:hAnsi="Times New Roman" w:eastAsia="宋体"/>
                <w:b/>
                <w:sz w:val="24"/>
              </w:rPr>
              <w:t>、水文资料</w:t>
            </w:r>
          </w:p>
          <w:p>
            <w:pPr>
              <w:pStyle w:val="56"/>
              <w:ind w:firstLine="480"/>
              <w:rPr>
                <w:rFonts w:ascii="Times New Roman" w:hAnsi="Times New Roman" w:eastAsia="宋体"/>
                <w:color w:val="000000"/>
              </w:rPr>
            </w:pPr>
            <w:r>
              <w:rPr>
                <w:rFonts w:hint="eastAsia" w:ascii="Times New Roman" w:hAnsi="Times New Roman" w:eastAsia="宋体"/>
                <w:color w:val="000000"/>
              </w:rPr>
              <w:t>（1）</w:t>
            </w:r>
            <w:r>
              <w:rPr>
                <w:rFonts w:ascii="Times New Roman" w:hAnsi="Times New Roman" w:eastAsia="宋体"/>
                <w:color w:val="000000"/>
              </w:rPr>
              <w:t>地表水</w:t>
            </w:r>
          </w:p>
          <w:p>
            <w:pPr>
              <w:spacing w:line="520" w:lineRule="exact"/>
              <w:ind w:firstLine="480" w:firstLineChars="200"/>
              <w:jc w:val="left"/>
              <w:rPr>
                <w:rFonts w:ascii="Times New Roman" w:hAnsi="Times New Roman" w:eastAsia="宋体" w:cs="Calibri"/>
                <w:color w:val="000000"/>
                <w:sz w:val="24"/>
              </w:rPr>
            </w:pPr>
            <w:r>
              <w:rPr>
                <w:rFonts w:ascii="Times New Roman" w:hAnsi="Times New Roman" w:eastAsia="宋体" w:cs="Calibri"/>
                <w:color w:val="000000"/>
                <w:sz w:val="24"/>
              </w:rPr>
              <w:t>平顶山市的地表水资源主要来自白龟山水库。目前白龟山水库与昭平台水库水资源联合调度，实际上昭平台水库亦为平顶山市的供水水源。</w:t>
            </w:r>
          </w:p>
          <w:p>
            <w:pPr>
              <w:spacing w:line="520" w:lineRule="exact"/>
              <w:ind w:firstLine="480" w:firstLineChars="200"/>
              <w:jc w:val="left"/>
              <w:rPr>
                <w:rFonts w:ascii="Times New Roman" w:hAnsi="Times New Roman" w:eastAsia="宋体" w:cs="Calibri"/>
                <w:color w:val="000000"/>
                <w:sz w:val="24"/>
              </w:rPr>
            </w:pPr>
            <w:r>
              <w:rPr>
                <w:rFonts w:ascii="Times New Roman" w:hAnsi="Times New Roman" w:eastAsia="宋体" w:cs="Calibri"/>
                <w:color w:val="000000"/>
                <w:sz w:val="24"/>
              </w:rPr>
              <w:t>白龟山水库：白龟山水库位于平顶山市区西南部的沙河上，距市区约5km。1963年正式投入使用。它控制着沙河昭平台水库以下区间流域面积1318km</w:t>
            </w:r>
            <w:r>
              <w:rPr>
                <w:rFonts w:ascii="Times New Roman" w:hAnsi="Times New Roman" w:eastAsia="宋体" w:cs="Calibri"/>
                <w:color w:val="000000"/>
                <w:sz w:val="24"/>
                <w:vertAlign w:val="superscript"/>
              </w:rPr>
              <w:t>2</w:t>
            </w:r>
            <w:r>
              <w:rPr>
                <w:rFonts w:ascii="Times New Roman" w:hAnsi="Times New Roman" w:eastAsia="宋体" w:cs="Calibri"/>
                <w:color w:val="000000"/>
                <w:sz w:val="24"/>
              </w:rPr>
              <w:t>，总库容为6.49亿m</w:t>
            </w:r>
            <w:r>
              <w:rPr>
                <w:rFonts w:ascii="Times New Roman" w:hAnsi="Times New Roman" w:eastAsia="宋体" w:cs="Calibri"/>
                <w:color w:val="000000"/>
                <w:sz w:val="24"/>
                <w:vertAlign w:val="superscript"/>
              </w:rPr>
              <w:t>3</w:t>
            </w:r>
            <w:r>
              <w:rPr>
                <w:rFonts w:ascii="Times New Roman" w:hAnsi="Times New Roman" w:eastAsia="宋体" w:cs="Calibri"/>
                <w:color w:val="000000"/>
                <w:sz w:val="24"/>
              </w:rPr>
              <w:t>，相应最高水位为107.0m，设计库容为5.12亿m</w:t>
            </w:r>
            <w:r>
              <w:rPr>
                <w:rFonts w:ascii="Times New Roman" w:hAnsi="Times New Roman" w:eastAsia="宋体" w:cs="Calibri"/>
                <w:color w:val="000000"/>
                <w:sz w:val="24"/>
                <w:vertAlign w:val="superscript"/>
              </w:rPr>
              <w:t>3</w:t>
            </w:r>
            <w:r>
              <w:rPr>
                <w:rFonts w:ascii="Times New Roman" w:hAnsi="Times New Roman" w:eastAsia="宋体" w:cs="Calibri"/>
                <w:color w:val="000000"/>
                <w:sz w:val="24"/>
              </w:rPr>
              <w:t>，相应水位105.5m，兴利库容2.48亿m</w:t>
            </w:r>
            <w:r>
              <w:rPr>
                <w:rFonts w:ascii="Times New Roman" w:hAnsi="Times New Roman" w:eastAsia="宋体" w:cs="Calibri"/>
                <w:color w:val="000000"/>
                <w:sz w:val="24"/>
                <w:vertAlign w:val="superscript"/>
              </w:rPr>
              <w:t>3</w:t>
            </w:r>
            <w:r>
              <w:rPr>
                <w:rFonts w:ascii="Times New Roman" w:hAnsi="Times New Roman" w:eastAsia="宋体" w:cs="Calibri"/>
                <w:color w:val="000000"/>
                <w:sz w:val="24"/>
              </w:rPr>
              <w:t>，相应水位103.0m。</w:t>
            </w:r>
          </w:p>
          <w:p>
            <w:pPr>
              <w:spacing w:line="520" w:lineRule="exact"/>
              <w:ind w:firstLine="480" w:firstLineChars="200"/>
              <w:jc w:val="left"/>
              <w:rPr>
                <w:rFonts w:ascii="Times New Roman" w:hAnsi="Times New Roman" w:eastAsia="宋体" w:cs="Calibri"/>
                <w:color w:val="000000"/>
                <w:sz w:val="24"/>
              </w:rPr>
            </w:pPr>
            <w:r>
              <w:rPr>
                <w:rFonts w:ascii="Times New Roman" w:hAnsi="Times New Roman" w:eastAsia="宋体" w:cs="Calibri"/>
                <w:color w:val="000000"/>
                <w:sz w:val="24"/>
              </w:rPr>
              <w:t>湛河：湛河为距离本项目最近的地表水体，是沙河支流之一，由西向东流动，但无通航要求，其河道摆动不大，下切深度及沉积范围有限。目前，场地内水面宽约80m，水深约3.2m，淤泥厚度大于1.50m，河水流速及流量受白龟山水库放水量大小的影响，湛河百年一遇最大洪水流量1700m</w:t>
            </w:r>
            <w:r>
              <w:rPr>
                <w:rFonts w:ascii="Times New Roman" w:hAnsi="Times New Roman" w:eastAsia="宋体" w:cs="Calibri"/>
                <w:color w:val="000000"/>
                <w:sz w:val="24"/>
                <w:vertAlign w:val="superscript"/>
              </w:rPr>
              <w:t>3</w:t>
            </w:r>
            <w:r>
              <w:rPr>
                <w:rFonts w:ascii="Times New Roman" w:hAnsi="Times New Roman" w:eastAsia="宋体" w:cs="Calibri"/>
                <w:color w:val="000000"/>
                <w:sz w:val="24"/>
              </w:rPr>
              <w:t>/s。</w:t>
            </w:r>
          </w:p>
          <w:p>
            <w:pPr>
              <w:spacing w:line="520" w:lineRule="exact"/>
              <w:ind w:firstLine="480" w:firstLineChars="200"/>
              <w:jc w:val="left"/>
              <w:rPr>
                <w:rFonts w:ascii="Times New Roman" w:hAnsi="Times New Roman" w:eastAsia="宋体" w:cs="Calibri"/>
                <w:color w:val="000000"/>
                <w:sz w:val="24"/>
              </w:rPr>
            </w:pPr>
            <w:r>
              <w:rPr>
                <w:rFonts w:ascii="Times New Roman" w:hAnsi="Times New Roman" w:eastAsia="宋体" w:cs="Calibri"/>
                <w:color w:val="000000"/>
                <w:sz w:val="24"/>
              </w:rPr>
              <w:t>沙河：沙河旧称滍水，发源于鲁山县尧山，总流域面积28800 km</w:t>
            </w:r>
            <w:r>
              <w:rPr>
                <w:rFonts w:ascii="Times New Roman" w:hAnsi="Times New Roman" w:eastAsia="宋体" w:cs="Calibri"/>
                <w:color w:val="000000"/>
                <w:sz w:val="24"/>
                <w:vertAlign w:val="superscript"/>
              </w:rPr>
              <w:t>2</w:t>
            </w:r>
            <w:r>
              <w:rPr>
                <w:rFonts w:ascii="Times New Roman" w:hAnsi="Times New Roman" w:eastAsia="宋体" w:cs="Calibri"/>
                <w:color w:val="000000"/>
                <w:sz w:val="24"/>
              </w:rPr>
              <w:t>，境内总长175.8公里，流经鲁山、郊区、叶县进入舞阳县境，在周口注入颍河，境内流域面积3910.46 km</w:t>
            </w:r>
            <w:r>
              <w:rPr>
                <w:rFonts w:ascii="Times New Roman" w:hAnsi="Times New Roman" w:eastAsia="宋体" w:cs="Calibri"/>
                <w:color w:val="000000"/>
                <w:sz w:val="24"/>
                <w:vertAlign w:val="superscript"/>
              </w:rPr>
              <w:t>2</w:t>
            </w:r>
            <w:r>
              <w:rPr>
                <w:rFonts w:ascii="Times New Roman" w:hAnsi="Times New Roman" w:eastAsia="宋体" w:cs="Calibri"/>
                <w:color w:val="000000"/>
                <w:sz w:val="24"/>
              </w:rPr>
              <w:t>，最大流量9880m</w:t>
            </w:r>
            <w:r>
              <w:rPr>
                <w:rFonts w:ascii="Times New Roman" w:hAnsi="Times New Roman" w:eastAsia="宋体" w:cs="Calibri"/>
                <w:color w:val="000000"/>
                <w:sz w:val="24"/>
                <w:vertAlign w:val="superscript"/>
              </w:rPr>
              <w:t>3</w:t>
            </w:r>
            <w:r>
              <w:rPr>
                <w:rFonts w:ascii="Times New Roman" w:hAnsi="Times New Roman" w:eastAsia="宋体" w:cs="Calibri"/>
                <w:color w:val="000000"/>
                <w:sz w:val="24"/>
              </w:rPr>
              <w:t>/s（叶县站，1957年），初汛一般出现在5月份，6～8月为洪水多发月份。洪水年际变化呈周期性，一般间隔3～5年发生一次较洪水，10年左右发生一次大洪水，结冰期一般为10天。沙河源头地处河南省暴雨中心，流域内洪涝灾害频繁。</w:t>
            </w:r>
          </w:p>
          <w:p>
            <w:pPr>
              <w:spacing w:line="520" w:lineRule="exact"/>
              <w:ind w:firstLine="480" w:firstLineChars="200"/>
              <w:jc w:val="left"/>
              <w:rPr>
                <w:rFonts w:ascii="Times New Roman" w:hAnsi="Times New Roman" w:eastAsia="宋体" w:cs="Calibri"/>
                <w:sz w:val="24"/>
              </w:rPr>
            </w:pPr>
            <w:r>
              <w:rPr>
                <w:rFonts w:ascii="Times New Roman" w:hAnsi="Times New Roman" w:eastAsia="宋体" w:cs="Calibri"/>
                <w:sz w:val="24"/>
              </w:rPr>
              <w:t>距离本项目最近的河流为</w:t>
            </w:r>
            <w:r>
              <w:rPr>
                <w:rFonts w:hint="eastAsia" w:ascii="Times New Roman" w:hAnsi="Times New Roman" w:eastAsia="宋体" w:cs="Calibri"/>
                <w:sz w:val="24"/>
              </w:rPr>
              <w:t>经过项目区内的</w:t>
            </w:r>
            <w:r>
              <w:rPr>
                <w:rFonts w:hint="eastAsia" w:cs="Calibri"/>
                <w:sz w:val="24"/>
                <w:lang w:eastAsia="zh-CN"/>
              </w:rPr>
              <w:t>月台河</w:t>
            </w:r>
            <w:r>
              <w:rPr>
                <w:rFonts w:hint="eastAsia" w:ascii="Times New Roman" w:hAnsi="Times New Roman" w:eastAsia="宋体" w:cs="Calibri"/>
                <w:sz w:val="24"/>
              </w:rPr>
              <w:t>，</w:t>
            </w:r>
            <w:r>
              <w:rPr>
                <w:rFonts w:hint="eastAsia" w:cs="Calibri"/>
                <w:sz w:val="24"/>
                <w:lang w:eastAsia="zh-CN"/>
              </w:rPr>
              <w:t>月台河</w:t>
            </w:r>
            <w:r>
              <w:rPr>
                <w:rFonts w:hint="eastAsia" w:ascii="Times New Roman" w:hAnsi="Times New Roman" w:eastAsia="宋体" w:cs="Calibri"/>
                <w:sz w:val="24"/>
              </w:rPr>
              <w:t>属于湛河的支流</w:t>
            </w:r>
            <w:r>
              <w:rPr>
                <w:rFonts w:ascii="Times New Roman" w:hAnsi="Times New Roman" w:eastAsia="宋体" w:cs="Calibri"/>
                <w:sz w:val="24"/>
              </w:rPr>
              <w:t>，</w:t>
            </w:r>
            <w:r>
              <w:rPr>
                <w:rFonts w:hint="eastAsia" w:ascii="Times New Roman" w:hAnsi="Times New Roman" w:eastAsia="宋体" w:cs="Calibri"/>
                <w:sz w:val="24"/>
              </w:rPr>
              <w:t>本项目距离</w:t>
            </w:r>
            <w:r>
              <w:rPr>
                <w:rFonts w:hint="eastAsia" w:cs="Calibri"/>
                <w:sz w:val="24"/>
                <w:lang w:eastAsia="zh-CN"/>
              </w:rPr>
              <w:t>北侧和东侧居民</w:t>
            </w:r>
            <w:r>
              <w:rPr>
                <w:rFonts w:hint="eastAsia" w:ascii="Times New Roman" w:hAnsi="Times New Roman" w:eastAsia="宋体" w:cs="Calibri"/>
                <w:sz w:val="24"/>
              </w:rPr>
              <w:t>约</w:t>
            </w:r>
            <w:r>
              <w:rPr>
                <w:rFonts w:hint="eastAsia" w:cs="Calibri"/>
                <w:sz w:val="24"/>
                <w:lang w:val="en-US" w:eastAsia="zh-CN"/>
              </w:rPr>
              <w:t>35</w:t>
            </w:r>
            <w:r>
              <w:rPr>
                <w:rFonts w:hint="eastAsia" w:ascii="Times New Roman" w:hAnsi="Times New Roman" w:eastAsia="宋体" w:cs="Calibri"/>
                <w:sz w:val="24"/>
              </w:rPr>
              <w:t>m</w:t>
            </w:r>
            <w:r>
              <w:rPr>
                <w:rFonts w:hint="eastAsia" w:cs="Calibri"/>
                <w:sz w:val="24"/>
                <w:lang w:eastAsia="zh-CN"/>
              </w:rPr>
              <w:t>，</w:t>
            </w:r>
            <w:r>
              <w:rPr>
                <w:rFonts w:hint="eastAsia" w:ascii="Times New Roman" w:hAnsi="Times New Roman" w:eastAsia="宋体" w:cs="Calibri"/>
                <w:sz w:val="24"/>
              </w:rPr>
              <w:t>距离</w:t>
            </w:r>
            <w:r>
              <w:rPr>
                <w:rFonts w:hint="eastAsia" w:cs="Calibri"/>
                <w:sz w:val="24"/>
                <w:lang w:eastAsia="zh-CN"/>
              </w:rPr>
              <w:t>南</w:t>
            </w:r>
            <w:r>
              <w:rPr>
                <w:rFonts w:hint="eastAsia" w:ascii="Times New Roman" w:hAnsi="Times New Roman" w:eastAsia="宋体" w:cs="Calibri"/>
                <w:sz w:val="24"/>
              </w:rPr>
              <w:t>侧湛河约</w:t>
            </w:r>
            <w:r>
              <w:rPr>
                <w:rFonts w:hint="eastAsia" w:cs="Calibri"/>
                <w:sz w:val="24"/>
                <w:lang w:val="en-US" w:eastAsia="zh-CN"/>
              </w:rPr>
              <w:t>1.70</w:t>
            </w:r>
            <w:r>
              <w:rPr>
                <w:rFonts w:hint="eastAsia" w:ascii="Times New Roman" w:hAnsi="Times New Roman" w:eastAsia="宋体" w:cs="Calibri"/>
                <w:sz w:val="24"/>
              </w:rPr>
              <w:t>km</w:t>
            </w:r>
            <w:r>
              <w:rPr>
                <w:rFonts w:ascii="Times New Roman" w:hAnsi="Times New Roman" w:eastAsia="宋体" w:cs="Calibri"/>
                <w:sz w:val="24"/>
              </w:rPr>
              <w:t>。</w:t>
            </w:r>
          </w:p>
          <w:p>
            <w:pPr>
              <w:pStyle w:val="56"/>
              <w:ind w:firstLine="480"/>
              <w:rPr>
                <w:rFonts w:ascii="Times New Roman" w:hAnsi="Times New Roman" w:eastAsia="宋体"/>
                <w:color w:val="000000"/>
              </w:rPr>
            </w:pPr>
            <w:r>
              <w:rPr>
                <w:rFonts w:hint="eastAsia" w:ascii="Times New Roman" w:hAnsi="Times New Roman" w:eastAsia="宋体"/>
                <w:color w:val="000000"/>
              </w:rPr>
              <w:t>（2）</w:t>
            </w:r>
            <w:r>
              <w:rPr>
                <w:rFonts w:ascii="Times New Roman" w:hAnsi="Times New Roman" w:eastAsia="宋体"/>
                <w:color w:val="000000"/>
              </w:rPr>
              <w:t>地下水资源</w:t>
            </w:r>
          </w:p>
          <w:p>
            <w:pPr>
              <w:pStyle w:val="56"/>
              <w:ind w:firstLine="480"/>
              <w:rPr>
                <w:rFonts w:ascii="Times New Roman" w:hAnsi="Times New Roman" w:eastAsia="宋体"/>
                <w:color w:val="000000"/>
              </w:rPr>
            </w:pPr>
            <w:r>
              <w:rPr>
                <w:rFonts w:ascii="Times New Roman" w:hAnsi="Times New Roman" w:eastAsia="宋体"/>
                <w:color w:val="000000"/>
              </w:rPr>
              <w:t>平顶山市年平均地下水资源量10.5亿立方米，地下水资源主要组成部分为平原区和部分山前倾斜平原区及部分倾斜平原区浅层地下水，属于松散岩类孔隙水，埋深一般不超过8m，含水层厚度一般在10～30m。</w:t>
            </w:r>
          </w:p>
          <w:p>
            <w:pPr>
              <w:pStyle w:val="56"/>
              <w:ind w:firstLine="480"/>
              <w:rPr>
                <w:rFonts w:ascii="Times New Roman" w:hAnsi="Times New Roman" w:eastAsia="宋体"/>
                <w:color w:val="000000"/>
              </w:rPr>
            </w:pPr>
            <w:r>
              <w:rPr>
                <w:rFonts w:ascii="Times New Roman" w:hAnsi="Times New Roman" w:eastAsia="宋体"/>
                <w:color w:val="000000"/>
              </w:rPr>
              <w:t>本项目所在区域基岩多被第四系松散岩层所掩盖，为碳酸盐类含水层组，埋深千米以上，第四系厚度从0增厚至百米以上，富水性由弱到强，含水层为砂砾石组成的空隙含水层。</w:t>
            </w:r>
          </w:p>
          <w:p>
            <w:pPr>
              <w:pStyle w:val="56"/>
              <w:ind w:firstLine="480"/>
              <w:rPr>
                <w:rFonts w:ascii="Times New Roman" w:hAnsi="Times New Roman" w:eastAsia="宋体"/>
                <w:color w:val="000000"/>
              </w:rPr>
            </w:pPr>
            <w:r>
              <w:rPr>
                <w:rFonts w:ascii="Times New Roman" w:hAnsi="Times New Roman" w:eastAsia="宋体"/>
                <w:color w:val="000000"/>
              </w:rPr>
              <w:t>本地区地下水补给类型主要为大气降水，由于地势为北高南低，地下水随地势有北向南流。由于平顶山市地下煤炭的开采，市区地下水水位较低，潜水地下水较少。</w:t>
            </w:r>
          </w:p>
          <w:p>
            <w:pPr>
              <w:pStyle w:val="13"/>
              <w:spacing w:after="0" w:line="520" w:lineRule="exact"/>
              <w:ind w:left="0" w:leftChars="0" w:firstLine="482" w:firstLineChars="200"/>
              <w:rPr>
                <w:rFonts w:ascii="Times New Roman" w:hAnsi="Times New Roman" w:eastAsia="宋体"/>
                <w:b/>
                <w:sz w:val="24"/>
              </w:rPr>
            </w:pPr>
            <w:r>
              <w:rPr>
                <w:rFonts w:hint="eastAsia" w:ascii="Times New Roman" w:hAnsi="Times New Roman" w:eastAsia="宋体"/>
                <w:b/>
                <w:sz w:val="24"/>
              </w:rPr>
              <w:t>5</w:t>
            </w:r>
            <w:r>
              <w:rPr>
                <w:rFonts w:ascii="Times New Roman" w:hAnsi="Times New Roman" w:eastAsia="宋体"/>
                <w:b/>
                <w:sz w:val="24"/>
              </w:rPr>
              <w:t>、矿产资源</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ascii="Times New Roman" w:hAnsi="Times New Roman" w:eastAsia="宋体" w:cs="Calibri"/>
                <w:color w:val="000000"/>
                <w:sz w:val="24"/>
              </w:rPr>
            </w:pPr>
            <w:r>
              <w:rPr>
                <w:rFonts w:ascii="Times New Roman" w:hAnsi="Times New Roman" w:eastAsia="宋体" w:cs="Calibri"/>
                <w:color w:val="000000"/>
                <w:sz w:val="24"/>
              </w:rPr>
              <w:t>平顶山市地上地下资源丰富，已查明各类矿产57种。原煤总产量103亿吨，保有储量80多亿吨，占河南省总储量的51%，素有中原煤仓之称；铁矿总储量6064亿吨，占河南省总储量60.5%，是全国十大铁矿区之一；钠盐预测总储量为2300亿吨，可采储量10.8亿吨，平均品为89%，单层厚度平均达27米，盐田的开发及深加工已成为河南省的重要产业。平顶山境内水资源十分丰富，共有大中型水库174座，其中大型水库4座，总容量为20亿立方米。地上地下水总量32亿立方米，充沛的水资源为工农业生产和城市用水提供了良好的条件。</w:t>
            </w:r>
          </w:p>
          <w:p>
            <w:pPr>
              <w:keepNext w:val="0"/>
              <w:keepLines w:val="0"/>
              <w:pageBreakBefore w:val="0"/>
              <w:widowControl w:val="0"/>
              <w:kinsoku/>
              <w:wordWrap/>
              <w:overflowPunct/>
              <w:topLinePunct w:val="0"/>
              <w:autoSpaceDE/>
              <w:autoSpaceDN/>
              <w:bidi w:val="0"/>
              <w:adjustRightInd/>
              <w:snapToGrid/>
              <w:spacing w:line="520" w:lineRule="exact"/>
              <w:ind w:firstLine="482" w:firstLineChars="200"/>
              <w:jc w:val="both"/>
              <w:textAlignment w:val="auto"/>
              <w:rPr>
                <w:rFonts w:ascii="Times New Roman" w:hAnsi="Times New Roman" w:eastAsia="宋体"/>
                <w:b/>
                <w:color w:val="000000"/>
                <w:sz w:val="24"/>
              </w:rPr>
            </w:pPr>
            <w:r>
              <w:rPr>
                <w:rFonts w:hint="eastAsia" w:ascii="Times New Roman" w:hAnsi="Times New Roman" w:eastAsia="宋体"/>
                <w:b/>
                <w:sz w:val="24"/>
              </w:rPr>
              <w:t>6</w:t>
            </w:r>
            <w:r>
              <w:rPr>
                <w:rFonts w:ascii="Times New Roman" w:hAnsi="Times New Roman" w:eastAsia="宋体"/>
                <w:b/>
                <w:sz w:val="24"/>
              </w:rPr>
              <w:t>、</w:t>
            </w:r>
            <w:r>
              <w:rPr>
                <w:rFonts w:hint="eastAsia" w:ascii="Times New Roman" w:hAnsi="Times New Roman" w:eastAsia="宋体"/>
                <w:b/>
                <w:color w:val="000000"/>
                <w:sz w:val="24"/>
              </w:rPr>
              <w:t>土壤</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ascii="Times New Roman" w:hAnsi="Times New Roman" w:eastAsia="宋体" w:cs="Calibri"/>
                <w:color w:val="000000"/>
                <w:sz w:val="24"/>
              </w:rPr>
            </w:pPr>
            <w:r>
              <w:rPr>
                <w:rFonts w:hint="eastAsia" w:ascii="Times New Roman" w:hAnsi="Times New Roman" w:eastAsia="宋体" w:cs="Calibri"/>
                <w:color w:val="000000"/>
                <w:sz w:val="24"/>
              </w:rPr>
              <w:t>平顶山市地貌是豫西山地向黄淮还平原的过渡带，山、丘、平、洼等地貌类型较多，在土壤类型上是南方的黄棕壤向北方的褐土过渡的地带，土壤种类繁多，理化性质各异，土壤营养元素含量也显示出明显的地带性差异。</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ascii="Times New Roman" w:hAnsi="Times New Roman" w:eastAsia="宋体" w:cs="Calibri"/>
                <w:color w:val="000000"/>
                <w:sz w:val="24"/>
              </w:rPr>
            </w:pPr>
            <w:r>
              <w:rPr>
                <w:rFonts w:ascii="Times New Roman" w:hAnsi="Times New Roman" w:eastAsia="宋体" w:cs="Calibri"/>
                <w:color w:val="000000"/>
                <w:sz w:val="24"/>
              </w:rPr>
              <w:t>根据对土壤的调查结果，平顶山市共有10个类型土壤：黄棕壤、棕壤、褐土、潮土、砂姜黑土、紫色土、红粘土、水稻土、粗骨土和石质土。</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ascii="Times New Roman" w:hAnsi="Times New Roman" w:eastAsia="宋体" w:cs="Calibri"/>
                <w:color w:val="000000"/>
                <w:sz w:val="24"/>
              </w:rPr>
            </w:pPr>
            <w:r>
              <w:rPr>
                <w:rFonts w:ascii="Times New Roman" w:hAnsi="Times New Roman" w:eastAsia="宋体" w:cs="Calibri"/>
                <w:color w:val="000000"/>
                <w:sz w:val="24"/>
              </w:rPr>
              <w:t>从分布规律上看，黄棕壤、棕壤、褐土壤属地带性土壤，其余均为微区域性土壤类型。黄棕壤与褐土大致以沙河为界，沙河以南为黄棕壤，沙河以北为褐土；棕壤土类只在鲁山县海拔800m以上的山区中有小面积分布。</w:t>
            </w:r>
          </w:p>
          <w:p>
            <w:pPr>
              <w:adjustRightInd w:val="0"/>
              <w:snapToGrid w:val="0"/>
              <w:spacing w:line="520" w:lineRule="exact"/>
              <w:ind w:firstLine="472" w:firstLineChars="196"/>
              <w:rPr>
                <w:rFonts w:ascii="Times New Roman" w:hAnsi="Times New Roman" w:eastAsia="宋体"/>
                <w:b/>
                <w:color w:val="000000"/>
                <w:sz w:val="24"/>
              </w:rPr>
            </w:pPr>
            <w:r>
              <w:rPr>
                <w:rFonts w:ascii="Times New Roman" w:hAnsi="Times New Roman" w:eastAsia="宋体"/>
                <w:b/>
                <w:sz w:val="24"/>
              </w:rPr>
              <w:t>7、</w:t>
            </w:r>
            <w:r>
              <w:rPr>
                <w:rFonts w:hint="eastAsia" w:ascii="Times New Roman" w:hAnsi="Times New Roman" w:eastAsia="宋体"/>
                <w:b/>
                <w:color w:val="000000"/>
                <w:sz w:val="24"/>
              </w:rPr>
              <w:t>动植物现状</w:t>
            </w:r>
          </w:p>
          <w:p>
            <w:pPr>
              <w:spacing w:line="520" w:lineRule="exact"/>
              <w:ind w:firstLine="480" w:firstLineChars="200"/>
              <w:jc w:val="left"/>
              <w:rPr>
                <w:rFonts w:ascii="Times New Roman" w:hAnsi="Times New Roman" w:eastAsia="宋体" w:cs="Calibri"/>
                <w:color w:val="000000"/>
                <w:sz w:val="24"/>
              </w:rPr>
            </w:pPr>
            <w:bookmarkStart w:id="2" w:name="_Toc10460"/>
            <w:r>
              <w:rPr>
                <w:rFonts w:ascii="Times New Roman" w:hAnsi="Times New Roman" w:eastAsia="宋体" w:cs="Calibri"/>
                <w:color w:val="000000"/>
                <w:sz w:val="24"/>
              </w:rPr>
              <w:t>平顶山市地处亚热带向暖温带过渡地带，在植被区划中，属于落叶阔叶林与常绿阔叶林的过渡地带。高等植物约3000种，210科，900属，占全省总数的70%，其中仅经济价值较大的资源植物约有1000种，平顶山市全区各类林木占地面积14.0万公顷，林木植被覆盖率为16.8%，据第四次森林清查资料，全市特种林面积3228公顷，防护林而积12799公顷，用材林面积46171公顷，经济林面积38356公顷，疏林地面积1614公顷，灌木林地而积12912公顷，无林地面积59559公顷。</w:t>
            </w:r>
          </w:p>
          <w:p>
            <w:pPr>
              <w:widowControl/>
              <w:spacing w:line="520" w:lineRule="exact"/>
              <w:ind w:firstLine="480" w:firstLineChars="200"/>
              <w:jc w:val="left"/>
              <w:rPr>
                <w:rFonts w:ascii="Times New Roman" w:hAnsi="Times New Roman" w:eastAsia="宋体" w:cs="Calibri"/>
                <w:color w:val="000000"/>
                <w:sz w:val="24"/>
              </w:rPr>
            </w:pPr>
            <w:r>
              <w:rPr>
                <w:rFonts w:ascii="Times New Roman" w:hAnsi="Times New Roman" w:eastAsia="宋体" w:cs="Calibri"/>
                <w:color w:val="000000"/>
                <w:sz w:val="24"/>
              </w:rPr>
              <w:t>评价区内生物资源比较单一，主要为人工花草和人工树木，以及季节性杂草，无列入《国家重点保护野生植物名录》和《国家重点保护野生动物名录》的动植物。</w:t>
            </w:r>
            <w:bookmarkEnd w:id="2"/>
          </w:p>
          <w:p>
            <w:pPr>
              <w:spacing w:line="520" w:lineRule="exact"/>
              <w:ind w:left="2" w:leftChars="1" w:firstLine="482" w:firstLineChars="200"/>
              <w:rPr>
                <w:rFonts w:ascii="Times New Roman" w:hAnsi="Times New Roman" w:eastAsia="宋体"/>
                <w:b/>
                <w:sz w:val="24"/>
              </w:rPr>
            </w:pPr>
            <w:r>
              <w:rPr>
                <w:rFonts w:hint="eastAsia" w:ascii="Times New Roman" w:hAnsi="Times New Roman" w:eastAsia="宋体"/>
                <w:b/>
                <w:sz w:val="24"/>
              </w:rPr>
              <w:t>8、与平顶山饮用水源环境保护规划的关系</w:t>
            </w:r>
          </w:p>
          <w:p>
            <w:pPr>
              <w:widowControl/>
              <w:spacing w:line="520" w:lineRule="exact"/>
              <w:ind w:firstLine="480" w:firstLineChars="200"/>
              <w:jc w:val="left"/>
              <w:rPr>
                <w:rFonts w:ascii="Times New Roman" w:hAnsi="Times New Roman" w:eastAsia="宋体"/>
                <w:bCs/>
                <w:sz w:val="24"/>
              </w:rPr>
            </w:pPr>
            <w:r>
              <w:rPr>
                <w:rFonts w:hint="eastAsia" w:ascii="Times New Roman" w:hAnsi="Times New Roman" w:eastAsia="宋体"/>
                <w:bCs/>
                <w:sz w:val="24"/>
              </w:rPr>
              <w:t>根据“河南省环境保护厅关于进一步明确平顶山市地表饮用水源保护区范围的函”（豫环函【2009】57号）和《河南省平顶山市地表饮用水源地保护方案》，平顶山市地表水源地拟划范围如下：</w:t>
            </w:r>
          </w:p>
          <w:p>
            <w:pPr>
              <w:widowControl/>
              <w:spacing w:line="520" w:lineRule="exact"/>
              <w:ind w:firstLine="480" w:firstLineChars="200"/>
              <w:jc w:val="left"/>
              <w:rPr>
                <w:rFonts w:ascii="Times New Roman" w:hAnsi="Times New Roman" w:eastAsia="宋体"/>
                <w:bCs/>
                <w:sz w:val="24"/>
              </w:rPr>
            </w:pPr>
            <w:r>
              <w:rPr>
                <w:rFonts w:hint="eastAsia" w:ascii="Times New Roman" w:hAnsi="Times New Roman" w:eastAsia="宋体"/>
                <w:bCs/>
                <w:sz w:val="24"/>
              </w:rPr>
              <w:t>一级保护区：白龟山水库高程103.0m以下的区域；昭平台水库环库路内的区域；应河、大浪河、澎河、荡泽河、沙河、团城河、清水河等主要支流入库口上游2000m的水域及其沿岸50m的陆域；沙河干流昭平台至白龟山水库间的水域；将相河、三里河、七里河、瀼河、肥河入沙河口上游2000m的水域及其沿岸50m的陆域。</w:t>
            </w:r>
          </w:p>
          <w:p>
            <w:pPr>
              <w:widowControl/>
              <w:spacing w:line="520" w:lineRule="exact"/>
              <w:ind w:firstLine="480" w:firstLineChars="200"/>
              <w:jc w:val="left"/>
              <w:rPr>
                <w:rFonts w:ascii="Times New Roman" w:hAnsi="Times New Roman" w:eastAsia="宋体"/>
                <w:bCs/>
                <w:sz w:val="24"/>
              </w:rPr>
            </w:pPr>
            <w:r>
              <w:rPr>
                <w:rFonts w:hint="eastAsia" w:ascii="Times New Roman" w:hAnsi="Times New Roman" w:eastAsia="宋体"/>
                <w:bCs/>
                <w:sz w:val="24"/>
              </w:rPr>
              <w:t>二级保护区：白龟山水库，环湖路东起东刘村、西至西太平村以南除一级保护区外的区域，环湖其它区域为水库高程104.0m以下除一级保护区外的区域；昭平台水库高程177.1m内的区域；将相河、大浪河一级保护区外所有的水域；其它主要支流一级水体保护区上游2000m的水域及其沿岸50m的陆域。</w:t>
            </w:r>
          </w:p>
          <w:p>
            <w:pPr>
              <w:widowControl/>
              <w:spacing w:line="520" w:lineRule="exact"/>
              <w:ind w:firstLine="480" w:firstLineChars="200"/>
              <w:jc w:val="left"/>
              <w:rPr>
                <w:rFonts w:ascii="Times New Roman" w:hAnsi="Times New Roman" w:eastAsia="宋体"/>
                <w:bCs/>
                <w:sz w:val="24"/>
              </w:rPr>
            </w:pPr>
            <w:r>
              <w:rPr>
                <w:rFonts w:hint="eastAsia" w:ascii="Times New Roman" w:hAnsi="Times New Roman" w:eastAsia="宋体"/>
                <w:bCs/>
                <w:sz w:val="24"/>
              </w:rPr>
              <w:t>准保护区：汇入白龟山水库、昭平台水库、沙河所有二级保护区上游水域及其沿岸500m的陆域。</w:t>
            </w:r>
          </w:p>
          <w:p>
            <w:pPr>
              <w:keepNext w:val="0"/>
              <w:keepLines w:val="0"/>
              <w:pageBreakBefore w:val="0"/>
              <w:widowControl/>
              <w:kinsoku/>
              <w:wordWrap/>
              <w:overflowPunct/>
              <w:topLinePunct w:val="0"/>
              <w:autoSpaceDE/>
              <w:autoSpaceDN/>
              <w:bidi w:val="0"/>
              <w:adjustRightInd/>
              <w:snapToGrid/>
              <w:spacing w:line="520" w:lineRule="exact"/>
              <w:ind w:left="0" w:leftChars="0" w:firstLine="480" w:firstLineChars="200"/>
              <w:jc w:val="both"/>
              <w:textAlignment w:val="auto"/>
              <w:rPr>
                <w:rFonts w:ascii="Times New Roman" w:hAnsi="Times New Roman" w:eastAsia="宋体"/>
                <w:bCs/>
                <w:sz w:val="24"/>
              </w:rPr>
            </w:pPr>
            <w:r>
              <w:rPr>
                <w:rFonts w:hint="eastAsia" w:ascii="Times New Roman" w:hAnsi="Times New Roman" w:eastAsia="宋体"/>
                <w:bCs/>
                <w:sz w:val="24"/>
              </w:rPr>
              <w:t>本工程距离西南侧白龟山水库</w:t>
            </w:r>
            <w:r>
              <w:rPr>
                <w:rFonts w:hint="eastAsia"/>
                <w:bCs/>
                <w:sz w:val="24"/>
                <w:lang w:val="en-US" w:eastAsia="zh-CN"/>
              </w:rPr>
              <w:t>6.57</w:t>
            </w:r>
            <w:r>
              <w:rPr>
                <w:rFonts w:hint="eastAsia" w:ascii="Times New Roman" w:hAnsi="Times New Roman" w:eastAsia="宋体"/>
                <w:bCs/>
                <w:sz w:val="24"/>
              </w:rPr>
              <w:t>km、</w:t>
            </w:r>
            <w:r>
              <w:rPr>
                <w:rFonts w:hint="eastAsia" w:ascii="Times New Roman" w:hAnsi="Times New Roman" w:eastAsia="宋体"/>
                <w:sz w:val="24"/>
              </w:rPr>
              <w:t>距离南侧沙河</w:t>
            </w:r>
            <w:r>
              <w:rPr>
                <w:rFonts w:hint="eastAsia"/>
                <w:sz w:val="24"/>
                <w:lang w:val="en-US" w:eastAsia="zh-CN"/>
              </w:rPr>
              <w:t>7.0</w:t>
            </w:r>
            <w:r>
              <w:rPr>
                <w:rFonts w:hint="eastAsia" w:ascii="Times New Roman" w:hAnsi="Times New Roman" w:eastAsia="宋体"/>
                <w:sz w:val="24"/>
              </w:rPr>
              <w:t>km，</w:t>
            </w:r>
            <w:r>
              <w:rPr>
                <w:rFonts w:hint="eastAsia" w:ascii="Times New Roman" w:hAnsi="Times New Roman" w:eastAsia="宋体"/>
                <w:bCs/>
                <w:sz w:val="24"/>
              </w:rPr>
              <w:t>项目选址不在平顶山市划定的一级、二级和准保护区范围内，符合平顶山市饮用水源地规划要求。</w:t>
            </w:r>
          </w:p>
          <w:p>
            <w:pPr>
              <w:keepNext w:val="0"/>
              <w:keepLines w:val="0"/>
              <w:pageBreakBefore w:val="0"/>
              <w:kinsoku/>
              <w:wordWrap/>
              <w:overflowPunct/>
              <w:topLinePunct w:val="0"/>
              <w:autoSpaceDE/>
              <w:autoSpaceDN/>
              <w:bidi w:val="0"/>
              <w:adjustRightInd/>
              <w:snapToGrid/>
              <w:spacing w:line="520" w:lineRule="exact"/>
              <w:ind w:left="0" w:leftChars="0" w:firstLine="482" w:firstLineChars="200"/>
              <w:jc w:val="both"/>
              <w:textAlignment w:val="auto"/>
              <w:rPr>
                <w:rFonts w:ascii="Times New Roman" w:hAnsi="Times New Roman" w:eastAsia="宋体"/>
                <w:b/>
                <w:sz w:val="24"/>
              </w:rPr>
            </w:pPr>
            <w:r>
              <w:rPr>
                <w:rFonts w:hint="eastAsia" w:ascii="Times New Roman" w:hAnsi="Times New Roman" w:eastAsia="宋体"/>
                <w:b/>
                <w:sz w:val="24"/>
              </w:rPr>
              <w:t>9、与南水北调中线工程的关系</w:t>
            </w:r>
          </w:p>
          <w:p>
            <w:pPr>
              <w:keepNext w:val="0"/>
              <w:keepLines w:val="0"/>
              <w:pageBreakBefore w:val="0"/>
              <w:kinsoku/>
              <w:wordWrap/>
              <w:overflowPunct/>
              <w:topLinePunct w:val="0"/>
              <w:autoSpaceDE/>
              <w:autoSpaceDN/>
              <w:bidi w:val="0"/>
              <w:adjustRightInd/>
              <w:snapToGrid/>
              <w:spacing w:line="520" w:lineRule="exact"/>
              <w:ind w:left="0" w:leftChars="0" w:firstLine="480" w:firstLineChars="200"/>
              <w:jc w:val="both"/>
              <w:textAlignment w:val="auto"/>
              <w:rPr>
                <w:rFonts w:ascii="Times New Roman" w:hAnsi="Times New Roman" w:eastAsia="宋体"/>
                <w:color w:val="000000"/>
                <w:sz w:val="24"/>
              </w:rPr>
            </w:pPr>
            <w:r>
              <w:rPr>
                <w:rFonts w:hint="eastAsia" w:ascii="Times New Roman" w:hAnsi="Times New Roman" w:eastAsia="宋体"/>
                <w:sz w:val="24"/>
              </w:rPr>
              <w:t>南水北调中线工程是国家“十五”计划重点工程，将从加坝扩容后的丹江口水库陶岔渠首闸引水，通过开挖规划渠道输水，沿唐白河流域西侧过长江流域与淮河流域的分水岭方城垭口后，经黄淮海平原西部边缘在郑州以西孤柏嘴处穿过黄河，继续沿京广铁路两侧北上，自流到北京、天津。总干渠全长</w:t>
            </w:r>
            <w:r>
              <w:rPr>
                <w:rFonts w:ascii="Times New Roman" w:hAnsi="Times New Roman" w:eastAsia="宋体"/>
                <w:sz w:val="24"/>
              </w:rPr>
              <w:t>1245km</w:t>
            </w:r>
            <w:r>
              <w:rPr>
                <w:rFonts w:hint="eastAsia" w:ascii="Times New Roman" w:hAnsi="Times New Roman" w:eastAsia="宋体"/>
                <w:sz w:val="24"/>
              </w:rPr>
              <w:t>，计划年调水量</w:t>
            </w:r>
            <w:r>
              <w:rPr>
                <w:rFonts w:ascii="Times New Roman" w:hAnsi="Times New Roman" w:eastAsia="宋体"/>
                <w:sz w:val="24"/>
              </w:rPr>
              <w:t>140</w:t>
            </w:r>
            <w:r>
              <w:rPr>
                <w:rFonts w:hint="eastAsia" w:ascii="Times New Roman" w:hAnsi="Times New Roman" w:eastAsia="宋体"/>
                <w:sz w:val="24"/>
              </w:rPr>
              <w:t>亿立方米。中线工程在平顶山市境内的渠</w:t>
            </w:r>
            <w:r>
              <w:rPr>
                <w:rFonts w:hint="eastAsia" w:ascii="Times New Roman" w:hAnsi="Times New Roman" w:eastAsia="宋体"/>
                <w:color w:val="000000"/>
                <w:sz w:val="24"/>
              </w:rPr>
              <w:t>线从叶县保安镇入境，涉及叶县、鲁山、宝丰、郏县等</w:t>
            </w:r>
            <w:r>
              <w:rPr>
                <w:rFonts w:ascii="Times New Roman" w:hAnsi="Times New Roman" w:eastAsia="宋体"/>
                <w:color w:val="000000"/>
                <w:sz w:val="24"/>
              </w:rPr>
              <w:t>4</w:t>
            </w:r>
            <w:r>
              <w:rPr>
                <w:rFonts w:hint="eastAsia" w:ascii="Times New Roman" w:hAnsi="Times New Roman" w:eastAsia="宋体"/>
                <w:color w:val="000000"/>
                <w:sz w:val="24"/>
              </w:rPr>
              <w:t>个县。</w:t>
            </w:r>
          </w:p>
          <w:p>
            <w:pPr>
              <w:keepNext w:val="0"/>
              <w:keepLines w:val="0"/>
              <w:pageBreakBefore w:val="0"/>
              <w:kinsoku/>
              <w:wordWrap/>
              <w:overflowPunct/>
              <w:topLinePunct w:val="0"/>
              <w:autoSpaceDE/>
              <w:autoSpaceDN/>
              <w:bidi w:val="0"/>
              <w:adjustRightInd/>
              <w:snapToGrid/>
              <w:spacing w:line="520" w:lineRule="exact"/>
              <w:ind w:left="0" w:leftChars="0" w:firstLine="480" w:firstLineChars="200"/>
              <w:jc w:val="both"/>
              <w:textAlignment w:val="auto"/>
              <w:rPr>
                <w:rFonts w:ascii="Times New Roman" w:hAnsi="Times New Roman" w:eastAsia="宋体"/>
                <w:bCs/>
                <w:color w:val="000000"/>
                <w:sz w:val="24"/>
              </w:rPr>
            </w:pPr>
            <w:r>
              <w:rPr>
                <w:rFonts w:hint="eastAsia" w:ascii="Times New Roman" w:hAnsi="Times New Roman" w:eastAsia="宋体"/>
                <w:bCs/>
                <w:color w:val="000000"/>
                <w:sz w:val="24"/>
              </w:rPr>
              <w:t>《</w:t>
            </w:r>
            <w:r>
              <w:rPr>
                <w:rFonts w:hint="eastAsia" w:ascii="Times New Roman" w:hAnsi="Times New Roman" w:eastAsia="宋体"/>
                <w:color w:val="000000"/>
                <w:sz w:val="24"/>
              </w:rPr>
              <w:t>关于印发南水北调中线一期工程总干渠（河南段）两侧饮用水水源保护区划的通知</w:t>
            </w:r>
            <w:r>
              <w:rPr>
                <w:rFonts w:hint="eastAsia" w:ascii="Times New Roman" w:hAnsi="Times New Roman" w:eastAsia="宋体"/>
                <w:bCs/>
                <w:color w:val="000000"/>
                <w:sz w:val="24"/>
              </w:rPr>
              <w:t>》（豫调办【</w:t>
            </w:r>
            <w:r>
              <w:rPr>
                <w:rFonts w:ascii="Times New Roman" w:hAnsi="Times New Roman" w:eastAsia="宋体"/>
                <w:bCs/>
                <w:color w:val="000000"/>
                <w:sz w:val="24"/>
              </w:rPr>
              <w:t>2018</w:t>
            </w:r>
            <w:r>
              <w:rPr>
                <w:rFonts w:hint="eastAsia" w:ascii="Times New Roman" w:hAnsi="Times New Roman" w:eastAsia="宋体"/>
                <w:bCs/>
                <w:color w:val="000000"/>
                <w:sz w:val="24"/>
              </w:rPr>
              <w:t>】</w:t>
            </w:r>
            <w:r>
              <w:rPr>
                <w:rFonts w:ascii="Times New Roman" w:hAnsi="Times New Roman" w:eastAsia="宋体"/>
                <w:bCs/>
                <w:color w:val="000000"/>
                <w:sz w:val="24"/>
              </w:rPr>
              <w:t>56</w:t>
            </w:r>
            <w:r>
              <w:rPr>
                <w:rFonts w:hint="eastAsia" w:ascii="Times New Roman" w:hAnsi="Times New Roman" w:eastAsia="宋体"/>
                <w:bCs/>
                <w:color w:val="000000"/>
                <w:sz w:val="24"/>
              </w:rPr>
              <w:t>号）中规定如下：</w:t>
            </w:r>
          </w:p>
          <w:p>
            <w:pPr>
              <w:keepNext w:val="0"/>
              <w:keepLines w:val="0"/>
              <w:pageBreakBefore w:val="0"/>
              <w:kinsoku/>
              <w:wordWrap/>
              <w:overflowPunct/>
              <w:topLinePunct w:val="0"/>
              <w:autoSpaceDE/>
              <w:autoSpaceDN/>
              <w:bidi w:val="0"/>
              <w:adjustRightInd/>
              <w:snapToGrid/>
              <w:spacing w:line="520" w:lineRule="exact"/>
              <w:ind w:left="0" w:leftChars="0" w:firstLine="480" w:firstLineChars="200"/>
              <w:jc w:val="both"/>
              <w:textAlignment w:val="auto"/>
              <w:rPr>
                <w:rFonts w:ascii="Times New Roman" w:hAnsi="Times New Roman" w:eastAsia="宋体"/>
                <w:bCs/>
                <w:color w:val="000000"/>
                <w:sz w:val="24"/>
              </w:rPr>
            </w:pPr>
            <w:r>
              <w:rPr>
                <w:rFonts w:hint="eastAsia" w:ascii="Times New Roman" w:hAnsi="Times New Roman" w:eastAsia="宋体"/>
                <w:bCs/>
                <w:color w:val="000000"/>
                <w:sz w:val="24"/>
              </w:rPr>
              <w:t>南水北调中线一期工程总干渠在河南省内的工程类型分为建筑物段和总干渠明渠段。</w:t>
            </w:r>
          </w:p>
          <w:p>
            <w:pPr>
              <w:keepNext w:val="0"/>
              <w:keepLines w:val="0"/>
              <w:pageBreakBefore w:val="0"/>
              <w:kinsoku/>
              <w:wordWrap/>
              <w:overflowPunct/>
              <w:topLinePunct w:val="0"/>
              <w:autoSpaceDE/>
              <w:autoSpaceDN/>
              <w:bidi w:val="0"/>
              <w:adjustRightInd/>
              <w:snapToGrid/>
              <w:spacing w:line="520" w:lineRule="exact"/>
              <w:ind w:left="0" w:leftChars="0" w:firstLine="480" w:firstLineChars="200"/>
              <w:jc w:val="both"/>
              <w:textAlignment w:val="auto"/>
              <w:rPr>
                <w:rFonts w:ascii="Times New Roman" w:hAnsi="Times New Roman" w:eastAsia="宋体"/>
                <w:color w:val="000000"/>
                <w:sz w:val="24"/>
              </w:rPr>
            </w:pPr>
            <w:r>
              <w:rPr>
                <w:rFonts w:hint="eastAsia" w:ascii="Times New Roman" w:hAnsi="Times New Roman" w:eastAsia="宋体"/>
                <w:color w:val="000000"/>
                <w:sz w:val="24"/>
              </w:rPr>
              <w:t>（一）建筑物段（渡槽、倒虹吸、暗涵、隧道）</w:t>
            </w:r>
          </w:p>
          <w:p>
            <w:pPr>
              <w:keepNext w:val="0"/>
              <w:keepLines w:val="0"/>
              <w:pageBreakBefore w:val="0"/>
              <w:kinsoku/>
              <w:wordWrap/>
              <w:overflowPunct/>
              <w:topLinePunct w:val="0"/>
              <w:autoSpaceDE/>
              <w:autoSpaceDN/>
              <w:bidi w:val="0"/>
              <w:adjustRightInd/>
              <w:snapToGrid/>
              <w:spacing w:line="520" w:lineRule="exact"/>
              <w:ind w:left="0" w:leftChars="0" w:firstLine="480" w:firstLineChars="200"/>
              <w:jc w:val="both"/>
              <w:textAlignment w:val="auto"/>
              <w:rPr>
                <w:rFonts w:ascii="Times New Roman" w:hAnsi="Times New Roman" w:eastAsia="宋体"/>
                <w:color w:val="000000"/>
                <w:sz w:val="24"/>
              </w:rPr>
            </w:pPr>
            <w:r>
              <w:rPr>
                <w:rFonts w:hint="eastAsia" w:ascii="Times New Roman" w:hAnsi="Times New Roman" w:eastAsia="宋体"/>
                <w:color w:val="000000"/>
                <w:sz w:val="24"/>
              </w:rPr>
              <w:t>一级保护区范围自总干渠管理范围边线（防护栏网）外延</w:t>
            </w:r>
            <w:r>
              <w:rPr>
                <w:rFonts w:ascii="Times New Roman" w:hAnsi="Times New Roman" w:eastAsia="宋体"/>
                <w:color w:val="000000"/>
                <w:sz w:val="24"/>
              </w:rPr>
              <w:t>50m</w:t>
            </w:r>
            <w:r>
              <w:rPr>
                <w:rFonts w:hint="eastAsia" w:ascii="Times New Roman" w:hAnsi="Times New Roman" w:eastAsia="宋体"/>
                <w:color w:val="000000"/>
                <w:sz w:val="24"/>
              </w:rPr>
              <w:t>，不设二级保护区。</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ascii="Times New Roman" w:hAnsi="Times New Roman" w:eastAsia="宋体"/>
                <w:color w:val="000000"/>
                <w:sz w:val="24"/>
              </w:rPr>
            </w:pPr>
            <w:r>
              <w:rPr>
                <w:rFonts w:hint="eastAsia" w:ascii="Times New Roman" w:hAnsi="Times New Roman" w:eastAsia="宋体"/>
                <w:color w:val="000000"/>
                <w:sz w:val="24"/>
              </w:rPr>
              <w:t>（二）总干渠明渠段</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ascii="Times New Roman" w:hAnsi="Times New Roman" w:eastAsia="宋体"/>
                <w:color w:val="000000"/>
                <w:sz w:val="24"/>
              </w:rPr>
            </w:pPr>
            <w:r>
              <w:rPr>
                <w:rFonts w:hint="eastAsia" w:ascii="Times New Roman" w:hAnsi="Times New Roman" w:eastAsia="宋体"/>
                <w:color w:val="000000"/>
                <w:sz w:val="24"/>
              </w:rPr>
              <w:t>根据地下水水水位与总干渠渠底高程的关系，分为以下几种类型：</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ascii="Times New Roman" w:hAnsi="Times New Roman" w:eastAsia="宋体"/>
                <w:color w:val="000000"/>
                <w:sz w:val="24"/>
              </w:rPr>
            </w:pPr>
            <w:r>
              <w:rPr>
                <w:rFonts w:ascii="Times New Roman" w:hAnsi="Times New Roman" w:eastAsia="宋体"/>
                <w:color w:val="000000"/>
                <w:sz w:val="24"/>
              </w:rPr>
              <w:t>1</w:t>
            </w:r>
            <w:r>
              <w:rPr>
                <w:rFonts w:hint="eastAsia" w:ascii="Times New Roman" w:hAnsi="Times New Roman" w:eastAsia="宋体"/>
                <w:color w:val="000000"/>
                <w:sz w:val="24"/>
              </w:rPr>
              <w:t>、地下水水位低于总干渠渠底的渠段</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ascii="Times New Roman" w:hAnsi="Times New Roman" w:eastAsia="宋体"/>
                <w:color w:val="000000"/>
                <w:sz w:val="24"/>
              </w:rPr>
            </w:pPr>
            <w:r>
              <w:rPr>
                <w:rFonts w:hint="eastAsia" w:ascii="Times New Roman" w:hAnsi="Times New Roman" w:eastAsia="宋体"/>
                <w:color w:val="000000"/>
                <w:sz w:val="24"/>
              </w:rPr>
              <w:t>一级保护区范围自总干渠管理范围边线（防护栏网）外延</w:t>
            </w:r>
            <w:r>
              <w:rPr>
                <w:rFonts w:ascii="Times New Roman" w:hAnsi="Times New Roman" w:eastAsia="宋体"/>
                <w:color w:val="000000"/>
                <w:sz w:val="24"/>
              </w:rPr>
              <w:t>50m</w:t>
            </w:r>
            <w:r>
              <w:rPr>
                <w:rFonts w:hint="eastAsia" w:ascii="Times New Roman" w:hAnsi="Times New Roman" w:eastAsia="宋体"/>
                <w:color w:val="000000"/>
                <w:sz w:val="24"/>
              </w:rPr>
              <w:t>；</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ascii="Times New Roman" w:hAnsi="Times New Roman" w:eastAsia="宋体"/>
                <w:color w:val="000000"/>
                <w:sz w:val="24"/>
              </w:rPr>
            </w:pPr>
            <w:r>
              <w:rPr>
                <w:rFonts w:hint="eastAsia" w:ascii="Times New Roman" w:hAnsi="Times New Roman" w:eastAsia="宋体"/>
                <w:color w:val="000000"/>
                <w:sz w:val="24"/>
              </w:rPr>
              <w:t>二级保护区范围自一级保护区边线外延</w:t>
            </w:r>
            <w:r>
              <w:rPr>
                <w:rFonts w:ascii="Times New Roman" w:hAnsi="Times New Roman" w:eastAsia="宋体"/>
                <w:color w:val="000000"/>
                <w:sz w:val="24"/>
              </w:rPr>
              <w:t>150m</w:t>
            </w:r>
            <w:r>
              <w:rPr>
                <w:rFonts w:hint="eastAsia" w:ascii="Times New Roman" w:hAnsi="Times New Roman" w:eastAsia="宋体"/>
                <w:color w:val="000000"/>
                <w:sz w:val="24"/>
              </w:rPr>
              <w:t>。</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ascii="Times New Roman" w:hAnsi="Times New Roman" w:eastAsia="宋体"/>
                <w:color w:val="000000"/>
                <w:sz w:val="24"/>
              </w:rPr>
            </w:pPr>
            <w:r>
              <w:rPr>
                <w:rFonts w:ascii="Times New Roman" w:hAnsi="Times New Roman" w:eastAsia="宋体"/>
                <w:color w:val="000000"/>
                <w:sz w:val="24"/>
              </w:rPr>
              <w:t>2</w:t>
            </w:r>
            <w:r>
              <w:rPr>
                <w:rFonts w:hint="eastAsia" w:ascii="Times New Roman" w:hAnsi="Times New Roman" w:eastAsia="宋体"/>
                <w:color w:val="000000"/>
                <w:sz w:val="24"/>
              </w:rPr>
              <w:t>、地下水水位高于总干渠渠段的渠段</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ascii="Times New Roman" w:hAnsi="Times New Roman" w:eastAsia="宋体"/>
                <w:color w:val="000000"/>
                <w:sz w:val="24"/>
              </w:rPr>
            </w:pPr>
            <w:r>
              <w:rPr>
                <w:rFonts w:hint="eastAsia" w:ascii="Times New Roman" w:hAnsi="Times New Roman" w:eastAsia="宋体"/>
                <w:color w:val="000000"/>
                <w:sz w:val="24"/>
              </w:rPr>
              <w:t>（</w:t>
            </w:r>
            <w:r>
              <w:rPr>
                <w:rFonts w:ascii="Times New Roman" w:hAnsi="Times New Roman" w:eastAsia="宋体"/>
                <w:color w:val="000000"/>
                <w:sz w:val="24"/>
              </w:rPr>
              <w:t>1</w:t>
            </w:r>
            <w:r>
              <w:rPr>
                <w:rFonts w:hint="eastAsia" w:ascii="Times New Roman" w:hAnsi="Times New Roman" w:eastAsia="宋体"/>
                <w:color w:val="000000"/>
                <w:sz w:val="24"/>
              </w:rPr>
              <w:t>）微～弱透水性地层</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ascii="Times New Roman" w:hAnsi="Times New Roman" w:eastAsia="宋体"/>
                <w:color w:val="000000"/>
                <w:sz w:val="24"/>
              </w:rPr>
            </w:pPr>
            <w:r>
              <w:rPr>
                <w:rFonts w:hint="eastAsia" w:ascii="Times New Roman" w:hAnsi="Times New Roman" w:eastAsia="宋体"/>
                <w:color w:val="000000"/>
                <w:sz w:val="24"/>
              </w:rPr>
              <w:t>一级保护区范围自总干渠管理范围边线（防护栏网）外延</w:t>
            </w:r>
            <w:r>
              <w:rPr>
                <w:rFonts w:ascii="Times New Roman" w:hAnsi="Times New Roman" w:eastAsia="宋体"/>
                <w:color w:val="000000"/>
                <w:sz w:val="24"/>
              </w:rPr>
              <w:t>50m</w:t>
            </w:r>
            <w:r>
              <w:rPr>
                <w:rFonts w:hint="eastAsia" w:ascii="Times New Roman" w:hAnsi="Times New Roman" w:eastAsia="宋体"/>
                <w:color w:val="000000"/>
                <w:sz w:val="24"/>
              </w:rPr>
              <w:t>；二级保护区范围自一级保护区边线外延</w:t>
            </w:r>
            <w:r>
              <w:rPr>
                <w:rFonts w:ascii="Times New Roman" w:hAnsi="Times New Roman" w:eastAsia="宋体"/>
                <w:color w:val="000000"/>
                <w:sz w:val="24"/>
              </w:rPr>
              <w:t>500m</w:t>
            </w:r>
            <w:r>
              <w:rPr>
                <w:rFonts w:hint="eastAsia" w:ascii="Times New Roman" w:hAnsi="Times New Roman" w:eastAsia="宋体"/>
                <w:color w:val="000000"/>
                <w:sz w:val="24"/>
              </w:rPr>
              <w:t>。</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ascii="Times New Roman" w:hAnsi="Times New Roman" w:eastAsia="宋体"/>
                <w:color w:val="000000"/>
                <w:sz w:val="24"/>
              </w:rPr>
            </w:pPr>
            <w:r>
              <w:rPr>
                <w:rFonts w:hint="eastAsia" w:ascii="Times New Roman" w:hAnsi="Times New Roman" w:eastAsia="宋体"/>
                <w:color w:val="000000"/>
                <w:sz w:val="24"/>
              </w:rPr>
              <w:t>（</w:t>
            </w:r>
            <w:r>
              <w:rPr>
                <w:rFonts w:ascii="Times New Roman" w:hAnsi="Times New Roman" w:eastAsia="宋体"/>
                <w:color w:val="000000"/>
                <w:sz w:val="24"/>
              </w:rPr>
              <w:t>2</w:t>
            </w:r>
            <w:r>
              <w:rPr>
                <w:rFonts w:hint="eastAsia" w:ascii="Times New Roman" w:hAnsi="Times New Roman" w:eastAsia="宋体"/>
                <w:color w:val="000000"/>
                <w:sz w:val="24"/>
              </w:rPr>
              <w:t>）弱～中等透水性地层</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ascii="Times New Roman" w:hAnsi="Times New Roman" w:eastAsia="宋体"/>
                <w:color w:val="000000"/>
                <w:sz w:val="24"/>
              </w:rPr>
            </w:pPr>
            <w:r>
              <w:rPr>
                <w:rFonts w:hint="eastAsia" w:ascii="Times New Roman" w:hAnsi="Times New Roman" w:eastAsia="宋体"/>
                <w:color w:val="000000"/>
                <w:sz w:val="24"/>
              </w:rPr>
              <w:t>一级保护区范围自总干渠管理范围边线（防护栏网）外延</w:t>
            </w:r>
            <w:r>
              <w:rPr>
                <w:rFonts w:ascii="Times New Roman" w:hAnsi="Times New Roman" w:eastAsia="宋体"/>
                <w:color w:val="000000"/>
                <w:sz w:val="24"/>
              </w:rPr>
              <w:t>100m</w:t>
            </w:r>
            <w:r>
              <w:rPr>
                <w:rFonts w:hint="eastAsia" w:ascii="Times New Roman" w:hAnsi="Times New Roman" w:eastAsia="宋体"/>
                <w:color w:val="000000"/>
                <w:sz w:val="24"/>
              </w:rPr>
              <w:t>；二级保护区范围自一级保护区边线外延</w:t>
            </w:r>
            <w:r>
              <w:rPr>
                <w:rFonts w:ascii="Times New Roman" w:hAnsi="Times New Roman" w:eastAsia="宋体"/>
                <w:color w:val="000000"/>
                <w:sz w:val="24"/>
              </w:rPr>
              <w:t>1000m</w:t>
            </w:r>
            <w:r>
              <w:rPr>
                <w:rFonts w:hint="eastAsia" w:ascii="Times New Roman" w:hAnsi="Times New Roman" w:eastAsia="宋体"/>
                <w:color w:val="000000"/>
                <w:sz w:val="24"/>
              </w:rPr>
              <w:t>。</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ascii="Times New Roman" w:hAnsi="Times New Roman" w:eastAsia="宋体"/>
                <w:color w:val="000000"/>
                <w:sz w:val="24"/>
              </w:rPr>
            </w:pPr>
            <w:r>
              <w:rPr>
                <w:rFonts w:hint="eastAsia" w:ascii="Times New Roman" w:hAnsi="Times New Roman" w:eastAsia="宋体"/>
                <w:color w:val="000000"/>
                <w:sz w:val="24"/>
              </w:rPr>
              <w:t>（</w:t>
            </w:r>
            <w:r>
              <w:rPr>
                <w:rFonts w:ascii="Times New Roman" w:hAnsi="Times New Roman" w:eastAsia="宋体"/>
                <w:color w:val="000000"/>
                <w:sz w:val="24"/>
              </w:rPr>
              <w:t>3</w:t>
            </w:r>
            <w:r>
              <w:rPr>
                <w:rFonts w:hint="eastAsia" w:ascii="Times New Roman" w:hAnsi="Times New Roman" w:eastAsia="宋体"/>
                <w:color w:val="000000"/>
                <w:sz w:val="24"/>
              </w:rPr>
              <w:t>）强透水性地层</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ascii="Times New Roman" w:hAnsi="Times New Roman" w:eastAsia="宋体"/>
                <w:color w:val="000000"/>
                <w:sz w:val="24"/>
              </w:rPr>
            </w:pPr>
            <w:r>
              <w:rPr>
                <w:rFonts w:hint="eastAsia" w:ascii="Times New Roman" w:hAnsi="Times New Roman" w:eastAsia="宋体"/>
                <w:color w:val="000000"/>
                <w:sz w:val="24"/>
              </w:rPr>
              <w:t>一级保护区范围自总干渠管理范围边线（防护栏网）外延</w:t>
            </w:r>
            <w:r>
              <w:rPr>
                <w:rFonts w:ascii="Times New Roman" w:hAnsi="Times New Roman" w:eastAsia="宋体"/>
                <w:color w:val="000000"/>
                <w:sz w:val="24"/>
              </w:rPr>
              <w:t>200m</w:t>
            </w:r>
            <w:r>
              <w:rPr>
                <w:rFonts w:hint="eastAsia" w:ascii="Times New Roman" w:hAnsi="Times New Roman" w:eastAsia="宋体"/>
                <w:color w:val="000000"/>
                <w:sz w:val="24"/>
              </w:rPr>
              <w:t>；二级保护区范围自一级保护区边线外延</w:t>
            </w:r>
            <w:r>
              <w:rPr>
                <w:rFonts w:ascii="Times New Roman" w:hAnsi="Times New Roman" w:eastAsia="宋体"/>
                <w:color w:val="000000"/>
                <w:sz w:val="24"/>
              </w:rPr>
              <w:t>2000m</w:t>
            </w:r>
            <w:r>
              <w:rPr>
                <w:rFonts w:hint="eastAsia" w:ascii="Times New Roman" w:hAnsi="Times New Roman" w:eastAsia="宋体"/>
                <w:color w:val="000000"/>
                <w:sz w:val="24"/>
              </w:rPr>
              <w:t>、</w:t>
            </w:r>
            <w:r>
              <w:rPr>
                <w:rFonts w:ascii="Times New Roman" w:hAnsi="Times New Roman" w:eastAsia="宋体"/>
                <w:color w:val="000000"/>
                <w:sz w:val="24"/>
              </w:rPr>
              <w:t>1500m</w:t>
            </w:r>
            <w:r>
              <w:rPr>
                <w:rFonts w:hint="eastAsia" w:ascii="Times New Roman" w:hAnsi="Times New Roman" w:eastAsia="宋体"/>
                <w:color w:val="000000"/>
                <w:sz w:val="24"/>
              </w:rPr>
              <w:t>。</w:t>
            </w:r>
          </w:p>
          <w:p>
            <w:pPr>
              <w:pStyle w:val="35"/>
              <w:keepNext w:val="0"/>
              <w:keepLines w:val="0"/>
              <w:pageBreakBefore w:val="0"/>
              <w:widowControl w:val="0"/>
              <w:kinsoku/>
              <w:wordWrap/>
              <w:overflowPunct/>
              <w:topLinePunct w:val="0"/>
              <w:autoSpaceDE/>
              <w:autoSpaceDN/>
              <w:bidi w:val="0"/>
              <w:adjustRightInd/>
              <w:snapToGrid/>
              <w:ind w:firstLine="480" w:firstLineChars="200"/>
              <w:textAlignment w:val="auto"/>
              <w:rPr>
                <w:rFonts w:ascii="Times New Roman" w:hAnsi="Times New Roman" w:eastAsia="宋体"/>
                <w:bCs/>
                <w:color w:val="000000" w:themeColor="text1"/>
              </w:rPr>
            </w:pPr>
            <w:r>
              <w:rPr>
                <w:rFonts w:hint="eastAsia" w:ascii="Times New Roman" w:hAnsi="Times New Roman" w:eastAsia="宋体"/>
                <w:bCs/>
                <w:color w:val="000000" w:themeColor="text1"/>
              </w:rPr>
              <w:t>本项目位于在南水北调工程右岸，距离东侧南水北调中线一期工程约</w:t>
            </w:r>
            <w:r>
              <w:rPr>
                <w:rFonts w:hint="eastAsia" w:ascii="Times New Roman" w:hAnsi="Times New Roman"/>
                <w:bCs/>
                <w:color w:val="000000" w:themeColor="text1"/>
                <w:lang w:val="en-US" w:eastAsia="zh-CN"/>
              </w:rPr>
              <w:t>29.78</w:t>
            </w:r>
            <w:r>
              <w:rPr>
                <w:rFonts w:ascii="Times New Roman" w:hAnsi="Times New Roman" w:eastAsia="宋体"/>
                <w:bCs/>
                <w:color w:val="000000" w:themeColor="text1"/>
              </w:rPr>
              <w:t>km</w:t>
            </w:r>
            <w:r>
              <w:rPr>
                <w:rFonts w:hint="eastAsia" w:ascii="Times New Roman" w:hAnsi="Times New Roman" w:eastAsia="宋体"/>
                <w:bCs/>
                <w:color w:val="000000" w:themeColor="text1"/>
              </w:rPr>
              <w:t>，不在南水北调中线工程一级和二级保护区范围内，符合南水北调中线工程规划要求。</w:t>
            </w:r>
          </w:p>
          <w:p>
            <w:pPr>
              <w:pStyle w:val="35"/>
              <w:keepNext w:val="0"/>
              <w:keepLines w:val="0"/>
              <w:pageBreakBefore w:val="0"/>
              <w:widowControl w:val="0"/>
              <w:kinsoku/>
              <w:wordWrap/>
              <w:overflowPunct/>
              <w:topLinePunct w:val="0"/>
              <w:autoSpaceDE/>
              <w:autoSpaceDN/>
              <w:bidi w:val="0"/>
              <w:adjustRightInd/>
              <w:snapToGrid/>
              <w:ind w:firstLine="482"/>
              <w:textAlignment w:val="auto"/>
              <w:rPr>
                <w:rFonts w:ascii="Times New Roman" w:hAnsi="Times New Roman" w:eastAsia="宋体"/>
                <w:b/>
                <w:kern w:val="0"/>
                <w:szCs w:val="24"/>
              </w:rPr>
            </w:pPr>
            <w:r>
              <w:rPr>
                <w:rFonts w:ascii="Times New Roman" w:hAnsi="Times New Roman" w:eastAsia="宋体"/>
                <w:b/>
                <w:bCs/>
                <w:kern w:val="0"/>
                <w:szCs w:val="24"/>
              </w:rPr>
              <w:t>1</w:t>
            </w:r>
            <w:r>
              <w:rPr>
                <w:rFonts w:hint="eastAsia" w:ascii="Times New Roman" w:hAnsi="Times New Roman" w:eastAsia="宋体"/>
                <w:b/>
                <w:bCs/>
                <w:kern w:val="0"/>
                <w:szCs w:val="24"/>
              </w:rPr>
              <w:t>0、</w:t>
            </w:r>
            <w:r>
              <w:rPr>
                <w:rFonts w:hint="eastAsia" w:ascii="Times New Roman" w:hAnsi="Times New Roman" w:eastAsia="宋体"/>
                <w:b/>
                <w:kern w:val="0"/>
              </w:rPr>
              <w:t>《</w:t>
            </w:r>
            <w:r>
              <w:rPr>
                <w:rFonts w:hint="eastAsia" w:ascii="Times New Roman" w:hAnsi="Times New Roman" w:eastAsia="宋体"/>
                <w:b/>
                <w:kern w:val="0"/>
                <w:szCs w:val="24"/>
              </w:rPr>
              <w:t>关于印发河南省</w:t>
            </w:r>
            <w:r>
              <w:rPr>
                <w:rFonts w:ascii="Times New Roman" w:hAnsi="Times New Roman" w:eastAsia="宋体"/>
                <w:b/>
                <w:kern w:val="0"/>
                <w:szCs w:val="24"/>
              </w:rPr>
              <w:t>2020</w:t>
            </w:r>
            <w:r>
              <w:rPr>
                <w:rFonts w:hint="eastAsia" w:ascii="Times New Roman" w:hAnsi="Times New Roman" w:eastAsia="宋体"/>
                <w:b/>
                <w:kern w:val="0"/>
                <w:szCs w:val="24"/>
              </w:rPr>
              <w:t>年大气、水、土壤污染防治攻坚战实施方案的通知</w:t>
            </w:r>
            <w:r>
              <w:rPr>
                <w:rFonts w:hint="eastAsia" w:ascii="Times New Roman" w:hAnsi="Times New Roman" w:eastAsia="宋体"/>
                <w:b/>
                <w:kern w:val="0"/>
              </w:rPr>
              <w:t>》豫环攻坚办〔</w:t>
            </w:r>
            <w:r>
              <w:rPr>
                <w:rFonts w:ascii="Times New Roman" w:hAnsi="Times New Roman" w:eastAsia="宋体"/>
                <w:b/>
                <w:kern w:val="0"/>
              </w:rPr>
              <w:t>2020</w:t>
            </w:r>
            <w:r>
              <w:rPr>
                <w:rFonts w:hint="eastAsia" w:ascii="Times New Roman" w:hAnsi="Times New Roman" w:eastAsia="宋体"/>
                <w:b/>
                <w:kern w:val="0"/>
              </w:rPr>
              <w:t>〕</w:t>
            </w:r>
            <w:r>
              <w:rPr>
                <w:rFonts w:ascii="Times New Roman" w:hAnsi="Times New Roman" w:eastAsia="宋体"/>
                <w:b/>
                <w:kern w:val="0"/>
              </w:rPr>
              <w:t>7</w:t>
            </w:r>
            <w:r>
              <w:rPr>
                <w:rFonts w:hint="eastAsia" w:ascii="Times New Roman" w:hAnsi="Times New Roman" w:eastAsia="宋体"/>
                <w:b/>
                <w:kern w:val="0"/>
              </w:rPr>
              <w:t>号</w:t>
            </w:r>
          </w:p>
          <w:p>
            <w:pPr>
              <w:pStyle w:val="35"/>
              <w:keepNext w:val="0"/>
              <w:keepLines w:val="0"/>
              <w:pageBreakBefore w:val="0"/>
              <w:widowControl w:val="0"/>
              <w:kinsoku/>
              <w:wordWrap/>
              <w:overflowPunct/>
              <w:topLinePunct w:val="0"/>
              <w:autoSpaceDE/>
              <w:autoSpaceDN/>
              <w:bidi w:val="0"/>
              <w:adjustRightInd/>
              <w:snapToGrid/>
              <w:ind w:firstLine="482"/>
              <w:textAlignment w:val="auto"/>
              <w:rPr>
                <w:rFonts w:ascii="Times New Roman" w:hAnsi="Times New Roman" w:eastAsia="宋体" w:cs="Times New Roman"/>
                <w:color w:val="000000"/>
                <w:szCs w:val="24"/>
              </w:rPr>
            </w:pPr>
            <w:r>
              <w:rPr>
                <w:rFonts w:hint="eastAsia" w:ascii="Times New Roman" w:hAnsi="Times New Roman" w:eastAsia="宋体" w:cs="Times New Roman"/>
                <w:b/>
                <w:color w:val="000000"/>
                <w:szCs w:val="24"/>
              </w:rPr>
              <w:t>河南省</w:t>
            </w:r>
            <w:r>
              <w:rPr>
                <w:rFonts w:ascii="Times New Roman" w:hAnsi="Times New Roman" w:eastAsia="宋体" w:cs="Times New Roman"/>
                <w:b/>
                <w:color w:val="000000"/>
                <w:szCs w:val="24"/>
              </w:rPr>
              <w:t>2020</w:t>
            </w:r>
            <w:r>
              <w:rPr>
                <w:rFonts w:hint="eastAsia" w:ascii="Times New Roman" w:hAnsi="Times New Roman" w:eastAsia="宋体" w:cs="Times New Roman"/>
                <w:b/>
                <w:color w:val="000000"/>
                <w:szCs w:val="24"/>
              </w:rPr>
              <w:t>年大气污染防治攻坚战实施方案：</w:t>
            </w:r>
          </w:p>
          <w:p>
            <w:pPr>
              <w:pStyle w:val="35"/>
              <w:keepNext w:val="0"/>
              <w:keepLines w:val="0"/>
              <w:pageBreakBefore w:val="0"/>
              <w:widowControl w:val="0"/>
              <w:kinsoku/>
              <w:wordWrap/>
              <w:overflowPunct/>
              <w:topLinePunct w:val="0"/>
              <w:autoSpaceDE/>
              <w:autoSpaceDN/>
              <w:bidi w:val="0"/>
              <w:adjustRightInd/>
              <w:snapToGrid/>
              <w:ind w:firstLine="480"/>
              <w:textAlignment w:val="auto"/>
              <w:rPr>
                <w:rFonts w:ascii="Times New Roman" w:hAnsi="Times New Roman" w:eastAsia="宋体" w:cs="Times New Roman"/>
                <w:color w:val="000000"/>
                <w:szCs w:val="24"/>
              </w:rPr>
            </w:pPr>
            <w:r>
              <w:rPr>
                <w:rFonts w:hint="eastAsia" w:ascii="Times New Roman" w:hAnsi="Times New Roman" w:eastAsia="宋体" w:cs="Times New Roman"/>
                <w:color w:val="000000"/>
                <w:szCs w:val="24"/>
              </w:rPr>
              <w:t>“。。。。。。</w:t>
            </w:r>
          </w:p>
          <w:p>
            <w:pPr>
              <w:pStyle w:val="35"/>
              <w:keepNext w:val="0"/>
              <w:keepLines w:val="0"/>
              <w:pageBreakBefore w:val="0"/>
              <w:widowControl w:val="0"/>
              <w:kinsoku/>
              <w:wordWrap/>
              <w:overflowPunct/>
              <w:topLinePunct w:val="0"/>
              <w:autoSpaceDE/>
              <w:autoSpaceDN/>
              <w:bidi w:val="0"/>
              <w:adjustRightInd/>
              <w:snapToGrid/>
              <w:ind w:firstLine="480"/>
              <w:textAlignment w:val="auto"/>
              <w:rPr>
                <w:rFonts w:ascii="Times New Roman" w:hAnsi="Times New Roman" w:eastAsia="宋体" w:cs="Times New Roman"/>
                <w:color w:val="000000"/>
                <w:szCs w:val="24"/>
              </w:rPr>
            </w:pPr>
            <w:r>
              <w:rPr>
                <w:rFonts w:hint="eastAsia" w:ascii="Times New Roman" w:hAnsi="Times New Roman" w:eastAsia="宋体" w:cs="Times New Roman"/>
                <w:color w:val="000000"/>
                <w:szCs w:val="24"/>
              </w:rPr>
              <w:t>二、工作目标</w:t>
            </w:r>
          </w:p>
          <w:p>
            <w:pPr>
              <w:pStyle w:val="35"/>
              <w:keepNext w:val="0"/>
              <w:keepLines w:val="0"/>
              <w:pageBreakBefore w:val="0"/>
              <w:widowControl w:val="0"/>
              <w:kinsoku/>
              <w:wordWrap/>
              <w:overflowPunct/>
              <w:topLinePunct w:val="0"/>
              <w:autoSpaceDE/>
              <w:autoSpaceDN/>
              <w:bidi w:val="0"/>
              <w:adjustRightInd/>
              <w:snapToGrid/>
              <w:ind w:firstLine="480"/>
              <w:textAlignment w:val="auto"/>
              <w:rPr>
                <w:rFonts w:ascii="Times New Roman" w:hAnsi="Times New Roman" w:eastAsia="宋体" w:cs="Times New Roman"/>
                <w:color w:val="000000"/>
                <w:szCs w:val="24"/>
              </w:rPr>
            </w:pPr>
            <w:r>
              <w:rPr>
                <w:rFonts w:hint="eastAsia" w:ascii="Times New Roman" w:hAnsi="Times New Roman" w:eastAsia="宋体" w:cs="Times New Roman"/>
                <w:color w:val="000000"/>
                <w:szCs w:val="24"/>
              </w:rPr>
              <w:t>。。。。。。</w:t>
            </w:r>
          </w:p>
          <w:p>
            <w:pPr>
              <w:pStyle w:val="35"/>
              <w:keepNext w:val="0"/>
              <w:keepLines w:val="0"/>
              <w:pageBreakBefore w:val="0"/>
              <w:widowControl w:val="0"/>
              <w:kinsoku/>
              <w:wordWrap/>
              <w:overflowPunct/>
              <w:topLinePunct w:val="0"/>
              <w:autoSpaceDE/>
              <w:autoSpaceDN/>
              <w:bidi w:val="0"/>
              <w:adjustRightInd/>
              <w:snapToGrid/>
              <w:ind w:firstLine="480"/>
              <w:textAlignment w:val="auto"/>
              <w:rPr>
                <w:rFonts w:ascii="Times New Roman" w:hAnsi="Times New Roman" w:eastAsia="宋体" w:cs="Times New Roman"/>
                <w:color w:val="000000"/>
                <w:szCs w:val="24"/>
              </w:rPr>
            </w:pPr>
            <w:r>
              <w:rPr>
                <w:rFonts w:ascii="Times New Roman" w:hAnsi="Times New Roman" w:eastAsia="宋体" w:cs="Times New Roman"/>
                <w:color w:val="000000"/>
                <w:szCs w:val="24"/>
              </w:rPr>
              <w:t>5</w:t>
            </w:r>
            <w:r>
              <w:rPr>
                <w:rFonts w:hint="eastAsia" w:ascii="Times New Roman" w:hAnsi="Times New Roman" w:eastAsia="宋体" w:cs="Times New Roman"/>
                <w:color w:val="000000"/>
                <w:szCs w:val="24"/>
              </w:rPr>
              <w:t>、严格新建项目准入管理。</w:t>
            </w:r>
          </w:p>
          <w:p>
            <w:pPr>
              <w:pStyle w:val="35"/>
              <w:keepNext w:val="0"/>
              <w:keepLines w:val="0"/>
              <w:pageBreakBefore w:val="0"/>
              <w:widowControl w:val="0"/>
              <w:kinsoku/>
              <w:wordWrap/>
              <w:overflowPunct/>
              <w:topLinePunct w:val="0"/>
              <w:autoSpaceDE/>
              <w:autoSpaceDN/>
              <w:bidi w:val="0"/>
              <w:adjustRightInd/>
              <w:snapToGrid/>
              <w:ind w:firstLine="480"/>
              <w:textAlignment w:val="auto"/>
              <w:rPr>
                <w:rFonts w:ascii="Times New Roman" w:hAnsi="Times New Roman" w:eastAsia="宋体" w:cs="Times New Roman"/>
                <w:color w:val="000000"/>
                <w:szCs w:val="24"/>
              </w:rPr>
            </w:pPr>
            <w:r>
              <w:rPr>
                <w:rFonts w:hint="eastAsia" w:ascii="Times New Roman" w:hAnsi="Times New Roman" w:eastAsia="宋体" w:cs="Times New Roman"/>
                <w:color w:val="000000"/>
                <w:szCs w:val="24"/>
              </w:rPr>
              <w:t>加强区域、流域规划环评管理，强化对项目环评的指导和约束，逐步构建起“三线一单”为空间管控基础、项目环评为环境准入把关、排污许可为企业运行守法依据的管理新框架，从源头预防环境污染和生态破坏。全省原则上禁止新增钢铁、电解铝、水泥、平板玻璃、传统煤化工（甲醇、合成氨）、焦化、铸造、铝用炭素、砖瓦窑、耐火材料等行业产能，原则上禁止新建燃料类煤气发生炉和</w:t>
            </w:r>
            <w:r>
              <w:rPr>
                <w:rFonts w:ascii="Times New Roman" w:hAnsi="Times New Roman" w:eastAsia="宋体" w:cs="Times New Roman"/>
                <w:color w:val="000000"/>
                <w:szCs w:val="24"/>
              </w:rPr>
              <w:t xml:space="preserve"> 35 </w:t>
            </w:r>
            <w:r>
              <w:rPr>
                <w:rFonts w:hint="eastAsia" w:ascii="Times New Roman" w:hAnsi="Times New Roman" w:eastAsia="宋体" w:cs="Times New Roman"/>
                <w:color w:val="000000"/>
                <w:szCs w:val="24"/>
              </w:rPr>
              <w:t>蒸吨</w:t>
            </w:r>
            <w:r>
              <w:rPr>
                <w:rFonts w:ascii="Times New Roman" w:hAnsi="Times New Roman" w:eastAsia="宋体" w:cs="Times New Roman"/>
                <w:color w:val="000000"/>
                <w:szCs w:val="24"/>
              </w:rPr>
              <w:t>/</w:t>
            </w:r>
            <w:r>
              <w:rPr>
                <w:rFonts w:hint="eastAsia" w:ascii="Times New Roman" w:hAnsi="Times New Roman" w:eastAsia="宋体" w:cs="Times New Roman"/>
                <w:color w:val="000000"/>
                <w:szCs w:val="24"/>
              </w:rPr>
              <w:t>时及以下燃煤锅炉。对钢铁、水泥、电解铝、玻璃等行业严格落实国家、省有关产能置换规定，新建涉工业炉窑的建设项目，应进入园区，配套建设高效环保治理设施。</w:t>
            </w:r>
          </w:p>
          <w:p>
            <w:pPr>
              <w:pStyle w:val="35"/>
              <w:keepNext w:val="0"/>
              <w:keepLines w:val="0"/>
              <w:pageBreakBefore w:val="0"/>
              <w:widowControl w:val="0"/>
              <w:kinsoku/>
              <w:wordWrap/>
              <w:overflowPunct/>
              <w:topLinePunct w:val="0"/>
              <w:autoSpaceDE/>
              <w:autoSpaceDN/>
              <w:bidi w:val="0"/>
              <w:adjustRightInd/>
              <w:snapToGrid/>
              <w:ind w:firstLine="480"/>
              <w:textAlignment w:val="auto"/>
              <w:rPr>
                <w:rFonts w:ascii="Times New Roman" w:hAnsi="Times New Roman" w:eastAsia="宋体" w:cs="Times New Roman"/>
                <w:color w:val="000000"/>
                <w:szCs w:val="24"/>
              </w:rPr>
            </w:pPr>
            <w:r>
              <w:rPr>
                <w:rFonts w:ascii="Times New Roman" w:hAnsi="Times New Roman" w:eastAsia="宋体" w:cs="Times New Roman"/>
                <w:color w:val="000000"/>
                <w:szCs w:val="24"/>
              </w:rPr>
              <w:t>6</w:t>
            </w:r>
            <w:r>
              <w:rPr>
                <w:rFonts w:hint="eastAsia" w:ascii="Times New Roman" w:hAnsi="Times New Roman" w:eastAsia="宋体" w:cs="Times New Roman"/>
                <w:color w:val="000000"/>
                <w:szCs w:val="24"/>
              </w:rPr>
              <w:t>、加快排污许可管理。</w:t>
            </w:r>
          </w:p>
          <w:p>
            <w:pPr>
              <w:pStyle w:val="35"/>
              <w:keepNext w:val="0"/>
              <w:keepLines w:val="0"/>
              <w:pageBreakBefore w:val="0"/>
              <w:widowControl w:val="0"/>
              <w:kinsoku/>
              <w:wordWrap/>
              <w:overflowPunct/>
              <w:topLinePunct w:val="0"/>
              <w:autoSpaceDE/>
              <w:autoSpaceDN/>
              <w:bidi w:val="0"/>
              <w:adjustRightInd/>
              <w:snapToGrid/>
              <w:ind w:firstLine="480"/>
              <w:textAlignment w:val="auto"/>
              <w:rPr>
                <w:rFonts w:ascii="Times New Roman" w:hAnsi="Times New Roman" w:eastAsia="宋体" w:cs="Times New Roman"/>
                <w:color w:val="000000"/>
                <w:szCs w:val="24"/>
              </w:rPr>
            </w:pPr>
            <w:r>
              <w:rPr>
                <w:rFonts w:hint="eastAsia" w:ascii="Times New Roman" w:hAnsi="Times New Roman" w:eastAsia="宋体" w:cs="Times New Roman"/>
                <w:color w:val="000000"/>
                <w:szCs w:val="24"/>
              </w:rPr>
              <w:t>深入实施固定污染源排污许可清理整顿工作，全面摸清</w:t>
            </w:r>
            <w:r>
              <w:rPr>
                <w:rFonts w:ascii="Times New Roman" w:hAnsi="Times New Roman" w:eastAsia="宋体" w:cs="Times New Roman"/>
                <w:color w:val="000000"/>
                <w:szCs w:val="24"/>
              </w:rPr>
              <w:t>2017-2019</w:t>
            </w:r>
            <w:r>
              <w:rPr>
                <w:rFonts w:hint="eastAsia" w:ascii="Times New Roman" w:hAnsi="Times New Roman" w:eastAsia="宋体" w:cs="Times New Roman"/>
                <w:color w:val="000000"/>
                <w:szCs w:val="24"/>
              </w:rPr>
              <w:t>年排污许可证核发的重点行业排污单位情况，核准固定污染源底数，清理无证排污单位，实行登记管理，做到应发尽发。</w:t>
            </w:r>
            <w:r>
              <w:rPr>
                <w:rFonts w:ascii="Times New Roman" w:hAnsi="Times New Roman" w:eastAsia="宋体" w:cs="Times New Roman"/>
                <w:color w:val="000000"/>
                <w:szCs w:val="24"/>
              </w:rPr>
              <w:t>2020</w:t>
            </w:r>
            <w:r>
              <w:rPr>
                <w:rFonts w:hint="eastAsia" w:ascii="Times New Roman" w:hAnsi="Times New Roman" w:eastAsia="宋体" w:cs="Times New Roman"/>
                <w:color w:val="000000"/>
                <w:szCs w:val="24"/>
              </w:rPr>
              <w:t>年底前，所有固定污染源全部纳入排污许可管理。严格依证监管，规范排污行为，加大执法处罚力度，对无证排污单位，依法严厉查处。</w:t>
            </w:r>
          </w:p>
          <w:p>
            <w:pPr>
              <w:pStyle w:val="35"/>
              <w:keepNext w:val="0"/>
              <w:keepLines w:val="0"/>
              <w:pageBreakBefore w:val="0"/>
              <w:widowControl w:val="0"/>
              <w:kinsoku/>
              <w:wordWrap/>
              <w:overflowPunct/>
              <w:topLinePunct w:val="0"/>
              <w:autoSpaceDE/>
              <w:autoSpaceDN/>
              <w:bidi w:val="0"/>
              <w:adjustRightInd/>
              <w:snapToGrid/>
              <w:ind w:firstLine="480"/>
              <w:textAlignment w:val="auto"/>
              <w:rPr>
                <w:rFonts w:ascii="Times New Roman" w:hAnsi="Times New Roman" w:eastAsia="宋体" w:cs="Times New Roman"/>
                <w:color w:val="000000"/>
                <w:szCs w:val="24"/>
              </w:rPr>
            </w:pPr>
            <w:r>
              <w:rPr>
                <w:rFonts w:hint="eastAsia" w:ascii="Times New Roman" w:hAnsi="Times New Roman" w:eastAsia="宋体" w:cs="Times New Roman"/>
                <w:color w:val="000000"/>
                <w:szCs w:val="24"/>
              </w:rPr>
              <w:t>。。。。。。</w:t>
            </w:r>
          </w:p>
          <w:p>
            <w:pPr>
              <w:pStyle w:val="35"/>
              <w:keepNext w:val="0"/>
              <w:keepLines w:val="0"/>
              <w:pageBreakBefore w:val="0"/>
              <w:widowControl w:val="0"/>
              <w:kinsoku/>
              <w:wordWrap/>
              <w:overflowPunct/>
              <w:topLinePunct w:val="0"/>
              <w:autoSpaceDE/>
              <w:autoSpaceDN/>
              <w:bidi w:val="0"/>
              <w:adjustRightInd/>
              <w:snapToGrid/>
              <w:ind w:firstLine="480"/>
              <w:textAlignment w:val="auto"/>
              <w:rPr>
                <w:rFonts w:ascii="Times New Roman" w:hAnsi="Times New Roman" w:eastAsia="宋体" w:cs="Times New Roman"/>
                <w:color w:val="000000"/>
                <w:szCs w:val="24"/>
              </w:rPr>
            </w:pPr>
            <w:r>
              <w:rPr>
                <w:rFonts w:hint="eastAsia" w:ascii="Times New Roman" w:hAnsi="Times New Roman" w:eastAsia="宋体" w:cs="Times New Roman"/>
                <w:color w:val="000000"/>
                <w:szCs w:val="24"/>
              </w:rPr>
              <w:t>（五）深入推进“散乱污”污染治理</w:t>
            </w:r>
          </w:p>
          <w:p>
            <w:pPr>
              <w:pStyle w:val="35"/>
              <w:keepNext w:val="0"/>
              <w:keepLines w:val="0"/>
              <w:pageBreakBefore w:val="0"/>
              <w:widowControl w:val="0"/>
              <w:kinsoku/>
              <w:wordWrap/>
              <w:overflowPunct/>
              <w:topLinePunct w:val="0"/>
              <w:autoSpaceDE/>
              <w:autoSpaceDN/>
              <w:bidi w:val="0"/>
              <w:adjustRightInd/>
              <w:snapToGrid/>
              <w:ind w:firstLine="480"/>
              <w:textAlignment w:val="auto"/>
              <w:rPr>
                <w:rFonts w:ascii="Times New Roman" w:hAnsi="Times New Roman" w:eastAsia="宋体" w:cs="Times New Roman"/>
                <w:color w:val="000000"/>
                <w:szCs w:val="24"/>
              </w:rPr>
            </w:pPr>
            <w:r>
              <w:rPr>
                <w:rFonts w:ascii="Times New Roman" w:hAnsi="Times New Roman" w:eastAsia="宋体" w:cs="Times New Roman"/>
                <w:color w:val="000000"/>
                <w:szCs w:val="24"/>
              </w:rPr>
              <w:t>28</w:t>
            </w:r>
            <w:r>
              <w:rPr>
                <w:rFonts w:hint="eastAsia" w:ascii="Times New Roman" w:hAnsi="Times New Roman" w:eastAsia="宋体" w:cs="Times New Roman"/>
                <w:color w:val="000000"/>
                <w:szCs w:val="24"/>
              </w:rPr>
              <w:t>、全面提升“扬尘”污染治理水平。</w:t>
            </w:r>
          </w:p>
          <w:p>
            <w:pPr>
              <w:pStyle w:val="35"/>
              <w:keepNext w:val="0"/>
              <w:keepLines w:val="0"/>
              <w:pageBreakBefore w:val="0"/>
              <w:widowControl w:val="0"/>
              <w:kinsoku/>
              <w:wordWrap/>
              <w:overflowPunct/>
              <w:topLinePunct w:val="0"/>
              <w:autoSpaceDE/>
              <w:autoSpaceDN/>
              <w:bidi w:val="0"/>
              <w:adjustRightInd/>
              <w:snapToGrid/>
              <w:ind w:firstLine="480"/>
              <w:textAlignment w:val="auto"/>
              <w:rPr>
                <w:rFonts w:ascii="Times New Roman" w:hAnsi="Times New Roman" w:eastAsia="宋体" w:cs="Times New Roman"/>
                <w:color w:val="000000"/>
                <w:szCs w:val="24"/>
              </w:rPr>
            </w:pPr>
            <w:r>
              <w:rPr>
                <w:rFonts w:hint="eastAsia" w:ascii="Times New Roman" w:hAnsi="Times New Roman" w:eastAsia="宋体" w:cs="Times New Roman"/>
                <w:color w:val="000000"/>
                <w:szCs w:val="24"/>
              </w:rPr>
              <w:t>加强施工扬尘控制。建立施工工地动态管理清单，全面开展标准化施工，按照“谁施工、谁负责，谁主管、谁监督”原则，严格落实“六个百分之百”、开复工验收、“三员”管理等制度。实施扬尘污染防治守信联合激励、失信联合惩戒，将扬尘管理不到位的不良信息纳入建筑市场信用管理体系，情节严重的，列入建筑市场主体“黑名单”。严格渣土运输车辆规范化管理，实行建筑垃圾从产生、清运到消纳处置的全过程监管。严格落实城市建成区内“两个禁止”（禁止现场搅拌混凝土和禁止现场配置砂浆）要求，加快“两个禁止”综合信息监管平台建设，实施动态监管。</w:t>
            </w:r>
          </w:p>
          <w:p>
            <w:pPr>
              <w:pStyle w:val="35"/>
              <w:keepNext w:val="0"/>
              <w:keepLines w:val="0"/>
              <w:pageBreakBefore w:val="0"/>
              <w:widowControl w:val="0"/>
              <w:kinsoku/>
              <w:wordWrap/>
              <w:overflowPunct/>
              <w:topLinePunct w:val="0"/>
              <w:autoSpaceDE/>
              <w:autoSpaceDN/>
              <w:bidi w:val="0"/>
              <w:adjustRightInd/>
              <w:snapToGrid/>
              <w:ind w:firstLine="480"/>
              <w:textAlignment w:val="auto"/>
              <w:rPr>
                <w:rFonts w:ascii="Times New Roman" w:hAnsi="Times New Roman" w:eastAsia="宋体" w:cs="Times New Roman"/>
                <w:color w:val="000000"/>
                <w:szCs w:val="24"/>
              </w:rPr>
            </w:pPr>
            <w:r>
              <w:rPr>
                <w:rFonts w:hint="eastAsia" w:ascii="Times New Roman" w:hAnsi="Times New Roman" w:eastAsia="宋体" w:cs="Times New Roman"/>
                <w:color w:val="000000"/>
                <w:szCs w:val="24"/>
              </w:rPr>
              <w:t>（六）实施重点工业企业污染治理</w:t>
            </w:r>
          </w:p>
          <w:p>
            <w:pPr>
              <w:pStyle w:val="35"/>
              <w:keepNext w:val="0"/>
              <w:keepLines w:val="0"/>
              <w:pageBreakBefore w:val="0"/>
              <w:widowControl w:val="0"/>
              <w:kinsoku/>
              <w:wordWrap/>
              <w:overflowPunct/>
              <w:topLinePunct w:val="0"/>
              <w:autoSpaceDE/>
              <w:autoSpaceDN/>
              <w:bidi w:val="0"/>
              <w:adjustRightInd/>
              <w:snapToGrid/>
              <w:ind w:firstLine="480"/>
              <w:textAlignment w:val="auto"/>
              <w:rPr>
                <w:rFonts w:ascii="Times New Roman" w:hAnsi="Times New Roman" w:eastAsia="宋体" w:cs="Times New Roman"/>
                <w:color w:val="000000"/>
                <w:szCs w:val="24"/>
              </w:rPr>
            </w:pPr>
            <w:r>
              <w:rPr>
                <w:rFonts w:hint="eastAsia" w:ascii="Times New Roman" w:hAnsi="Times New Roman" w:eastAsia="宋体" w:cs="Times New Roman"/>
                <w:color w:val="000000"/>
                <w:szCs w:val="24"/>
              </w:rPr>
              <w:t>强化工业窑炉、钢铁、水泥等重点工业污染治理，提升污染防治设施改造治理水平，推动企业绿色发展。</w:t>
            </w:r>
          </w:p>
          <w:p>
            <w:pPr>
              <w:pStyle w:val="35"/>
              <w:keepNext w:val="0"/>
              <w:keepLines w:val="0"/>
              <w:pageBreakBefore w:val="0"/>
              <w:widowControl w:val="0"/>
              <w:kinsoku/>
              <w:wordWrap/>
              <w:overflowPunct/>
              <w:topLinePunct w:val="0"/>
              <w:autoSpaceDE/>
              <w:autoSpaceDN/>
              <w:bidi w:val="0"/>
              <w:adjustRightInd/>
              <w:snapToGrid/>
              <w:ind w:firstLine="480"/>
              <w:textAlignment w:val="auto"/>
              <w:rPr>
                <w:rFonts w:ascii="Times New Roman" w:hAnsi="Times New Roman" w:eastAsia="宋体" w:cs="Times New Roman"/>
                <w:color w:val="000000"/>
                <w:szCs w:val="24"/>
              </w:rPr>
            </w:pPr>
            <w:r>
              <w:rPr>
                <w:rFonts w:ascii="Times New Roman" w:hAnsi="Times New Roman" w:eastAsia="宋体" w:cs="Times New Roman"/>
                <w:color w:val="000000"/>
                <w:szCs w:val="24"/>
              </w:rPr>
              <w:t>29</w:t>
            </w:r>
            <w:r>
              <w:rPr>
                <w:rFonts w:hint="eastAsia" w:ascii="Times New Roman" w:hAnsi="Times New Roman" w:eastAsia="宋体" w:cs="Times New Roman"/>
                <w:color w:val="000000"/>
                <w:szCs w:val="24"/>
              </w:rPr>
              <w:t>、提升工业炉窑大气污染综合治理水平。</w:t>
            </w:r>
          </w:p>
          <w:p>
            <w:pPr>
              <w:pStyle w:val="35"/>
              <w:keepNext w:val="0"/>
              <w:keepLines w:val="0"/>
              <w:pageBreakBefore w:val="0"/>
              <w:widowControl w:val="0"/>
              <w:kinsoku/>
              <w:wordWrap/>
              <w:overflowPunct/>
              <w:topLinePunct w:val="0"/>
              <w:autoSpaceDE/>
              <w:autoSpaceDN/>
              <w:bidi w:val="0"/>
              <w:adjustRightInd/>
              <w:snapToGrid/>
              <w:ind w:firstLine="480"/>
              <w:textAlignment w:val="auto"/>
              <w:rPr>
                <w:rFonts w:ascii="Times New Roman" w:hAnsi="Times New Roman" w:eastAsia="宋体" w:cs="Times New Roman"/>
                <w:color w:val="000000"/>
                <w:szCs w:val="24"/>
              </w:rPr>
            </w:pPr>
            <w:r>
              <w:rPr>
                <w:rFonts w:hint="eastAsia" w:ascii="Times New Roman" w:hAnsi="Times New Roman" w:eastAsia="宋体" w:cs="Times New Roman"/>
                <w:color w:val="000000"/>
                <w:szCs w:val="24"/>
              </w:rPr>
              <w:t>加快标准修订。</w:t>
            </w:r>
            <w:r>
              <w:rPr>
                <w:rFonts w:ascii="Times New Roman" w:hAnsi="Times New Roman" w:eastAsia="宋体" w:cs="Times New Roman"/>
                <w:color w:val="000000"/>
                <w:szCs w:val="24"/>
              </w:rPr>
              <w:t>2020</w:t>
            </w:r>
            <w:r>
              <w:rPr>
                <w:rFonts w:hint="eastAsia" w:ascii="Times New Roman" w:hAnsi="Times New Roman" w:eastAsia="宋体" w:cs="Times New Roman"/>
                <w:color w:val="000000"/>
                <w:szCs w:val="24"/>
              </w:rPr>
              <w:t>年</w:t>
            </w:r>
            <w:r>
              <w:rPr>
                <w:rFonts w:ascii="Times New Roman" w:hAnsi="Times New Roman" w:eastAsia="宋体" w:cs="Times New Roman"/>
                <w:color w:val="000000"/>
                <w:szCs w:val="24"/>
              </w:rPr>
              <w:t>4</w:t>
            </w:r>
            <w:r>
              <w:rPr>
                <w:rFonts w:hint="eastAsia" w:ascii="Times New Roman" w:hAnsi="Times New Roman" w:eastAsia="宋体" w:cs="Times New Roman"/>
                <w:color w:val="000000"/>
                <w:szCs w:val="24"/>
              </w:rPr>
              <w:t>月底前，完成《河南省工业炉窑大气污染物排放标准》修订工作，按要求推进全省工业炉窑提标改造。</w:t>
            </w:r>
          </w:p>
          <w:p>
            <w:pPr>
              <w:pStyle w:val="35"/>
              <w:keepNext w:val="0"/>
              <w:keepLines w:val="0"/>
              <w:pageBreakBefore w:val="0"/>
              <w:widowControl w:val="0"/>
              <w:kinsoku/>
              <w:wordWrap/>
              <w:overflowPunct/>
              <w:topLinePunct w:val="0"/>
              <w:autoSpaceDE/>
              <w:autoSpaceDN/>
              <w:bidi w:val="0"/>
              <w:adjustRightInd/>
              <w:snapToGrid/>
              <w:ind w:firstLine="480"/>
              <w:textAlignment w:val="auto"/>
              <w:rPr>
                <w:rFonts w:ascii="Times New Roman" w:hAnsi="Times New Roman" w:eastAsia="宋体" w:cs="Times New Roman"/>
                <w:color w:val="000000"/>
                <w:szCs w:val="24"/>
              </w:rPr>
            </w:pPr>
            <w:r>
              <w:rPr>
                <w:rFonts w:hint="eastAsia" w:ascii="Times New Roman" w:hAnsi="Times New Roman" w:eastAsia="宋体" w:cs="Times New Roman"/>
                <w:color w:val="000000"/>
                <w:szCs w:val="24"/>
              </w:rPr>
              <w:t>加强有组织烟气治理。电解铝企业全面推进烟气脱硫设施建设，加大热残极冷却过程无组织排放治理力度，建设封闭高效的烟气收集系统，实现残极冷却烟气有效处理。平板玻璃、建筑陶瓷企业取消脱硫脱硝烟气旁路或设置备用脱硫脱硝等设施。推进具备条件的焦化企业实施干熄焦改造，在保证安全生产前提下，城市建成区内焦炉实施炉体加罩封闭，并对废气进行收集处理。</w:t>
            </w:r>
          </w:p>
          <w:p>
            <w:pPr>
              <w:pStyle w:val="35"/>
              <w:keepNext w:val="0"/>
              <w:keepLines w:val="0"/>
              <w:pageBreakBefore w:val="0"/>
              <w:widowControl w:val="0"/>
              <w:kinsoku/>
              <w:wordWrap/>
              <w:overflowPunct/>
              <w:topLinePunct w:val="0"/>
              <w:autoSpaceDE/>
              <w:autoSpaceDN/>
              <w:bidi w:val="0"/>
              <w:adjustRightInd/>
              <w:snapToGrid/>
              <w:ind w:firstLine="480"/>
              <w:textAlignment w:val="auto"/>
              <w:rPr>
                <w:rFonts w:ascii="Times New Roman" w:hAnsi="Times New Roman" w:eastAsia="宋体" w:cs="Times New Roman"/>
                <w:color w:val="000000"/>
                <w:szCs w:val="24"/>
              </w:rPr>
            </w:pPr>
            <w:r>
              <w:rPr>
                <w:rFonts w:hint="eastAsia" w:ascii="Times New Roman" w:hAnsi="Times New Roman" w:eastAsia="宋体" w:cs="Times New Roman"/>
                <w:color w:val="000000"/>
                <w:szCs w:val="24"/>
              </w:rPr>
              <w:t>加大无组织排放管理。严格控制工业炉窑生产工艺过程及相关物料储存、输送等无组织排放，在保障生产安全的前提下，采取密闭、封闭等有效措施，有效提高废气收集率，产尘点及车间不得有可见烟粉尘外逸。物料采用密闭皮带、封闭通廊、管状带式输送机或密闭车厢、真空罐车、气力输送等方式输送，原料库及车间外禁止采用铲车、推土机等设备进行物料转运。散状物料应采用原料库、料仓等方式进行储存，采用密闭、封闭等方式输送。</w:t>
            </w:r>
          </w:p>
          <w:p>
            <w:pPr>
              <w:pStyle w:val="35"/>
              <w:keepNext w:val="0"/>
              <w:keepLines w:val="0"/>
              <w:pageBreakBefore w:val="0"/>
              <w:widowControl w:val="0"/>
              <w:kinsoku/>
              <w:wordWrap/>
              <w:overflowPunct/>
              <w:topLinePunct w:val="0"/>
              <w:autoSpaceDE/>
              <w:autoSpaceDN/>
              <w:bidi w:val="0"/>
              <w:adjustRightInd/>
              <w:snapToGrid/>
              <w:ind w:firstLine="480"/>
              <w:textAlignment w:val="auto"/>
              <w:rPr>
                <w:rFonts w:ascii="Times New Roman" w:hAnsi="Times New Roman" w:eastAsia="宋体" w:cs="Times New Roman"/>
                <w:color w:val="000000"/>
                <w:szCs w:val="24"/>
              </w:rPr>
            </w:pPr>
            <w:r>
              <w:rPr>
                <w:rFonts w:hint="eastAsia" w:ascii="Times New Roman" w:hAnsi="Times New Roman" w:eastAsia="宋体" w:cs="Times New Roman"/>
                <w:color w:val="000000"/>
                <w:szCs w:val="24"/>
              </w:rPr>
              <w:t>。。。。。。</w:t>
            </w:r>
          </w:p>
          <w:p>
            <w:pPr>
              <w:pStyle w:val="35"/>
              <w:keepNext w:val="0"/>
              <w:keepLines w:val="0"/>
              <w:pageBreakBefore w:val="0"/>
              <w:widowControl w:val="0"/>
              <w:kinsoku/>
              <w:wordWrap/>
              <w:overflowPunct/>
              <w:topLinePunct w:val="0"/>
              <w:autoSpaceDE/>
              <w:autoSpaceDN/>
              <w:bidi w:val="0"/>
              <w:adjustRightInd/>
              <w:snapToGrid/>
              <w:ind w:firstLine="480"/>
              <w:textAlignment w:val="auto"/>
              <w:rPr>
                <w:rFonts w:ascii="Times New Roman" w:hAnsi="Times New Roman" w:eastAsia="宋体" w:cs="Times New Roman"/>
                <w:color w:val="000000"/>
                <w:szCs w:val="24"/>
              </w:rPr>
            </w:pPr>
            <w:r>
              <w:rPr>
                <w:rFonts w:ascii="Times New Roman" w:hAnsi="Times New Roman" w:eastAsia="宋体" w:cs="Times New Roman"/>
                <w:color w:val="000000"/>
                <w:szCs w:val="24"/>
              </w:rPr>
              <w:t>34</w:t>
            </w:r>
            <w:r>
              <w:rPr>
                <w:rFonts w:hint="eastAsia" w:ascii="Times New Roman" w:hAnsi="Times New Roman" w:eastAsia="宋体" w:cs="Times New Roman"/>
                <w:color w:val="000000"/>
                <w:szCs w:val="24"/>
              </w:rPr>
              <w:t>、强化工业企业污染治理成效。</w:t>
            </w:r>
          </w:p>
          <w:p>
            <w:pPr>
              <w:pStyle w:val="35"/>
              <w:keepNext w:val="0"/>
              <w:keepLines w:val="0"/>
              <w:pageBreakBefore w:val="0"/>
              <w:widowControl w:val="0"/>
              <w:kinsoku/>
              <w:wordWrap/>
              <w:overflowPunct/>
              <w:topLinePunct w:val="0"/>
              <w:autoSpaceDE/>
              <w:autoSpaceDN/>
              <w:bidi w:val="0"/>
              <w:adjustRightInd/>
              <w:snapToGrid/>
              <w:ind w:firstLine="480"/>
              <w:textAlignment w:val="auto"/>
              <w:rPr>
                <w:rFonts w:ascii="Times New Roman" w:hAnsi="Times New Roman" w:eastAsia="宋体" w:cs="Times New Roman"/>
                <w:color w:val="000000"/>
                <w:szCs w:val="24"/>
              </w:rPr>
            </w:pPr>
            <w:r>
              <w:rPr>
                <w:rFonts w:hint="eastAsia" w:ascii="Times New Roman" w:hAnsi="Times New Roman" w:eastAsia="宋体" w:cs="Times New Roman"/>
                <w:color w:val="000000"/>
                <w:szCs w:val="24"/>
              </w:rPr>
              <w:t>全面评估工业企业大气污染治理工作，各地生态环境部门于</w:t>
            </w:r>
            <w:r>
              <w:rPr>
                <w:rFonts w:ascii="Times New Roman" w:hAnsi="Times New Roman" w:eastAsia="宋体" w:cs="Times New Roman"/>
                <w:color w:val="000000"/>
                <w:szCs w:val="24"/>
              </w:rPr>
              <w:t>2020</w:t>
            </w:r>
            <w:r>
              <w:rPr>
                <w:rFonts w:hint="eastAsia" w:ascii="Times New Roman" w:hAnsi="Times New Roman" w:eastAsia="宋体" w:cs="Times New Roman"/>
                <w:color w:val="000000"/>
                <w:szCs w:val="24"/>
              </w:rPr>
              <w:t>年</w:t>
            </w:r>
            <w:r>
              <w:rPr>
                <w:rFonts w:ascii="Times New Roman" w:hAnsi="Times New Roman" w:eastAsia="宋体" w:cs="Times New Roman"/>
                <w:color w:val="000000"/>
                <w:szCs w:val="24"/>
              </w:rPr>
              <w:t>5</w:t>
            </w:r>
            <w:r>
              <w:rPr>
                <w:rFonts w:hint="eastAsia" w:ascii="Times New Roman" w:hAnsi="Times New Roman" w:eastAsia="宋体" w:cs="Times New Roman"/>
                <w:color w:val="000000"/>
                <w:szCs w:val="24"/>
              </w:rPr>
              <w:t>月底前组织工业企业完成</w:t>
            </w:r>
            <w:r>
              <w:rPr>
                <w:rFonts w:ascii="Times New Roman" w:hAnsi="Times New Roman" w:eastAsia="宋体" w:cs="Times New Roman"/>
                <w:color w:val="000000"/>
                <w:szCs w:val="24"/>
              </w:rPr>
              <w:t>2019</w:t>
            </w:r>
            <w:r>
              <w:rPr>
                <w:rFonts w:hint="eastAsia" w:ascii="Times New Roman" w:hAnsi="Times New Roman" w:eastAsia="宋体" w:cs="Times New Roman"/>
                <w:color w:val="000000"/>
                <w:szCs w:val="24"/>
              </w:rPr>
              <w:t>年工业污染“六治理”任务自主验收备案工作，</w:t>
            </w:r>
            <w:r>
              <w:rPr>
                <w:rFonts w:ascii="Times New Roman" w:hAnsi="Times New Roman" w:eastAsia="宋体" w:cs="Times New Roman"/>
                <w:color w:val="000000"/>
                <w:szCs w:val="24"/>
              </w:rPr>
              <w:t>6</w:t>
            </w:r>
            <w:r>
              <w:rPr>
                <w:rFonts w:hint="eastAsia" w:ascii="Times New Roman" w:hAnsi="Times New Roman" w:eastAsia="宋体" w:cs="Times New Roman"/>
                <w:color w:val="000000"/>
                <w:szCs w:val="24"/>
              </w:rPr>
              <w:t>月底前完成对本地工业企业治理情况再排查和核查评估，</w:t>
            </w:r>
            <w:r>
              <w:rPr>
                <w:rFonts w:ascii="Times New Roman" w:hAnsi="Times New Roman" w:eastAsia="宋体" w:cs="Times New Roman"/>
                <w:color w:val="000000"/>
                <w:szCs w:val="24"/>
              </w:rPr>
              <w:t>7</w:t>
            </w:r>
            <w:r>
              <w:rPr>
                <w:rFonts w:hint="eastAsia" w:ascii="Times New Roman" w:hAnsi="Times New Roman" w:eastAsia="宋体" w:cs="Times New Roman"/>
                <w:color w:val="000000"/>
                <w:szCs w:val="24"/>
              </w:rPr>
              <w:t>月底前报省生态环境厅备案。省生态环境厅于</w:t>
            </w:r>
            <w:r>
              <w:rPr>
                <w:rFonts w:ascii="Times New Roman" w:hAnsi="Times New Roman" w:eastAsia="宋体" w:cs="Times New Roman"/>
                <w:color w:val="000000"/>
                <w:szCs w:val="24"/>
              </w:rPr>
              <w:t>8</w:t>
            </w:r>
            <w:r>
              <w:rPr>
                <w:rFonts w:hint="eastAsia" w:ascii="Times New Roman" w:hAnsi="Times New Roman" w:eastAsia="宋体" w:cs="Times New Roman"/>
                <w:color w:val="000000"/>
                <w:szCs w:val="24"/>
              </w:rPr>
              <w:t>月底前完成现场调研和督查督办工作。</w:t>
            </w:r>
          </w:p>
          <w:p>
            <w:pPr>
              <w:pStyle w:val="35"/>
              <w:keepNext w:val="0"/>
              <w:keepLines w:val="0"/>
              <w:pageBreakBefore w:val="0"/>
              <w:widowControl w:val="0"/>
              <w:kinsoku/>
              <w:wordWrap/>
              <w:overflowPunct/>
              <w:topLinePunct w:val="0"/>
              <w:autoSpaceDE/>
              <w:autoSpaceDN/>
              <w:bidi w:val="0"/>
              <w:adjustRightInd/>
              <w:snapToGrid/>
              <w:ind w:firstLine="480"/>
              <w:textAlignment w:val="auto"/>
              <w:rPr>
                <w:rFonts w:ascii="Times New Roman" w:hAnsi="Times New Roman" w:eastAsia="宋体" w:cs="Times New Roman"/>
                <w:color w:val="000000"/>
                <w:szCs w:val="24"/>
              </w:rPr>
            </w:pPr>
            <w:r>
              <w:rPr>
                <w:rFonts w:hint="eastAsia" w:ascii="Times New Roman" w:hAnsi="Times New Roman" w:eastAsia="宋体" w:cs="Times New Roman"/>
                <w:color w:val="000000"/>
                <w:szCs w:val="24"/>
              </w:rPr>
              <w:t>。。。。。。”</w:t>
            </w:r>
          </w:p>
          <w:p>
            <w:pPr>
              <w:pStyle w:val="35"/>
              <w:keepNext w:val="0"/>
              <w:keepLines w:val="0"/>
              <w:pageBreakBefore w:val="0"/>
              <w:widowControl w:val="0"/>
              <w:kinsoku/>
              <w:wordWrap/>
              <w:overflowPunct/>
              <w:topLinePunct w:val="0"/>
              <w:autoSpaceDE/>
              <w:autoSpaceDN/>
              <w:bidi w:val="0"/>
              <w:adjustRightInd/>
              <w:snapToGrid/>
              <w:ind w:firstLine="482"/>
              <w:textAlignment w:val="auto"/>
              <w:rPr>
                <w:rFonts w:ascii="Times New Roman" w:hAnsi="Times New Roman" w:eastAsia="宋体"/>
                <w:b/>
                <w:color w:val="000000"/>
              </w:rPr>
            </w:pPr>
            <w:r>
              <w:rPr>
                <w:rFonts w:hint="eastAsia" w:ascii="Times New Roman" w:hAnsi="Times New Roman" w:eastAsia="宋体"/>
                <w:b/>
                <w:color w:val="000000"/>
              </w:rPr>
              <w:t>河南省</w:t>
            </w:r>
            <w:r>
              <w:rPr>
                <w:rFonts w:ascii="Times New Roman" w:hAnsi="Times New Roman" w:eastAsia="宋体"/>
                <w:b/>
                <w:color w:val="000000"/>
              </w:rPr>
              <w:t>2020</w:t>
            </w:r>
            <w:r>
              <w:rPr>
                <w:rFonts w:hint="eastAsia" w:ascii="Times New Roman" w:hAnsi="Times New Roman" w:eastAsia="宋体"/>
                <w:b/>
                <w:color w:val="000000"/>
              </w:rPr>
              <w:t>年水污染防治攻坚战实施方案</w:t>
            </w:r>
          </w:p>
          <w:p>
            <w:pPr>
              <w:pStyle w:val="35"/>
              <w:keepNext w:val="0"/>
              <w:keepLines w:val="0"/>
              <w:pageBreakBefore w:val="0"/>
              <w:widowControl w:val="0"/>
              <w:kinsoku/>
              <w:wordWrap/>
              <w:overflowPunct/>
              <w:topLinePunct w:val="0"/>
              <w:autoSpaceDE/>
              <w:autoSpaceDN/>
              <w:bidi w:val="0"/>
              <w:adjustRightInd/>
              <w:snapToGrid/>
              <w:ind w:firstLine="480"/>
              <w:textAlignment w:val="auto"/>
              <w:rPr>
                <w:rFonts w:ascii="Times New Roman" w:hAnsi="Times New Roman" w:eastAsia="宋体" w:cs="Times New Roman"/>
                <w:color w:val="000000"/>
                <w:szCs w:val="24"/>
              </w:rPr>
            </w:pPr>
            <w:r>
              <w:rPr>
                <w:rFonts w:hint="eastAsia" w:ascii="Times New Roman" w:hAnsi="Times New Roman" w:eastAsia="宋体" w:cs="Times New Roman"/>
                <w:color w:val="000000"/>
                <w:szCs w:val="24"/>
              </w:rPr>
              <w:t>“。。。。。。</w:t>
            </w:r>
          </w:p>
          <w:p>
            <w:pPr>
              <w:pStyle w:val="35"/>
              <w:keepNext w:val="0"/>
              <w:keepLines w:val="0"/>
              <w:pageBreakBefore w:val="0"/>
              <w:widowControl w:val="0"/>
              <w:kinsoku/>
              <w:wordWrap/>
              <w:overflowPunct/>
              <w:topLinePunct w:val="0"/>
              <w:autoSpaceDE/>
              <w:autoSpaceDN/>
              <w:bidi w:val="0"/>
              <w:adjustRightInd/>
              <w:snapToGrid/>
              <w:ind w:firstLine="480"/>
              <w:textAlignment w:val="auto"/>
              <w:rPr>
                <w:rFonts w:ascii="Times New Roman" w:hAnsi="Times New Roman" w:eastAsia="宋体" w:cs="Times New Roman"/>
                <w:color w:val="000000"/>
                <w:szCs w:val="24"/>
              </w:rPr>
            </w:pPr>
            <w:r>
              <w:rPr>
                <w:rFonts w:hint="eastAsia" w:ascii="Times New Roman" w:hAnsi="Times New Roman" w:eastAsia="宋体" w:cs="Times New Roman"/>
                <w:color w:val="000000"/>
                <w:szCs w:val="24"/>
              </w:rPr>
              <w:t>二、工作目标</w:t>
            </w:r>
          </w:p>
          <w:p>
            <w:pPr>
              <w:pStyle w:val="35"/>
              <w:keepNext w:val="0"/>
              <w:keepLines w:val="0"/>
              <w:pageBreakBefore w:val="0"/>
              <w:widowControl w:val="0"/>
              <w:kinsoku/>
              <w:wordWrap/>
              <w:overflowPunct/>
              <w:topLinePunct w:val="0"/>
              <w:autoSpaceDE/>
              <w:autoSpaceDN/>
              <w:bidi w:val="0"/>
              <w:adjustRightInd/>
              <w:snapToGrid/>
              <w:ind w:firstLine="480"/>
              <w:textAlignment w:val="auto"/>
              <w:rPr>
                <w:rFonts w:ascii="Times New Roman" w:hAnsi="Times New Roman" w:eastAsia="宋体" w:cs="Times New Roman"/>
                <w:color w:val="000000"/>
                <w:szCs w:val="24"/>
              </w:rPr>
            </w:pPr>
            <w:r>
              <w:rPr>
                <w:rFonts w:hint="eastAsia" w:ascii="Times New Roman" w:hAnsi="Times New Roman" w:eastAsia="宋体"/>
                <w:color w:val="000000"/>
              </w:rPr>
              <w:t>“</w:t>
            </w:r>
            <w:r>
              <w:rPr>
                <w:rFonts w:hint="eastAsia" w:ascii="Times New Roman" w:hAnsi="Times New Roman" w:eastAsia="宋体" w:cs="Times New Roman"/>
                <w:color w:val="000000"/>
                <w:szCs w:val="24"/>
              </w:rPr>
              <w:t>确保完成国家“十三五”下达我省的地表水国考断面优良水体（水质达到或优于Ⅲ类）比例达到</w:t>
            </w:r>
            <w:r>
              <w:rPr>
                <w:rFonts w:ascii="Times New Roman" w:hAnsi="Times New Roman" w:eastAsia="宋体" w:cs="Times New Roman"/>
                <w:color w:val="000000"/>
                <w:szCs w:val="24"/>
              </w:rPr>
              <w:t>57.4%</w:t>
            </w:r>
            <w:r>
              <w:rPr>
                <w:rFonts w:hint="eastAsia" w:ascii="Times New Roman" w:hAnsi="Times New Roman" w:eastAsia="宋体" w:cs="Times New Roman"/>
                <w:color w:val="000000"/>
                <w:szCs w:val="24"/>
              </w:rPr>
              <w:t>以上和劣</w:t>
            </w:r>
            <w:r>
              <w:rPr>
                <w:rFonts w:ascii="Times New Roman" w:hAnsi="Times New Roman" w:eastAsia="宋体" w:cs="Times New Roman"/>
                <w:color w:val="000000"/>
                <w:szCs w:val="24"/>
              </w:rPr>
              <w:t>V</w:t>
            </w:r>
            <w:r>
              <w:rPr>
                <w:rFonts w:hint="eastAsia" w:ascii="Times New Roman" w:hAnsi="Times New Roman" w:eastAsia="宋体" w:cs="Times New Roman"/>
                <w:color w:val="000000"/>
                <w:szCs w:val="24"/>
              </w:rPr>
              <w:t>类水体断面比例控制在</w:t>
            </w:r>
            <w:r>
              <w:rPr>
                <w:rFonts w:ascii="Times New Roman" w:hAnsi="Times New Roman" w:eastAsia="宋体" w:cs="Times New Roman"/>
                <w:color w:val="000000"/>
                <w:szCs w:val="24"/>
              </w:rPr>
              <w:t>9.6%</w:t>
            </w:r>
            <w:r>
              <w:rPr>
                <w:rFonts w:hint="eastAsia" w:ascii="Times New Roman" w:hAnsi="Times New Roman" w:eastAsia="宋体" w:cs="Times New Roman"/>
                <w:color w:val="000000"/>
                <w:szCs w:val="24"/>
              </w:rPr>
              <w:t>以内的目标，力争地表水国考断面优良水体比例达到</w:t>
            </w:r>
            <w:r>
              <w:rPr>
                <w:rFonts w:ascii="Times New Roman" w:hAnsi="Times New Roman" w:eastAsia="宋体" w:cs="Times New Roman"/>
                <w:color w:val="000000"/>
                <w:szCs w:val="24"/>
              </w:rPr>
              <w:t xml:space="preserve"> 70%</w:t>
            </w:r>
            <w:r>
              <w:rPr>
                <w:rFonts w:hint="eastAsia" w:ascii="Times New Roman" w:hAnsi="Times New Roman" w:eastAsia="宋体" w:cs="Times New Roman"/>
                <w:color w:val="000000"/>
                <w:szCs w:val="24"/>
              </w:rPr>
              <w:t>和消灭劣</w:t>
            </w:r>
            <w:r>
              <w:rPr>
                <w:rFonts w:ascii="Times New Roman" w:hAnsi="Times New Roman" w:eastAsia="宋体" w:cs="Times New Roman"/>
                <w:color w:val="000000"/>
                <w:szCs w:val="24"/>
              </w:rPr>
              <w:t>V</w:t>
            </w:r>
            <w:r>
              <w:rPr>
                <w:rFonts w:hint="eastAsia" w:ascii="Times New Roman" w:hAnsi="Times New Roman" w:eastAsia="宋体" w:cs="Times New Roman"/>
                <w:color w:val="000000"/>
                <w:szCs w:val="24"/>
              </w:rPr>
              <w:t>类水质；省辖市集中式饮用水水源地水质达标率达到</w:t>
            </w:r>
            <w:r>
              <w:rPr>
                <w:rFonts w:ascii="Times New Roman" w:hAnsi="Times New Roman" w:eastAsia="宋体" w:cs="Times New Roman"/>
                <w:color w:val="000000"/>
                <w:szCs w:val="24"/>
              </w:rPr>
              <w:t>100%</w:t>
            </w:r>
            <w:r>
              <w:rPr>
                <w:rFonts w:hint="eastAsia" w:ascii="Times New Roman" w:hAnsi="Times New Roman" w:eastAsia="宋体" w:cs="Times New Roman"/>
                <w:color w:val="000000"/>
                <w:szCs w:val="24"/>
              </w:rPr>
              <w:t>；南水北调中线工程水源地丹江口水库取水水质稳定达到</w:t>
            </w:r>
            <w:r>
              <w:rPr>
                <w:rFonts w:ascii="Times New Roman" w:hAnsi="Times New Roman" w:eastAsia="宋体" w:cs="Times New Roman"/>
                <w:color w:val="000000"/>
                <w:szCs w:val="24"/>
              </w:rPr>
              <w:t>II</w:t>
            </w:r>
            <w:r>
              <w:rPr>
                <w:rFonts w:hint="eastAsia" w:ascii="Times New Roman" w:hAnsi="Times New Roman" w:eastAsia="宋体" w:cs="Times New Roman"/>
                <w:color w:val="000000"/>
                <w:szCs w:val="24"/>
              </w:rPr>
              <w:t>类；地下水质量考核点位水质级别保持稳定。省辖市建成区全面消除黑臭水体。</w:t>
            </w:r>
          </w:p>
          <w:p>
            <w:pPr>
              <w:pStyle w:val="35"/>
              <w:keepNext w:val="0"/>
              <w:keepLines w:val="0"/>
              <w:pageBreakBefore w:val="0"/>
              <w:widowControl w:val="0"/>
              <w:kinsoku/>
              <w:wordWrap/>
              <w:overflowPunct/>
              <w:topLinePunct w:val="0"/>
              <w:autoSpaceDE/>
              <w:autoSpaceDN/>
              <w:bidi w:val="0"/>
              <w:adjustRightInd/>
              <w:snapToGrid/>
              <w:ind w:firstLine="480"/>
              <w:textAlignment w:val="auto"/>
              <w:rPr>
                <w:rFonts w:ascii="Times New Roman" w:hAnsi="Times New Roman" w:eastAsia="宋体" w:cs="Times New Roman"/>
                <w:color w:val="000000"/>
                <w:szCs w:val="24"/>
              </w:rPr>
            </w:pPr>
            <w:r>
              <w:rPr>
                <w:rFonts w:hint="eastAsia" w:ascii="Times New Roman" w:hAnsi="Times New Roman" w:eastAsia="宋体" w:cs="Times New Roman"/>
                <w:color w:val="000000"/>
                <w:szCs w:val="24"/>
              </w:rPr>
              <w:t>。。。。。。</w:t>
            </w:r>
          </w:p>
          <w:p>
            <w:pPr>
              <w:pStyle w:val="35"/>
              <w:keepNext w:val="0"/>
              <w:keepLines w:val="0"/>
              <w:pageBreakBefore w:val="0"/>
              <w:widowControl w:val="0"/>
              <w:kinsoku/>
              <w:wordWrap/>
              <w:overflowPunct/>
              <w:topLinePunct w:val="0"/>
              <w:autoSpaceDE/>
              <w:autoSpaceDN/>
              <w:bidi w:val="0"/>
              <w:adjustRightInd/>
              <w:snapToGrid/>
              <w:ind w:firstLine="480"/>
              <w:textAlignment w:val="auto"/>
              <w:rPr>
                <w:rFonts w:ascii="Times New Roman" w:hAnsi="Times New Roman" w:eastAsia="宋体" w:cs="Times New Roman"/>
                <w:color w:val="000000"/>
                <w:szCs w:val="24"/>
              </w:rPr>
            </w:pPr>
            <w:r>
              <w:rPr>
                <w:rFonts w:hint="eastAsia" w:ascii="Times New Roman" w:hAnsi="Times New Roman" w:eastAsia="宋体" w:cs="Times New Roman"/>
                <w:color w:val="000000"/>
                <w:szCs w:val="24"/>
              </w:rPr>
              <w:t>保障“一渠清水永续北送”。加强南水北调中线工程水源地丹江口水库（河南辖区）的水质保护，持续推进规范化建设。健全水质监测监控体系，每月开展例行监测。组织开展丹江口水库（河南辖区）饮用水水源地基础环境状况调查评估工作，提高预警预报能力。</w:t>
            </w:r>
          </w:p>
          <w:p>
            <w:pPr>
              <w:pStyle w:val="35"/>
              <w:keepNext w:val="0"/>
              <w:keepLines w:val="0"/>
              <w:pageBreakBefore w:val="0"/>
              <w:widowControl w:val="0"/>
              <w:kinsoku/>
              <w:wordWrap/>
              <w:overflowPunct/>
              <w:topLinePunct w:val="0"/>
              <w:autoSpaceDE/>
              <w:autoSpaceDN/>
              <w:bidi w:val="0"/>
              <w:adjustRightInd/>
              <w:snapToGrid/>
              <w:ind w:firstLine="480"/>
              <w:textAlignment w:val="auto"/>
              <w:rPr>
                <w:rFonts w:ascii="Times New Roman" w:hAnsi="Times New Roman" w:eastAsia="宋体" w:cs="Times New Roman"/>
                <w:color w:val="000000"/>
                <w:szCs w:val="24"/>
              </w:rPr>
            </w:pPr>
            <w:r>
              <w:rPr>
                <w:rFonts w:hint="eastAsia" w:ascii="Times New Roman" w:hAnsi="Times New Roman" w:eastAsia="宋体" w:cs="Times New Roman"/>
                <w:color w:val="000000"/>
                <w:szCs w:val="24"/>
              </w:rPr>
              <w:t>强化南水北调中线工程总干渠（河南段）水环境风险防控。持续深入开展南水北调中线工程总干渠（河南段）两侧保护区范围内的村庄污水、工业企业、畜禽养殖等水污染风险源的排查整治活动，切实消除环境风险隐患，确保输水干渠水质安全。</w:t>
            </w:r>
          </w:p>
          <w:p>
            <w:pPr>
              <w:pStyle w:val="35"/>
              <w:keepNext w:val="0"/>
              <w:keepLines w:val="0"/>
              <w:pageBreakBefore w:val="0"/>
              <w:widowControl w:val="0"/>
              <w:kinsoku/>
              <w:wordWrap/>
              <w:overflowPunct/>
              <w:topLinePunct w:val="0"/>
              <w:autoSpaceDE/>
              <w:autoSpaceDN/>
              <w:bidi w:val="0"/>
              <w:adjustRightInd/>
              <w:snapToGrid/>
              <w:ind w:firstLine="480"/>
              <w:textAlignment w:val="auto"/>
              <w:rPr>
                <w:rFonts w:ascii="Times New Roman" w:hAnsi="Times New Roman" w:eastAsia="宋体" w:cs="Times New Roman"/>
                <w:color w:val="000000"/>
                <w:szCs w:val="24"/>
              </w:rPr>
            </w:pPr>
            <w:r>
              <w:rPr>
                <w:rFonts w:hint="eastAsia" w:ascii="Times New Roman" w:hAnsi="Times New Roman" w:eastAsia="宋体" w:cs="Times New Roman"/>
                <w:color w:val="000000"/>
                <w:szCs w:val="24"/>
              </w:rPr>
              <w:t>。。。。。。。”</w:t>
            </w:r>
          </w:p>
          <w:p>
            <w:pPr>
              <w:pStyle w:val="35"/>
              <w:keepNext w:val="0"/>
              <w:keepLines w:val="0"/>
              <w:pageBreakBefore w:val="0"/>
              <w:widowControl w:val="0"/>
              <w:kinsoku/>
              <w:wordWrap/>
              <w:overflowPunct/>
              <w:topLinePunct w:val="0"/>
              <w:autoSpaceDE/>
              <w:autoSpaceDN/>
              <w:bidi w:val="0"/>
              <w:adjustRightInd/>
              <w:snapToGrid/>
              <w:ind w:firstLine="482"/>
              <w:textAlignment w:val="auto"/>
              <w:rPr>
                <w:rFonts w:ascii="Times New Roman" w:hAnsi="Times New Roman" w:eastAsia="宋体" w:cs="Times New Roman"/>
                <w:b/>
                <w:color w:val="000000"/>
                <w:szCs w:val="24"/>
              </w:rPr>
            </w:pPr>
            <w:r>
              <w:rPr>
                <w:rFonts w:hint="eastAsia" w:ascii="Times New Roman" w:hAnsi="Times New Roman" w:eastAsia="宋体" w:cs="Times New Roman"/>
                <w:b/>
                <w:color w:val="000000"/>
                <w:szCs w:val="24"/>
              </w:rPr>
              <w:t>《河南省</w:t>
            </w:r>
            <w:r>
              <w:rPr>
                <w:rFonts w:ascii="Times New Roman" w:hAnsi="Times New Roman" w:eastAsia="宋体" w:cs="Times New Roman"/>
                <w:b/>
                <w:color w:val="000000"/>
                <w:szCs w:val="24"/>
              </w:rPr>
              <w:t>2020</w:t>
            </w:r>
            <w:r>
              <w:rPr>
                <w:rFonts w:hint="eastAsia" w:ascii="Times New Roman" w:hAnsi="Times New Roman" w:eastAsia="宋体" w:cs="Times New Roman"/>
                <w:b/>
                <w:color w:val="000000"/>
                <w:szCs w:val="24"/>
              </w:rPr>
              <w:t>年土壤污染防治攻坚战实施方案》</w:t>
            </w:r>
          </w:p>
          <w:p>
            <w:pPr>
              <w:pStyle w:val="35"/>
              <w:keepNext w:val="0"/>
              <w:keepLines w:val="0"/>
              <w:pageBreakBefore w:val="0"/>
              <w:widowControl w:val="0"/>
              <w:kinsoku/>
              <w:wordWrap/>
              <w:overflowPunct/>
              <w:topLinePunct w:val="0"/>
              <w:autoSpaceDE/>
              <w:autoSpaceDN/>
              <w:bidi w:val="0"/>
              <w:adjustRightInd/>
              <w:snapToGrid/>
              <w:ind w:firstLine="480"/>
              <w:textAlignment w:val="auto"/>
              <w:rPr>
                <w:rFonts w:ascii="Times New Roman" w:hAnsi="Times New Roman" w:eastAsia="宋体" w:cs="Times New Roman"/>
                <w:color w:val="000000"/>
                <w:szCs w:val="24"/>
              </w:rPr>
            </w:pPr>
            <w:r>
              <w:rPr>
                <w:rFonts w:hint="eastAsia" w:ascii="Times New Roman" w:hAnsi="Times New Roman" w:eastAsia="宋体" w:cs="Times New Roman"/>
                <w:color w:val="000000"/>
                <w:szCs w:val="24"/>
              </w:rPr>
              <w:t>“。。。。。。</w:t>
            </w:r>
          </w:p>
          <w:p>
            <w:pPr>
              <w:pStyle w:val="35"/>
              <w:keepNext w:val="0"/>
              <w:keepLines w:val="0"/>
              <w:pageBreakBefore w:val="0"/>
              <w:widowControl w:val="0"/>
              <w:kinsoku/>
              <w:wordWrap/>
              <w:overflowPunct/>
              <w:topLinePunct w:val="0"/>
              <w:autoSpaceDE/>
              <w:autoSpaceDN/>
              <w:bidi w:val="0"/>
              <w:adjustRightInd/>
              <w:snapToGrid/>
              <w:ind w:firstLine="480"/>
              <w:textAlignment w:val="auto"/>
              <w:rPr>
                <w:rFonts w:ascii="Times New Roman" w:hAnsi="Times New Roman" w:eastAsia="宋体" w:cs="Times New Roman"/>
                <w:color w:val="000000"/>
                <w:szCs w:val="24"/>
              </w:rPr>
            </w:pPr>
            <w:r>
              <w:rPr>
                <w:rFonts w:hint="eastAsia" w:ascii="Times New Roman" w:hAnsi="Times New Roman" w:eastAsia="宋体" w:cs="Times New Roman"/>
                <w:color w:val="000000"/>
                <w:szCs w:val="24"/>
              </w:rPr>
              <w:t>二、工作目标</w:t>
            </w:r>
          </w:p>
          <w:p>
            <w:pPr>
              <w:pStyle w:val="35"/>
              <w:keepNext w:val="0"/>
              <w:keepLines w:val="0"/>
              <w:pageBreakBefore w:val="0"/>
              <w:widowControl w:val="0"/>
              <w:kinsoku/>
              <w:wordWrap/>
              <w:overflowPunct/>
              <w:topLinePunct w:val="0"/>
              <w:autoSpaceDE/>
              <w:autoSpaceDN/>
              <w:bidi w:val="0"/>
              <w:adjustRightInd/>
              <w:snapToGrid/>
              <w:ind w:firstLine="480"/>
              <w:textAlignment w:val="auto"/>
              <w:rPr>
                <w:rFonts w:ascii="Times New Roman" w:hAnsi="Times New Roman" w:eastAsia="宋体" w:cs="Times New Roman"/>
                <w:color w:val="000000"/>
                <w:szCs w:val="24"/>
              </w:rPr>
            </w:pPr>
            <w:r>
              <w:rPr>
                <w:rFonts w:hint="eastAsia" w:ascii="Times New Roman" w:hAnsi="Times New Roman" w:eastAsia="宋体" w:cs="Times New Roman"/>
                <w:color w:val="000000"/>
                <w:szCs w:val="24"/>
              </w:rPr>
              <w:t>全省土壤环境质量总体保持稳定，农用地土壤环境得到有效保护，建设用地土壤环境安全得到基本保障，土壤环境风险总体得到管控，土壤污染防治体系基本建立。</w:t>
            </w:r>
          </w:p>
          <w:p>
            <w:pPr>
              <w:pStyle w:val="35"/>
              <w:keepNext w:val="0"/>
              <w:keepLines w:val="0"/>
              <w:pageBreakBefore w:val="0"/>
              <w:widowControl w:val="0"/>
              <w:kinsoku/>
              <w:wordWrap/>
              <w:overflowPunct/>
              <w:topLinePunct w:val="0"/>
              <w:autoSpaceDE/>
              <w:autoSpaceDN/>
              <w:bidi w:val="0"/>
              <w:adjustRightInd/>
              <w:snapToGrid/>
              <w:ind w:firstLine="480"/>
              <w:textAlignment w:val="auto"/>
              <w:rPr>
                <w:rFonts w:ascii="Times New Roman" w:hAnsi="Times New Roman" w:eastAsia="宋体" w:cs="Times New Roman"/>
                <w:color w:val="000000"/>
                <w:szCs w:val="24"/>
              </w:rPr>
            </w:pPr>
            <w:r>
              <w:rPr>
                <w:rFonts w:hint="eastAsia" w:ascii="Times New Roman" w:hAnsi="Times New Roman" w:eastAsia="宋体" w:cs="Times New Roman"/>
                <w:color w:val="000000"/>
                <w:szCs w:val="24"/>
              </w:rPr>
              <w:t>完成一批土壤污染治理与修复示范项目；详查查明的安全利用类受污染耕地落实安全利用措施面积达到国家目标要求，严格管控类受污染耕地依法落实管控措施面积达到国家目标要求，受污染耕地安全利用率力争达到</w:t>
            </w:r>
            <w:r>
              <w:rPr>
                <w:rFonts w:ascii="Times New Roman" w:hAnsi="Times New Roman" w:eastAsia="宋体" w:cs="Times New Roman"/>
                <w:color w:val="000000"/>
                <w:szCs w:val="24"/>
              </w:rPr>
              <w:t>100%</w:t>
            </w:r>
            <w:r>
              <w:rPr>
                <w:rFonts w:hint="eastAsia" w:ascii="Times New Roman" w:hAnsi="Times New Roman" w:eastAsia="宋体" w:cs="Times New Roman"/>
                <w:color w:val="000000"/>
                <w:szCs w:val="24"/>
              </w:rPr>
              <w:t>；污染地块安全利用率力争达到</w:t>
            </w:r>
            <w:r>
              <w:rPr>
                <w:rFonts w:ascii="Times New Roman" w:hAnsi="Times New Roman" w:eastAsia="宋体" w:cs="Times New Roman"/>
                <w:color w:val="000000"/>
                <w:szCs w:val="24"/>
              </w:rPr>
              <w:t>100%</w:t>
            </w:r>
            <w:r>
              <w:rPr>
                <w:rFonts w:hint="eastAsia" w:ascii="Times New Roman" w:hAnsi="Times New Roman" w:eastAsia="宋体" w:cs="Times New Roman"/>
                <w:color w:val="000000"/>
                <w:szCs w:val="24"/>
              </w:rPr>
              <w:t>；实现土壤环境质量监测点位所有县（市、区）全覆盖；重点行业重点重金属排放量较</w:t>
            </w:r>
            <w:r>
              <w:rPr>
                <w:rFonts w:ascii="Times New Roman" w:hAnsi="Times New Roman" w:eastAsia="宋体" w:cs="Times New Roman"/>
                <w:color w:val="000000"/>
                <w:szCs w:val="24"/>
              </w:rPr>
              <w:t>2013</w:t>
            </w:r>
            <w:r>
              <w:rPr>
                <w:rFonts w:hint="eastAsia" w:ascii="Times New Roman" w:hAnsi="Times New Roman" w:eastAsia="宋体" w:cs="Times New Roman"/>
                <w:color w:val="000000"/>
                <w:szCs w:val="24"/>
              </w:rPr>
              <w:t>年下降</w:t>
            </w:r>
            <w:r>
              <w:rPr>
                <w:rFonts w:ascii="Times New Roman" w:hAnsi="Times New Roman" w:eastAsia="宋体" w:cs="Times New Roman"/>
                <w:color w:val="000000"/>
                <w:szCs w:val="24"/>
              </w:rPr>
              <w:t>12%</w:t>
            </w:r>
            <w:r>
              <w:rPr>
                <w:rFonts w:hint="eastAsia" w:ascii="Times New Roman" w:hAnsi="Times New Roman" w:eastAsia="宋体" w:cs="Times New Roman"/>
                <w:color w:val="000000"/>
                <w:szCs w:val="24"/>
              </w:rPr>
              <w:t>，与</w:t>
            </w:r>
            <w:r>
              <w:rPr>
                <w:rFonts w:ascii="Times New Roman" w:hAnsi="Times New Roman" w:eastAsia="宋体" w:cs="Times New Roman"/>
                <w:color w:val="000000"/>
                <w:szCs w:val="24"/>
              </w:rPr>
              <w:t>2015</w:t>
            </w:r>
            <w:r>
              <w:rPr>
                <w:rFonts w:hint="eastAsia" w:ascii="Times New Roman" w:hAnsi="Times New Roman" w:eastAsia="宋体" w:cs="Times New Roman"/>
                <w:color w:val="000000"/>
                <w:szCs w:val="24"/>
              </w:rPr>
              <w:t>年相比实现零增长。</w:t>
            </w:r>
          </w:p>
          <w:p>
            <w:pPr>
              <w:pStyle w:val="35"/>
              <w:keepNext w:val="0"/>
              <w:keepLines w:val="0"/>
              <w:pageBreakBefore w:val="0"/>
              <w:widowControl w:val="0"/>
              <w:kinsoku/>
              <w:wordWrap/>
              <w:overflowPunct/>
              <w:topLinePunct w:val="0"/>
              <w:autoSpaceDE/>
              <w:autoSpaceDN/>
              <w:bidi w:val="0"/>
              <w:adjustRightInd/>
              <w:snapToGrid/>
              <w:ind w:firstLine="480"/>
              <w:textAlignment w:val="auto"/>
              <w:rPr>
                <w:rFonts w:ascii="Times New Roman" w:hAnsi="Times New Roman" w:eastAsia="宋体" w:cs="Times New Roman"/>
                <w:color w:val="000000"/>
                <w:szCs w:val="24"/>
              </w:rPr>
            </w:pPr>
            <w:r>
              <w:rPr>
                <w:rFonts w:hint="eastAsia" w:ascii="Times New Roman" w:hAnsi="Times New Roman" w:eastAsia="宋体" w:cs="Times New Roman"/>
                <w:color w:val="000000"/>
                <w:szCs w:val="24"/>
              </w:rPr>
              <w:t>三、主要任务</w:t>
            </w:r>
          </w:p>
          <w:p>
            <w:pPr>
              <w:pStyle w:val="35"/>
              <w:keepNext w:val="0"/>
              <w:keepLines w:val="0"/>
              <w:pageBreakBefore w:val="0"/>
              <w:widowControl w:val="0"/>
              <w:kinsoku/>
              <w:wordWrap/>
              <w:overflowPunct/>
              <w:topLinePunct w:val="0"/>
              <w:autoSpaceDE/>
              <w:autoSpaceDN/>
              <w:bidi w:val="0"/>
              <w:adjustRightInd/>
              <w:snapToGrid/>
              <w:ind w:firstLine="480"/>
              <w:textAlignment w:val="auto"/>
              <w:rPr>
                <w:rFonts w:ascii="Times New Roman" w:hAnsi="Times New Roman" w:eastAsia="宋体" w:cs="Times New Roman"/>
                <w:color w:val="000000"/>
                <w:szCs w:val="24"/>
              </w:rPr>
            </w:pPr>
            <w:r>
              <w:rPr>
                <w:rFonts w:hint="eastAsia" w:ascii="Times New Roman" w:hAnsi="Times New Roman" w:eastAsia="宋体" w:cs="Times New Roman"/>
                <w:color w:val="000000"/>
                <w:szCs w:val="24"/>
              </w:rPr>
              <w:t>。。。。。。</w:t>
            </w:r>
          </w:p>
          <w:p>
            <w:pPr>
              <w:pStyle w:val="35"/>
              <w:keepNext w:val="0"/>
              <w:keepLines w:val="0"/>
              <w:pageBreakBefore w:val="0"/>
              <w:widowControl w:val="0"/>
              <w:kinsoku/>
              <w:wordWrap/>
              <w:overflowPunct/>
              <w:topLinePunct w:val="0"/>
              <w:autoSpaceDE/>
              <w:autoSpaceDN/>
              <w:bidi w:val="0"/>
              <w:adjustRightInd/>
              <w:snapToGrid/>
              <w:ind w:firstLine="480"/>
              <w:textAlignment w:val="auto"/>
              <w:rPr>
                <w:rFonts w:ascii="Times New Roman" w:hAnsi="Times New Roman" w:eastAsia="宋体" w:cs="Times New Roman"/>
                <w:color w:val="000000"/>
                <w:szCs w:val="24"/>
              </w:rPr>
            </w:pPr>
            <w:r>
              <w:rPr>
                <w:rFonts w:hint="eastAsia" w:ascii="Times New Roman" w:hAnsi="Times New Roman" w:eastAsia="宋体" w:cs="Times New Roman"/>
                <w:color w:val="000000"/>
                <w:szCs w:val="24"/>
              </w:rPr>
              <w:t>（四）加强土壤污染源头治理</w:t>
            </w:r>
          </w:p>
          <w:p>
            <w:pPr>
              <w:pStyle w:val="35"/>
              <w:keepNext w:val="0"/>
              <w:keepLines w:val="0"/>
              <w:pageBreakBefore w:val="0"/>
              <w:widowControl w:val="0"/>
              <w:kinsoku/>
              <w:wordWrap/>
              <w:overflowPunct/>
              <w:topLinePunct w:val="0"/>
              <w:autoSpaceDE/>
              <w:autoSpaceDN/>
              <w:bidi w:val="0"/>
              <w:adjustRightInd/>
              <w:snapToGrid/>
              <w:ind w:firstLine="480"/>
              <w:textAlignment w:val="auto"/>
              <w:rPr>
                <w:rFonts w:ascii="Times New Roman" w:hAnsi="Times New Roman" w:eastAsia="宋体" w:cs="Times New Roman"/>
                <w:color w:val="000000"/>
                <w:szCs w:val="24"/>
              </w:rPr>
            </w:pPr>
            <w:r>
              <w:rPr>
                <w:rFonts w:ascii="Times New Roman" w:hAnsi="Times New Roman" w:eastAsia="宋体" w:cs="Times New Roman"/>
                <w:color w:val="000000"/>
                <w:szCs w:val="24"/>
              </w:rPr>
              <w:t>1</w:t>
            </w:r>
            <w:r>
              <w:rPr>
                <w:rFonts w:hint="eastAsia" w:ascii="Times New Roman" w:hAnsi="Times New Roman" w:eastAsia="宋体" w:cs="Times New Roman"/>
                <w:color w:val="000000"/>
                <w:szCs w:val="24"/>
              </w:rPr>
              <w:t>、着力排查整治涉镉等重金属重点行业企业，严格防控耕地周边涉重企业污染。深入开展涉镉等重金属重点行业企业排查整治，根据最新信息持续排查重点区域，及时更新排查清单和整治清单。高标准、严要求进行综合整治工作，切实防范农用地重金属污染风险，切断重金属污染物进入农田途径，并于</w:t>
            </w:r>
            <w:r>
              <w:rPr>
                <w:rFonts w:ascii="Times New Roman" w:hAnsi="Times New Roman" w:eastAsia="宋体" w:cs="Times New Roman"/>
                <w:color w:val="000000"/>
                <w:szCs w:val="24"/>
              </w:rPr>
              <w:t>2020</w:t>
            </w:r>
            <w:r>
              <w:rPr>
                <w:rFonts w:hint="eastAsia" w:ascii="Times New Roman" w:hAnsi="Times New Roman" w:eastAsia="宋体" w:cs="Times New Roman"/>
                <w:color w:val="000000"/>
                <w:szCs w:val="24"/>
              </w:rPr>
              <w:t>年</w:t>
            </w:r>
            <w:r>
              <w:rPr>
                <w:rFonts w:ascii="Times New Roman" w:hAnsi="Times New Roman" w:eastAsia="宋体" w:cs="Times New Roman"/>
                <w:color w:val="000000"/>
                <w:szCs w:val="24"/>
              </w:rPr>
              <w:t>10</w:t>
            </w:r>
            <w:r>
              <w:rPr>
                <w:rFonts w:hint="eastAsia" w:ascii="Times New Roman" w:hAnsi="Times New Roman" w:eastAsia="宋体" w:cs="Times New Roman"/>
                <w:color w:val="000000"/>
                <w:szCs w:val="24"/>
              </w:rPr>
              <w:t>月底前全部完成整治工作；省辖市生态环境部门应对完成整治的企业及时组织验收，并核查“一企一档”建立情况。</w:t>
            </w:r>
          </w:p>
          <w:p>
            <w:pPr>
              <w:pStyle w:val="35"/>
              <w:keepNext w:val="0"/>
              <w:keepLines w:val="0"/>
              <w:pageBreakBefore w:val="0"/>
              <w:widowControl w:val="0"/>
              <w:kinsoku/>
              <w:wordWrap/>
              <w:overflowPunct/>
              <w:topLinePunct w:val="0"/>
              <w:autoSpaceDE/>
              <w:autoSpaceDN/>
              <w:bidi w:val="0"/>
              <w:adjustRightInd/>
              <w:snapToGrid/>
              <w:ind w:firstLine="480"/>
              <w:textAlignment w:val="auto"/>
              <w:rPr>
                <w:rFonts w:ascii="Times New Roman" w:hAnsi="Times New Roman" w:eastAsia="宋体" w:cs="Times New Roman"/>
                <w:color w:val="000000"/>
                <w:szCs w:val="24"/>
              </w:rPr>
            </w:pPr>
            <w:r>
              <w:rPr>
                <w:rFonts w:hint="eastAsia" w:ascii="Times New Roman" w:hAnsi="Times New Roman" w:eastAsia="宋体" w:cs="Times New Roman"/>
                <w:color w:val="000000"/>
                <w:szCs w:val="24"/>
              </w:rPr>
              <w:t>经监测评估，若永久基本农田存在镉等重金属污染风险需进行调整的，按照相关要求进行调整补划。在永久基本农田集中区域，不得新、改、扩建可能造成土壤污染的建设项目。</w:t>
            </w:r>
          </w:p>
          <w:p>
            <w:pPr>
              <w:pStyle w:val="35"/>
              <w:keepNext w:val="0"/>
              <w:keepLines w:val="0"/>
              <w:pageBreakBefore w:val="0"/>
              <w:widowControl w:val="0"/>
              <w:kinsoku/>
              <w:wordWrap/>
              <w:overflowPunct/>
              <w:topLinePunct w:val="0"/>
              <w:autoSpaceDE/>
              <w:autoSpaceDN/>
              <w:bidi w:val="0"/>
              <w:adjustRightInd/>
              <w:snapToGrid/>
              <w:ind w:firstLine="480"/>
              <w:textAlignment w:val="auto"/>
              <w:rPr>
                <w:rFonts w:ascii="Times New Roman" w:hAnsi="Times New Roman" w:eastAsia="宋体" w:cs="Times New Roman"/>
                <w:color w:val="000000"/>
                <w:szCs w:val="24"/>
              </w:rPr>
            </w:pPr>
            <w:r>
              <w:rPr>
                <w:rFonts w:hint="eastAsia" w:ascii="Times New Roman" w:hAnsi="Times New Roman" w:eastAsia="宋体" w:cs="Times New Roman"/>
                <w:color w:val="000000"/>
                <w:szCs w:val="24"/>
              </w:rPr>
              <w:t>。。。。。。</w:t>
            </w:r>
          </w:p>
          <w:p>
            <w:pPr>
              <w:pStyle w:val="35"/>
              <w:keepNext w:val="0"/>
              <w:keepLines w:val="0"/>
              <w:pageBreakBefore w:val="0"/>
              <w:widowControl w:val="0"/>
              <w:kinsoku/>
              <w:wordWrap/>
              <w:overflowPunct/>
              <w:topLinePunct w:val="0"/>
              <w:autoSpaceDE/>
              <w:autoSpaceDN/>
              <w:bidi w:val="0"/>
              <w:adjustRightInd/>
              <w:snapToGrid/>
              <w:ind w:firstLine="480"/>
              <w:textAlignment w:val="auto"/>
              <w:rPr>
                <w:rFonts w:ascii="Times New Roman" w:hAnsi="Times New Roman" w:eastAsia="宋体" w:cs="Times New Roman"/>
                <w:color w:val="000000"/>
                <w:szCs w:val="24"/>
              </w:rPr>
            </w:pPr>
            <w:r>
              <w:rPr>
                <w:rFonts w:ascii="Times New Roman" w:hAnsi="Times New Roman" w:eastAsia="宋体" w:cs="Times New Roman"/>
                <w:color w:val="000000"/>
                <w:szCs w:val="24"/>
              </w:rPr>
              <w:t>3</w:t>
            </w:r>
            <w:r>
              <w:rPr>
                <w:rFonts w:hint="eastAsia" w:ascii="Times New Roman" w:hAnsi="Times New Roman" w:eastAsia="宋体" w:cs="Times New Roman"/>
                <w:color w:val="000000"/>
                <w:szCs w:val="24"/>
              </w:rPr>
              <w:t>、持续推进固体废物堆存场所排查整治。推进一般工业固体废物堆场排查和综合整治，对照整治清单，全面完成整治任务。</w:t>
            </w:r>
          </w:p>
          <w:p>
            <w:pPr>
              <w:pStyle w:val="35"/>
              <w:keepNext w:val="0"/>
              <w:keepLines w:val="0"/>
              <w:pageBreakBefore w:val="0"/>
              <w:widowControl w:val="0"/>
              <w:kinsoku/>
              <w:wordWrap/>
              <w:overflowPunct/>
              <w:topLinePunct w:val="0"/>
              <w:autoSpaceDE/>
              <w:autoSpaceDN/>
              <w:bidi w:val="0"/>
              <w:adjustRightInd/>
              <w:snapToGrid/>
              <w:ind w:firstLine="480"/>
              <w:textAlignment w:val="auto"/>
              <w:rPr>
                <w:rFonts w:ascii="Times New Roman" w:hAnsi="Times New Roman" w:eastAsia="宋体" w:cs="Times New Roman"/>
                <w:color w:val="000000"/>
                <w:szCs w:val="24"/>
              </w:rPr>
            </w:pPr>
            <w:r>
              <w:rPr>
                <w:rFonts w:hint="eastAsia" w:ascii="Times New Roman" w:hAnsi="Times New Roman" w:eastAsia="宋体" w:cs="Times New Roman"/>
                <w:color w:val="000000"/>
                <w:szCs w:val="24"/>
              </w:rPr>
              <w:t>。。。。。。”</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ascii="Times New Roman" w:hAnsi="Times New Roman" w:eastAsia="宋体"/>
                <w:sz w:val="24"/>
              </w:rPr>
            </w:pPr>
            <w:r>
              <w:rPr>
                <w:rFonts w:hint="eastAsia" w:ascii="Times New Roman" w:hAnsi="Times New Roman" w:eastAsia="宋体"/>
                <w:color w:val="000000" w:themeColor="text1"/>
                <w:sz w:val="24"/>
              </w:rPr>
              <w:t>本项目用地属于工业用地，</w:t>
            </w:r>
            <w:r>
              <w:rPr>
                <w:rFonts w:hint="eastAsia" w:ascii="Times New Roman" w:hAnsi="Times New Roman" w:eastAsia="宋体"/>
                <w:sz w:val="24"/>
              </w:rPr>
              <w:t>营运过程</w:t>
            </w:r>
            <w:r>
              <w:rPr>
                <w:rFonts w:hint="eastAsia" w:ascii="Times New Roman" w:hAnsi="Times New Roman" w:eastAsia="宋体" w:cs="Calibri"/>
                <w:kern w:val="0"/>
                <w:sz w:val="24"/>
              </w:rPr>
              <w:t>建设单位选用</w:t>
            </w:r>
            <w:r>
              <w:rPr>
                <w:rFonts w:hint="eastAsia" w:ascii="Times New Roman" w:hAnsi="Times New Roman" w:eastAsia="宋体"/>
                <w:sz w:val="24"/>
              </w:rPr>
              <w:t>封闭的车间，原料和产品均入库存放</w:t>
            </w:r>
            <w:r>
              <w:rPr>
                <w:rFonts w:hint="eastAsia" w:ascii="Times New Roman" w:hAnsi="Times New Roman" w:eastAsia="宋体" w:cs="Calibri"/>
                <w:kern w:val="0"/>
                <w:sz w:val="24"/>
              </w:rPr>
              <w:t>。项目</w:t>
            </w:r>
            <w:r>
              <w:rPr>
                <w:rFonts w:hint="eastAsia" w:ascii="Times New Roman" w:hAnsi="Times New Roman" w:eastAsia="宋体"/>
                <w:sz w:val="24"/>
              </w:rPr>
              <w:t>运行过程无生产废水外排，</w:t>
            </w:r>
            <w:r>
              <w:rPr>
                <w:rFonts w:hint="eastAsia"/>
                <w:sz w:val="24"/>
                <w:lang w:eastAsia="zh-CN"/>
              </w:rPr>
              <w:t>生活污水经依托厂区现有化粪池处理后排入城市污水管网</w:t>
            </w:r>
            <w:r>
              <w:rPr>
                <w:rFonts w:hint="eastAsia" w:ascii="Times New Roman" w:hAnsi="Times New Roman" w:eastAsia="宋体"/>
                <w:sz w:val="24"/>
              </w:rPr>
              <w:t>；</w:t>
            </w:r>
            <w:r>
              <w:rPr>
                <w:rFonts w:hint="eastAsia" w:ascii="Times New Roman" w:hAnsi="Times New Roman" w:eastAsia="宋体"/>
                <w:color w:val="000000" w:themeColor="text1"/>
                <w:sz w:val="24"/>
              </w:rPr>
              <w:t>项目产生的焊接烟尘</w:t>
            </w:r>
            <w:r>
              <w:rPr>
                <w:rFonts w:hint="eastAsia"/>
                <w:color w:val="000000" w:themeColor="text1"/>
                <w:sz w:val="24"/>
                <w:lang w:eastAsia="zh-CN"/>
              </w:rPr>
              <w:t>通过</w:t>
            </w:r>
            <w:r>
              <w:rPr>
                <w:rFonts w:hint="eastAsia"/>
                <w:color w:val="000000" w:themeColor="text1"/>
                <w:sz w:val="24"/>
                <w:lang w:val="en-US" w:eastAsia="zh-CN"/>
              </w:rPr>
              <w:t>1台移动式烟尘净化器净化</w:t>
            </w:r>
            <w:r>
              <w:rPr>
                <w:rFonts w:hint="eastAsia" w:ascii="Times New Roman" w:hAnsi="Times New Roman" w:eastAsia="宋体"/>
                <w:color w:val="000000" w:themeColor="text1"/>
                <w:sz w:val="24"/>
              </w:rPr>
              <w:t>；项目产生的一般固废经收集后定期</w:t>
            </w:r>
            <w:r>
              <w:rPr>
                <w:rFonts w:hint="eastAsia" w:ascii="Times New Roman" w:hAnsi="Times New Roman" w:eastAsia="宋体"/>
                <w:sz w:val="24"/>
              </w:rPr>
              <w:t>外售，危险废物交由资质单位安全处置。本项目的建设和运行符合《关于印发河南省</w:t>
            </w:r>
            <w:r>
              <w:rPr>
                <w:rFonts w:ascii="Times New Roman" w:hAnsi="Times New Roman" w:eastAsia="宋体"/>
                <w:sz w:val="24"/>
              </w:rPr>
              <w:t>2020</w:t>
            </w:r>
            <w:r>
              <w:rPr>
                <w:rFonts w:hint="eastAsia" w:ascii="Times New Roman" w:hAnsi="Times New Roman" w:eastAsia="宋体"/>
                <w:sz w:val="24"/>
              </w:rPr>
              <w:t>年大气、水、土壤污染防治攻坚战实施方案的通知》豫环攻坚办〔</w:t>
            </w:r>
            <w:r>
              <w:rPr>
                <w:rFonts w:ascii="Times New Roman" w:hAnsi="Times New Roman" w:eastAsia="宋体"/>
                <w:sz w:val="24"/>
              </w:rPr>
              <w:t>2020</w:t>
            </w:r>
            <w:r>
              <w:rPr>
                <w:rFonts w:hint="eastAsia" w:ascii="Times New Roman" w:hAnsi="Times New Roman" w:eastAsia="宋体"/>
                <w:sz w:val="24"/>
              </w:rPr>
              <w:t>〕</w:t>
            </w:r>
            <w:r>
              <w:rPr>
                <w:rFonts w:ascii="Times New Roman" w:hAnsi="Times New Roman" w:eastAsia="宋体"/>
                <w:sz w:val="24"/>
              </w:rPr>
              <w:t>7</w:t>
            </w:r>
            <w:r>
              <w:rPr>
                <w:rFonts w:hint="eastAsia" w:ascii="Times New Roman" w:hAnsi="Times New Roman" w:eastAsia="宋体"/>
                <w:sz w:val="24"/>
              </w:rPr>
              <w:t>号中的相关要求，同时要求企业在运行中要严格按照豫环攻坚办〔</w:t>
            </w:r>
            <w:r>
              <w:rPr>
                <w:rFonts w:ascii="Times New Roman" w:hAnsi="Times New Roman" w:eastAsia="宋体"/>
                <w:sz w:val="24"/>
              </w:rPr>
              <w:t>2020</w:t>
            </w:r>
            <w:r>
              <w:rPr>
                <w:rFonts w:hint="eastAsia" w:ascii="Times New Roman" w:hAnsi="Times New Roman" w:eastAsia="宋体"/>
                <w:sz w:val="24"/>
              </w:rPr>
              <w:t>〕</w:t>
            </w:r>
            <w:r>
              <w:rPr>
                <w:rFonts w:ascii="Times New Roman" w:hAnsi="Times New Roman" w:eastAsia="宋体"/>
                <w:sz w:val="24"/>
              </w:rPr>
              <w:t>7</w:t>
            </w:r>
            <w:r>
              <w:rPr>
                <w:rFonts w:hint="eastAsia" w:ascii="Times New Roman" w:hAnsi="Times New Roman" w:eastAsia="宋体"/>
                <w:sz w:val="24"/>
              </w:rPr>
              <w:t>号的相关措施加强管理。</w:t>
            </w:r>
          </w:p>
          <w:p>
            <w:pPr>
              <w:adjustRightInd w:val="0"/>
              <w:snapToGrid w:val="0"/>
              <w:spacing w:line="520" w:lineRule="exact"/>
              <w:ind w:firstLine="482" w:firstLineChars="200"/>
              <w:rPr>
                <w:rFonts w:ascii="Times New Roman" w:hAnsi="Times New Roman" w:eastAsia="宋体"/>
                <w:b/>
                <w:sz w:val="24"/>
              </w:rPr>
            </w:pPr>
            <w:r>
              <w:rPr>
                <w:rFonts w:ascii="Times New Roman" w:hAnsi="Times New Roman" w:eastAsia="宋体"/>
                <w:b/>
                <w:sz w:val="24"/>
              </w:rPr>
              <w:t>1</w:t>
            </w:r>
            <w:r>
              <w:rPr>
                <w:rFonts w:hint="eastAsia" w:ascii="Times New Roman" w:hAnsi="Times New Roman" w:eastAsia="宋体"/>
                <w:b/>
                <w:sz w:val="24"/>
              </w:rPr>
              <w:t>2</w:t>
            </w:r>
            <w:r>
              <w:rPr>
                <w:rFonts w:ascii="Times New Roman" w:hAnsi="Times New Roman" w:eastAsia="宋体"/>
                <w:b/>
                <w:sz w:val="24"/>
              </w:rPr>
              <w:t>、</w:t>
            </w:r>
            <w:r>
              <w:rPr>
                <w:rFonts w:hint="eastAsia" w:ascii="Times New Roman" w:hAnsi="Times New Roman" w:eastAsia="宋体"/>
                <w:b/>
                <w:sz w:val="24"/>
              </w:rPr>
              <w:t>与《河南省生态环境厅关于印发河南省工业大气污染防治</w:t>
            </w:r>
            <w:r>
              <w:rPr>
                <w:rFonts w:ascii="Times New Roman" w:hAnsi="Times New Roman" w:eastAsia="宋体"/>
                <w:b/>
                <w:sz w:val="24"/>
              </w:rPr>
              <w:t>6</w:t>
            </w:r>
            <w:r>
              <w:rPr>
                <w:rFonts w:hint="eastAsia" w:ascii="Times New Roman" w:hAnsi="Times New Roman" w:eastAsia="宋体"/>
                <w:b/>
                <w:sz w:val="24"/>
              </w:rPr>
              <w:t>个专项方案的通知</w:t>
            </w:r>
            <w:r>
              <w:rPr>
                <w:rFonts w:ascii="Times New Roman" w:hAnsi="Times New Roman" w:eastAsia="宋体"/>
                <w:b/>
                <w:sz w:val="24"/>
              </w:rPr>
              <w:t>[2019]84</w:t>
            </w:r>
            <w:r>
              <w:rPr>
                <w:rFonts w:hint="eastAsia" w:ascii="Times New Roman" w:hAnsi="Times New Roman" w:eastAsia="宋体"/>
                <w:b/>
                <w:sz w:val="24"/>
              </w:rPr>
              <w:t>号》的符合性</w:t>
            </w:r>
          </w:p>
          <w:p>
            <w:pPr>
              <w:adjustRightInd w:val="0"/>
              <w:snapToGrid w:val="0"/>
              <w:spacing w:line="520" w:lineRule="exact"/>
              <w:ind w:firstLine="482" w:firstLineChars="200"/>
              <w:jc w:val="center"/>
              <w:rPr>
                <w:rFonts w:ascii="Times New Roman" w:hAnsi="Times New Roman" w:eastAsia="宋体"/>
                <w:b/>
                <w:sz w:val="24"/>
              </w:rPr>
            </w:pPr>
            <w:r>
              <w:rPr>
                <w:rFonts w:hint="eastAsia" w:ascii="Times New Roman" w:hAnsi="Times New Roman" w:eastAsia="宋体"/>
                <w:b/>
                <w:sz w:val="24"/>
              </w:rPr>
              <w:t>河南省</w:t>
            </w:r>
            <w:r>
              <w:rPr>
                <w:rFonts w:ascii="Times New Roman" w:hAnsi="Times New Roman" w:eastAsia="宋体"/>
                <w:b/>
                <w:sz w:val="24"/>
              </w:rPr>
              <w:t>2019</w:t>
            </w:r>
            <w:r>
              <w:rPr>
                <w:rFonts w:hint="eastAsia" w:ascii="Times New Roman" w:hAnsi="Times New Roman" w:eastAsia="宋体"/>
                <w:b/>
                <w:sz w:val="24"/>
              </w:rPr>
              <w:t>年工业企业无组织排放治理方案</w:t>
            </w:r>
          </w:p>
          <w:p>
            <w:pPr>
              <w:adjustRightInd w:val="0"/>
              <w:snapToGrid w:val="0"/>
              <w:spacing w:line="520" w:lineRule="exact"/>
              <w:ind w:firstLine="480" w:firstLineChars="200"/>
              <w:rPr>
                <w:rFonts w:ascii="Times New Roman" w:hAnsi="Times New Roman" w:eastAsia="宋体"/>
                <w:bCs/>
                <w:color w:val="000000"/>
                <w:sz w:val="24"/>
              </w:rPr>
            </w:pPr>
            <w:r>
              <w:rPr>
                <w:rFonts w:hint="eastAsia" w:ascii="Times New Roman" w:hAnsi="Times New Roman" w:eastAsia="宋体"/>
                <w:bCs/>
                <w:color w:val="000000"/>
                <w:sz w:val="24"/>
              </w:rPr>
              <w:t>为贯彻落实《河南省人民政府关于印发河南省污染防治攻坚战三年行动计划（</w:t>
            </w:r>
            <w:r>
              <w:rPr>
                <w:rFonts w:ascii="Times New Roman" w:hAnsi="Times New Roman" w:eastAsia="宋体"/>
                <w:bCs/>
                <w:color w:val="000000"/>
                <w:sz w:val="24"/>
              </w:rPr>
              <w:t xml:space="preserve">2018-2020 </w:t>
            </w:r>
            <w:r>
              <w:rPr>
                <w:rFonts w:hint="eastAsia" w:ascii="Times New Roman" w:hAnsi="Times New Roman" w:eastAsia="宋体"/>
                <w:bCs/>
                <w:color w:val="000000"/>
                <w:sz w:val="24"/>
              </w:rPr>
              <w:t>年）的通知》（豫政〔</w:t>
            </w:r>
            <w:r>
              <w:rPr>
                <w:rFonts w:ascii="Times New Roman" w:hAnsi="Times New Roman" w:eastAsia="宋体"/>
                <w:bCs/>
                <w:color w:val="000000"/>
                <w:sz w:val="24"/>
              </w:rPr>
              <w:t>2018</w:t>
            </w:r>
            <w:r>
              <w:rPr>
                <w:rFonts w:hint="eastAsia" w:ascii="Times New Roman" w:hAnsi="Times New Roman" w:eastAsia="宋体"/>
                <w:bCs/>
                <w:color w:val="000000"/>
                <w:sz w:val="24"/>
              </w:rPr>
              <w:t>〕</w:t>
            </w:r>
            <w:r>
              <w:rPr>
                <w:rFonts w:ascii="Times New Roman" w:hAnsi="Times New Roman" w:eastAsia="宋体"/>
                <w:bCs/>
                <w:color w:val="000000"/>
                <w:sz w:val="24"/>
              </w:rPr>
              <w:t>30</w:t>
            </w:r>
            <w:r>
              <w:rPr>
                <w:rFonts w:hint="eastAsia" w:ascii="Times New Roman" w:hAnsi="Times New Roman" w:eastAsia="宋体"/>
                <w:bCs/>
                <w:color w:val="000000"/>
                <w:sz w:val="24"/>
              </w:rPr>
              <w:t>号）和《河南省污染防治攻坚战领导小组办公室关于印发河南省</w:t>
            </w:r>
            <w:r>
              <w:rPr>
                <w:rFonts w:ascii="Times New Roman" w:hAnsi="Times New Roman" w:eastAsia="宋体"/>
                <w:bCs/>
                <w:color w:val="000000"/>
                <w:sz w:val="24"/>
              </w:rPr>
              <w:t>2019</w:t>
            </w:r>
            <w:r>
              <w:rPr>
                <w:rFonts w:hint="eastAsia" w:ascii="Times New Roman" w:hAnsi="Times New Roman" w:eastAsia="宋体"/>
                <w:bCs/>
                <w:color w:val="000000"/>
                <w:sz w:val="24"/>
              </w:rPr>
              <w:t>年大气污染防治攻坚战实施方案的通知》（豫环攻坚办〔</w:t>
            </w:r>
            <w:r>
              <w:rPr>
                <w:rFonts w:ascii="Times New Roman" w:hAnsi="Times New Roman" w:eastAsia="宋体"/>
                <w:bCs/>
                <w:color w:val="000000"/>
                <w:sz w:val="24"/>
              </w:rPr>
              <w:t>2019</w:t>
            </w:r>
            <w:r>
              <w:rPr>
                <w:rFonts w:hint="eastAsia" w:ascii="Times New Roman" w:hAnsi="Times New Roman" w:eastAsia="宋体"/>
                <w:bCs/>
                <w:color w:val="000000"/>
                <w:sz w:val="24"/>
              </w:rPr>
              <w:t>〕</w:t>
            </w:r>
            <w:r>
              <w:rPr>
                <w:rFonts w:ascii="Times New Roman" w:hAnsi="Times New Roman" w:eastAsia="宋体"/>
                <w:bCs/>
                <w:color w:val="000000"/>
                <w:sz w:val="24"/>
              </w:rPr>
              <w:t xml:space="preserve">25 </w:t>
            </w:r>
            <w:r>
              <w:rPr>
                <w:rFonts w:hint="eastAsia" w:ascii="Times New Roman" w:hAnsi="Times New Roman" w:eastAsia="宋体"/>
                <w:bCs/>
                <w:color w:val="000000"/>
                <w:sz w:val="24"/>
              </w:rPr>
              <w:t>号），深入开展工业企业无组织排放专项治理，持续改善全省环境空气质量，结合我省无组织排放治理现状，制定本方案，与本项目相关的内容如下：</w:t>
            </w:r>
          </w:p>
          <w:p>
            <w:pPr>
              <w:pStyle w:val="35"/>
              <w:ind w:firstLine="480"/>
              <w:rPr>
                <w:rFonts w:ascii="Times New Roman" w:hAnsi="Times New Roman" w:eastAsia="宋体" w:cs="Times New Roman"/>
                <w:color w:val="000000"/>
                <w:szCs w:val="24"/>
              </w:rPr>
            </w:pPr>
            <w:r>
              <w:rPr>
                <w:rFonts w:hint="eastAsia" w:ascii="Times New Roman" w:hAnsi="Times New Roman" w:eastAsia="宋体" w:cs="Times New Roman"/>
                <w:color w:val="000000"/>
                <w:szCs w:val="24"/>
              </w:rPr>
              <w:t>“。。。。。。</w:t>
            </w:r>
          </w:p>
          <w:p>
            <w:pPr>
              <w:adjustRightInd w:val="0"/>
              <w:snapToGrid w:val="0"/>
              <w:spacing w:line="520" w:lineRule="exact"/>
              <w:ind w:firstLine="482" w:firstLineChars="200"/>
              <w:rPr>
                <w:rFonts w:ascii="Times New Roman" w:hAnsi="Times New Roman" w:eastAsia="宋体"/>
                <w:b/>
                <w:bCs/>
                <w:color w:val="000000"/>
                <w:sz w:val="24"/>
              </w:rPr>
            </w:pPr>
            <w:r>
              <w:rPr>
                <w:rFonts w:hint="eastAsia" w:ascii="Times New Roman" w:hAnsi="Times New Roman" w:eastAsia="宋体"/>
                <w:b/>
                <w:bCs/>
                <w:color w:val="000000"/>
                <w:sz w:val="24"/>
              </w:rPr>
              <w:t>二、工作目标</w:t>
            </w:r>
          </w:p>
          <w:p>
            <w:pPr>
              <w:adjustRightInd w:val="0"/>
              <w:snapToGrid w:val="0"/>
              <w:spacing w:line="520" w:lineRule="exact"/>
              <w:ind w:firstLine="480" w:firstLineChars="200"/>
              <w:rPr>
                <w:rFonts w:ascii="Times New Roman" w:hAnsi="Times New Roman" w:eastAsia="宋体"/>
                <w:bCs/>
                <w:color w:val="000000"/>
                <w:sz w:val="24"/>
              </w:rPr>
            </w:pPr>
            <w:r>
              <w:rPr>
                <w:rFonts w:hint="eastAsia" w:ascii="Times New Roman" w:hAnsi="Times New Roman" w:eastAsia="宋体"/>
                <w:bCs/>
                <w:color w:val="000000"/>
                <w:sz w:val="24"/>
              </w:rPr>
              <w:t>针对原料运输、贮存、装卸、混合、转运、加装、工艺过程、产品出料、包装等各个生产环节存在的无组织排放污染问题，进行全流程控制、收集、净化处理，同步安装视频监控和相应的污染物排放监测设备，</w:t>
            </w:r>
            <w:r>
              <w:rPr>
                <w:rFonts w:ascii="Times New Roman" w:hAnsi="Times New Roman" w:eastAsia="宋体"/>
                <w:bCs/>
                <w:color w:val="000000"/>
                <w:sz w:val="24"/>
              </w:rPr>
              <w:t>2019</w:t>
            </w:r>
            <w:r>
              <w:rPr>
                <w:rFonts w:hint="eastAsia" w:ascii="Times New Roman" w:hAnsi="Times New Roman" w:eastAsia="宋体"/>
                <w:bCs/>
                <w:color w:val="000000"/>
                <w:sz w:val="24"/>
              </w:rPr>
              <w:t>年</w:t>
            </w:r>
            <w:r>
              <w:rPr>
                <w:rFonts w:ascii="Times New Roman" w:hAnsi="Times New Roman" w:eastAsia="宋体"/>
                <w:bCs/>
                <w:color w:val="000000"/>
                <w:sz w:val="24"/>
              </w:rPr>
              <w:t>10</w:t>
            </w:r>
            <w:r>
              <w:rPr>
                <w:rFonts w:hint="eastAsia" w:ascii="Times New Roman" w:hAnsi="Times New Roman" w:eastAsia="宋体"/>
                <w:bCs/>
                <w:color w:val="000000"/>
                <w:sz w:val="24"/>
              </w:rPr>
              <w:t>月底前，全省工业企业完成物料运输、生产工艺、堆场环节的无组织排放深度治理，全面实现“五到位、一密闭”（生产过程收尘到位，物料运输抑尘到位，厂区道路除尘到位，裸露土地绿化到位，无组织排放监控到位；厂区内贮存的各类易产生粉尘的物料及燃料全部密闭）。全面提升污染治理水平，污染物排放总量显著减少，打造行业标杆，全面提升企业形象，促进全省经济高质量发展。</w:t>
            </w:r>
          </w:p>
          <w:p>
            <w:pPr>
              <w:adjustRightInd w:val="0"/>
              <w:snapToGrid w:val="0"/>
              <w:spacing w:line="520" w:lineRule="exact"/>
              <w:ind w:firstLine="482" w:firstLineChars="200"/>
              <w:rPr>
                <w:rFonts w:ascii="Times New Roman" w:hAnsi="Times New Roman" w:eastAsia="宋体"/>
                <w:b/>
                <w:bCs/>
                <w:color w:val="000000"/>
                <w:sz w:val="24"/>
              </w:rPr>
            </w:pPr>
            <w:r>
              <w:rPr>
                <w:rFonts w:hint="eastAsia" w:ascii="Times New Roman" w:hAnsi="Times New Roman" w:eastAsia="宋体"/>
                <w:b/>
                <w:bCs/>
                <w:color w:val="000000"/>
                <w:sz w:val="24"/>
              </w:rPr>
              <w:t>……</w:t>
            </w:r>
          </w:p>
          <w:p>
            <w:pPr>
              <w:adjustRightInd w:val="0"/>
              <w:snapToGrid w:val="0"/>
              <w:spacing w:line="520" w:lineRule="exact"/>
              <w:ind w:firstLine="482" w:firstLineChars="200"/>
              <w:rPr>
                <w:rFonts w:ascii="Times New Roman" w:hAnsi="Times New Roman" w:eastAsia="宋体"/>
                <w:b/>
                <w:bCs/>
                <w:color w:val="000000"/>
                <w:sz w:val="24"/>
              </w:rPr>
            </w:pPr>
            <w:r>
              <w:rPr>
                <w:rFonts w:hint="eastAsia" w:ascii="Times New Roman" w:hAnsi="Times New Roman" w:eastAsia="宋体"/>
                <w:b/>
                <w:bCs/>
                <w:color w:val="000000"/>
                <w:sz w:val="24"/>
              </w:rPr>
              <w:t>十六、其他行业无组织排放治理标准</w:t>
            </w:r>
          </w:p>
          <w:p>
            <w:pPr>
              <w:adjustRightInd w:val="0"/>
              <w:snapToGrid w:val="0"/>
              <w:spacing w:line="520" w:lineRule="exact"/>
              <w:ind w:firstLine="480" w:firstLineChars="200"/>
              <w:rPr>
                <w:rFonts w:ascii="Times New Roman" w:hAnsi="Times New Roman" w:eastAsia="宋体"/>
                <w:bCs/>
                <w:color w:val="000000"/>
                <w:sz w:val="24"/>
              </w:rPr>
            </w:pPr>
            <w:r>
              <w:rPr>
                <w:rFonts w:hint="eastAsia" w:ascii="Times New Roman" w:hAnsi="Times New Roman" w:eastAsia="宋体"/>
                <w:bCs/>
                <w:color w:val="000000"/>
                <w:sz w:val="24"/>
              </w:rPr>
              <w:t>（一）料场密闭治理</w:t>
            </w:r>
          </w:p>
          <w:p>
            <w:pPr>
              <w:adjustRightInd w:val="0"/>
              <w:snapToGrid w:val="0"/>
              <w:spacing w:line="520" w:lineRule="exact"/>
              <w:ind w:firstLine="480" w:firstLineChars="200"/>
              <w:rPr>
                <w:rFonts w:ascii="Times New Roman" w:hAnsi="Times New Roman" w:eastAsia="宋体"/>
                <w:bCs/>
                <w:color w:val="000000"/>
                <w:sz w:val="24"/>
              </w:rPr>
            </w:pPr>
            <w:r>
              <w:rPr>
                <w:rFonts w:ascii="Times New Roman" w:hAnsi="Times New Roman" w:eastAsia="宋体"/>
                <w:bCs/>
                <w:color w:val="000000"/>
                <w:sz w:val="24"/>
              </w:rPr>
              <w:t>1</w:t>
            </w:r>
            <w:r>
              <w:rPr>
                <w:rFonts w:hint="eastAsia" w:ascii="Times New Roman" w:hAnsi="Times New Roman" w:eastAsia="宋体"/>
                <w:bCs/>
                <w:color w:val="000000"/>
                <w:sz w:val="24"/>
              </w:rPr>
              <w:t>、所有物料（包括原辅材料、半成品、成品）进库存放，厂界内无露天堆放物料。料场安装喷干雾抑尘设施。</w:t>
            </w:r>
          </w:p>
          <w:p>
            <w:pPr>
              <w:adjustRightInd w:val="0"/>
              <w:snapToGrid w:val="0"/>
              <w:spacing w:line="520" w:lineRule="exact"/>
              <w:ind w:firstLine="480" w:firstLineChars="200"/>
              <w:rPr>
                <w:rFonts w:ascii="Times New Roman" w:hAnsi="Times New Roman" w:eastAsia="宋体"/>
                <w:bCs/>
                <w:color w:val="000000"/>
                <w:sz w:val="24"/>
              </w:rPr>
            </w:pPr>
            <w:r>
              <w:rPr>
                <w:rFonts w:ascii="Times New Roman" w:hAnsi="Times New Roman" w:eastAsia="宋体"/>
                <w:bCs/>
                <w:color w:val="000000"/>
                <w:sz w:val="24"/>
              </w:rPr>
              <w:t>2</w:t>
            </w:r>
            <w:r>
              <w:rPr>
                <w:rFonts w:hint="eastAsia" w:ascii="Times New Roman" w:hAnsi="Times New Roman" w:eastAsia="宋体"/>
                <w:bCs/>
                <w:color w:val="000000"/>
                <w:sz w:val="24"/>
              </w:rPr>
              <w:t>、密闭料场必须覆盖所有堆料区（堆放区、工作区和主通道区）。</w:t>
            </w:r>
          </w:p>
          <w:p>
            <w:pPr>
              <w:adjustRightInd w:val="0"/>
              <w:snapToGrid w:val="0"/>
              <w:spacing w:line="520" w:lineRule="exact"/>
              <w:ind w:firstLine="480" w:firstLineChars="200"/>
              <w:rPr>
                <w:rFonts w:ascii="Times New Roman" w:hAnsi="Times New Roman" w:eastAsia="宋体"/>
                <w:bCs/>
                <w:color w:val="000000"/>
                <w:sz w:val="24"/>
              </w:rPr>
            </w:pPr>
            <w:r>
              <w:rPr>
                <w:rFonts w:ascii="Times New Roman" w:hAnsi="Times New Roman" w:eastAsia="宋体"/>
                <w:bCs/>
                <w:color w:val="000000"/>
                <w:sz w:val="24"/>
              </w:rPr>
              <w:t>3</w:t>
            </w:r>
            <w:r>
              <w:rPr>
                <w:rFonts w:hint="eastAsia" w:ascii="Times New Roman" w:hAnsi="Times New Roman" w:eastAsia="宋体"/>
                <w:bCs/>
                <w:color w:val="000000"/>
                <w:sz w:val="24"/>
              </w:rPr>
              <w:t>、车间、料库四面密闭，通道口安装卷帘门、推拉门等封闭性良好且便于开关的硬质门，在无车辆出入时将门关闭，保证空气合理流动不产生湍流。</w:t>
            </w:r>
          </w:p>
          <w:p>
            <w:pPr>
              <w:adjustRightInd w:val="0"/>
              <w:snapToGrid w:val="0"/>
              <w:spacing w:line="520" w:lineRule="exact"/>
              <w:ind w:firstLine="480" w:firstLineChars="200"/>
              <w:rPr>
                <w:rFonts w:ascii="Times New Roman" w:hAnsi="Times New Roman" w:eastAsia="宋体"/>
                <w:bCs/>
                <w:color w:val="000000"/>
                <w:sz w:val="24"/>
              </w:rPr>
            </w:pPr>
            <w:r>
              <w:rPr>
                <w:rFonts w:ascii="Times New Roman" w:hAnsi="Times New Roman" w:eastAsia="宋体"/>
                <w:bCs/>
                <w:color w:val="000000"/>
                <w:sz w:val="24"/>
              </w:rPr>
              <w:t>4</w:t>
            </w:r>
            <w:r>
              <w:rPr>
                <w:rFonts w:hint="eastAsia" w:ascii="Times New Roman" w:hAnsi="Times New Roman" w:eastAsia="宋体"/>
                <w:bCs/>
                <w:color w:val="000000"/>
                <w:sz w:val="24"/>
              </w:rPr>
              <w:t>、所有地面完成硬化，并保证除物料堆放区域外没有明显积尘。</w:t>
            </w:r>
          </w:p>
          <w:p>
            <w:pPr>
              <w:adjustRightInd w:val="0"/>
              <w:snapToGrid w:val="0"/>
              <w:spacing w:line="520" w:lineRule="exact"/>
              <w:ind w:firstLine="480" w:firstLineChars="200"/>
              <w:rPr>
                <w:rFonts w:ascii="Times New Roman" w:hAnsi="Times New Roman" w:eastAsia="宋体"/>
                <w:bCs/>
                <w:color w:val="000000"/>
                <w:sz w:val="24"/>
              </w:rPr>
            </w:pPr>
            <w:r>
              <w:rPr>
                <w:rFonts w:ascii="Times New Roman" w:hAnsi="Times New Roman" w:eastAsia="宋体"/>
                <w:bCs/>
                <w:color w:val="000000"/>
                <w:sz w:val="24"/>
              </w:rPr>
              <w:t>5</w:t>
            </w:r>
            <w:r>
              <w:rPr>
                <w:rFonts w:hint="eastAsia" w:ascii="Times New Roman" w:hAnsi="Times New Roman" w:eastAsia="宋体"/>
                <w:bCs/>
                <w:color w:val="000000"/>
                <w:sz w:val="24"/>
              </w:rPr>
              <w:t>、每个下料口设置独立集气罩，配套的除尘设施不与其他工序混用。</w:t>
            </w:r>
          </w:p>
          <w:p>
            <w:pPr>
              <w:adjustRightInd w:val="0"/>
              <w:snapToGrid w:val="0"/>
              <w:spacing w:line="520" w:lineRule="exact"/>
              <w:ind w:firstLine="480" w:firstLineChars="200"/>
              <w:rPr>
                <w:rFonts w:ascii="Times New Roman" w:hAnsi="Times New Roman" w:eastAsia="宋体"/>
                <w:bCs/>
                <w:color w:val="000000"/>
                <w:sz w:val="24"/>
              </w:rPr>
            </w:pPr>
            <w:r>
              <w:rPr>
                <w:rFonts w:ascii="Times New Roman" w:hAnsi="Times New Roman" w:eastAsia="宋体"/>
                <w:bCs/>
                <w:color w:val="000000"/>
                <w:sz w:val="24"/>
              </w:rPr>
              <w:t>6</w:t>
            </w:r>
            <w:r>
              <w:rPr>
                <w:rFonts w:hint="eastAsia" w:ascii="Times New Roman" w:hAnsi="Times New Roman" w:eastAsia="宋体"/>
                <w:bCs/>
                <w:color w:val="000000"/>
                <w:sz w:val="24"/>
              </w:rPr>
              <w:t>、厂房车间各工序功能区，各功能区安装固定的喷干雾抑尘装置。</w:t>
            </w:r>
          </w:p>
          <w:p>
            <w:pPr>
              <w:adjustRightInd w:val="0"/>
              <w:snapToGrid w:val="0"/>
              <w:spacing w:line="520" w:lineRule="exact"/>
              <w:ind w:firstLine="480" w:firstLineChars="200"/>
              <w:rPr>
                <w:rFonts w:ascii="Times New Roman" w:hAnsi="Times New Roman" w:eastAsia="宋体"/>
                <w:bCs/>
                <w:color w:val="000000"/>
                <w:sz w:val="24"/>
              </w:rPr>
            </w:pPr>
            <w:r>
              <w:rPr>
                <w:rFonts w:ascii="Times New Roman" w:hAnsi="Times New Roman" w:eastAsia="宋体"/>
                <w:bCs/>
                <w:color w:val="000000"/>
                <w:sz w:val="24"/>
              </w:rPr>
              <w:t>7</w:t>
            </w:r>
            <w:r>
              <w:rPr>
                <w:rFonts w:hint="eastAsia" w:ascii="Times New Roman" w:hAnsi="Times New Roman" w:eastAsia="宋体"/>
                <w:bCs/>
                <w:color w:val="000000"/>
                <w:sz w:val="24"/>
              </w:rPr>
              <w:t>、厂区出口应安装车辆冲洗装置，保证出场车辆车轮车身干净、运行不起尘。</w:t>
            </w:r>
          </w:p>
          <w:p>
            <w:pPr>
              <w:adjustRightInd w:val="0"/>
              <w:snapToGrid w:val="0"/>
              <w:spacing w:line="520" w:lineRule="exact"/>
              <w:ind w:firstLine="480" w:firstLineChars="200"/>
              <w:rPr>
                <w:rFonts w:ascii="Times New Roman" w:hAnsi="Times New Roman" w:eastAsia="宋体"/>
                <w:bCs/>
                <w:color w:val="000000"/>
                <w:sz w:val="24"/>
              </w:rPr>
            </w:pPr>
            <w:r>
              <w:rPr>
                <w:rFonts w:hint="eastAsia" w:ascii="Times New Roman" w:hAnsi="Times New Roman" w:eastAsia="宋体"/>
                <w:bCs/>
                <w:color w:val="000000"/>
                <w:sz w:val="24"/>
              </w:rPr>
              <w:t>（二）物料输送环节治理</w:t>
            </w:r>
          </w:p>
          <w:p>
            <w:pPr>
              <w:adjustRightInd w:val="0"/>
              <w:snapToGrid w:val="0"/>
              <w:spacing w:line="520" w:lineRule="exact"/>
              <w:ind w:firstLine="480" w:firstLineChars="200"/>
              <w:rPr>
                <w:rFonts w:ascii="Times New Roman" w:hAnsi="Times New Roman" w:eastAsia="宋体"/>
                <w:sz w:val="24"/>
              </w:rPr>
            </w:pPr>
            <w:r>
              <w:rPr>
                <w:rFonts w:ascii="Times New Roman" w:hAnsi="Times New Roman" w:eastAsia="宋体" w:cs="Calibri"/>
                <w:sz w:val="24"/>
              </w:rPr>
              <w:t>1</w:t>
            </w:r>
            <w:r>
              <w:rPr>
                <w:rFonts w:hint="eastAsia" w:ascii="Times New Roman" w:hAnsi="Times New Roman" w:eastAsia="宋体"/>
                <w:sz w:val="24"/>
              </w:rPr>
              <w:t>、散状物料采用封闭式输送方式，皮带输送机受料点、卸料点应设置密闭罩，并配备除尘设施。</w:t>
            </w:r>
          </w:p>
          <w:p>
            <w:pPr>
              <w:adjustRightInd w:val="0"/>
              <w:snapToGrid w:val="0"/>
              <w:spacing w:line="520" w:lineRule="exact"/>
              <w:ind w:firstLine="480" w:firstLineChars="200"/>
              <w:rPr>
                <w:rFonts w:ascii="Times New Roman" w:hAnsi="Times New Roman" w:eastAsia="宋体" w:cs="Calibri"/>
                <w:sz w:val="24"/>
              </w:rPr>
            </w:pPr>
            <w:r>
              <w:rPr>
                <w:rFonts w:ascii="Times New Roman" w:hAnsi="Times New Roman" w:eastAsia="宋体" w:cs="Calibri"/>
                <w:sz w:val="24"/>
              </w:rPr>
              <w:t>2</w:t>
            </w:r>
            <w:r>
              <w:rPr>
                <w:rFonts w:hint="eastAsia" w:ascii="Times New Roman" w:hAnsi="Times New Roman" w:eastAsia="宋体" w:cs="Calibri"/>
                <w:sz w:val="24"/>
              </w:rPr>
              <w:t>、皮带输送机或物料提升机需在密闭廊道内运行，并在所有落料位置设置集尘装置及配备除尘系统。</w:t>
            </w:r>
          </w:p>
          <w:p>
            <w:pPr>
              <w:adjustRightInd w:val="0"/>
              <w:snapToGrid w:val="0"/>
              <w:spacing w:line="520" w:lineRule="exact"/>
              <w:ind w:firstLine="480" w:firstLineChars="200"/>
              <w:rPr>
                <w:rFonts w:ascii="Times New Roman" w:hAnsi="Times New Roman" w:eastAsia="宋体" w:cs="Calibri"/>
                <w:sz w:val="24"/>
              </w:rPr>
            </w:pPr>
            <w:r>
              <w:rPr>
                <w:rFonts w:ascii="Times New Roman" w:hAnsi="Times New Roman" w:eastAsia="宋体" w:cs="Calibri"/>
                <w:sz w:val="24"/>
              </w:rPr>
              <w:t>3</w:t>
            </w:r>
            <w:r>
              <w:rPr>
                <w:rFonts w:hint="eastAsia" w:ascii="Times New Roman" w:hAnsi="Times New Roman" w:eastAsia="宋体" w:cs="Calibri"/>
                <w:sz w:val="24"/>
              </w:rPr>
              <w:t>、运输车辆装载高度最高点不得超过车辆槽帮上沿</w:t>
            </w:r>
            <w:r>
              <w:rPr>
                <w:rFonts w:ascii="Times New Roman" w:hAnsi="Times New Roman" w:eastAsia="宋体" w:cs="Calibri"/>
                <w:sz w:val="24"/>
              </w:rPr>
              <w:t>40</w:t>
            </w:r>
            <w:r>
              <w:rPr>
                <w:rFonts w:hint="eastAsia" w:ascii="Times New Roman" w:hAnsi="Times New Roman" w:eastAsia="宋体" w:cs="Calibri"/>
                <w:sz w:val="24"/>
              </w:rPr>
              <w:t>厘米，两侧边缘应当低于槽帮上缘</w:t>
            </w:r>
            <w:r>
              <w:rPr>
                <w:rFonts w:ascii="Times New Roman" w:hAnsi="Times New Roman" w:eastAsia="宋体" w:cs="Calibri"/>
                <w:sz w:val="24"/>
              </w:rPr>
              <w:t>10</w:t>
            </w:r>
            <w:r>
              <w:rPr>
                <w:rFonts w:hint="eastAsia" w:ascii="Times New Roman" w:hAnsi="Times New Roman" w:eastAsia="宋体" w:cs="Calibri"/>
                <w:sz w:val="24"/>
              </w:rPr>
              <w:t>厘米，车斗应采用苫布覆盖，苫布边缘至少要遮住槽帮上沿以下</w:t>
            </w:r>
            <w:r>
              <w:rPr>
                <w:rFonts w:ascii="Times New Roman" w:hAnsi="Times New Roman" w:eastAsia="宋体" w:cs="Calibri"/>
                <w:sz w:val="24"/>
              </w:rPr>
              <w:t>15</w:t>
            </w:r>
            <w:r>
              <w:rPr>
                <w:rFonts w:hint="eastAsia" w:ascii="Times New Roman" w:hAnsi="Times New Roman" w:eastAsia="宋体" w:cs="Calibri"/>
                <w:sz w:val="24"/>
              </w:rPr>
              <w:t>厘米，禁止厂内露天转运散状物料。</w:t>
            </w:r>
          </w:p>
          <w:p>
            <w:pPr>
              <w:adjustRightInd w:val="0"/>
              <w:snapToGrid w:val="0"/>
              <w:spacing w:line="520" w:lineRule="exact"/>
              <w:ind w:firstLine="480" w:firstLineChars="200"/>
              <w:rPr>
                <w:rFonts w:ascii="Times New Roman" w:hAnsi="Times New Roman" w:eastAsia="宋体"/>
                <w:sz w:val="24"/>
              </w:rPr>
            </w:pPr>
            <w:r>
              <w:rPr>
                <w:rFonts w:ascii="Times New Roman" w:hAnsi="Times New Roman" w:eastAsia="宋体" w:cs="Calibri"/>
                <w:sz w:val="24"/>
              </w:rPr>
              <w:t>4</w:t>
            </w:r>
            <w:r>
              <w:rPr>
                <w:rFonts w:hint="eastAsia" w:ascii="Times New Roman" w:hAnsi="Times New Roman" w:eastAsia="宋体" w:cs="Calibri"/>
                <w:sz w:val="24"/>
              </w:rPr>
              <w:t>、除尘器卸灰不直接卸落到地面，卸灰区封闭。除尘灰采用气力输送、罐车等密闭方式运输；采用非</w:t>
            </w:r>
            <w:r>
              <w:rPr>
                <w:rFonts w:hint="eastAsia" w:ascii="Times New Roman" w:hAnsi="Times New Roman" w:eastAsia="宋体"/>
                <w:sz w:val="24"/>
              </w:rPr>
              <w:t>密闭方式运输的，车辆应苫盖，装卸车时应采取加湿等措施抑尘。</w:t>
            </w:r>
          </w:p>
          <w:p>
            <w:pPr>
              <w:adjustRightInd w:val="0"/>
              <w:snapToGrid w:val="0"/>
              <w:spacing w:line="520" w:lineRule="exact"/>
              <w:ind w:firstLine="480" w:firstLineChars="200"/>
              <w:rPr>
                <w:rFonts w:ascii="Times New Roman" w:hAnsi="Times New Roman" w:eastAsia="宋体"/>
                <w:sz w:val="24"/>
              </w:rPr>
            </w:pPr>
            <w:r>
              <w:rPr>
                <w:rFonts w:hint="eastAsia" w:ascii="Times New Roman" w:hAnsi="Times New Roman" w:eastAsia="宋体"/>
                <w:sz w:val="24"/>
              </w:rPr>
              <w:t>（三）生产环节治理</w:t>
            </w:r>
          </w:p>
          <w:p>
            <w:pPr>
              <w:adjustRightInd w:val="0"/>
              <w:snapToGrid w:val="0"/>
              <w:spacing w:line="520" w:lineRule="exact"/>
              <w:ind w:firstLine="480" w:firstLineChars="200"/>
              <w:rPr>
                <w:rFonts w:ascii="Times New Roman" w:hAnsi="Times New Roman" w:eastAsia="宋体" w:cs="Calibri"/>
                <w:sz w:val="24"/>
              </w:rPr>
            </w:pPr>
            <w:r>
              <w:rPr>
                <w:rFonts w:ascii="Times New Roman" w:hAnsi="Times New Roman" w:eastAsia="宋体" w:cs="Calibri"/>
                <w:sz w:val="24"/>
              </w:rPr>
              <w:t>1</w:t>
            </w:r>
            <w:r>
              <w:rPr>
                <w:rFonts w:hint="eastAsia" w:ascii="Times New Roman" w:hAnsi="Times New Roman" w:eastAsia="宋体" w:cs="Calibri"/>
                <w:sz w:val="24"/>
              </w:rPr>
              <w:t>、物料上料、破碎、筛分、混料等生产过程中的产尘点应在封闭的厂房内进行二次封闭，并安装集气设施和除尘设施。</w:t>
            </w:r>
          </w:p>
          <w:p>
            <w:pPr>
              <w:adjustRightInd w:val="0"/>
              <w:snapToGrid w:val="0"/>
              <w:spacing w:line="520" w:lineRule="exact"/>
              <w:ind w:firstLine="480" w:firstLineChars="200"/>
              <w:rPr>
                <w:rFonts w:ascii="Times New Roman" w:hAnsi="Times New Roman" w:eastAsia="宋体" w:cs="Calibri"/>
                <w:sz w:val="24"/>
              </w:rPr>
            </w:pPr>
            <w:r>
              <w:rPr>
                <w:rFonts w:ascii="Times New Roman" w:hAnsi="Times New Roman" w:eastAsia="宋体" w:cs="Calibri"/>
                <w:sz w:val="24"/>
              </w:rPr>
              <w:t>2</w:t>
            </w:r>
            <w:r>
              <w:rPr>
                <w:rFonts w:hint="eastAsia" w:ascii="Times New Roman" w:hAnsi="Times New Roman" w:eastAsia="宋体" w:cs="Calibri"/>
                <w:sz w:val="24"/>
              </w:rPr>
              <w:t>、在生产过程中的产生</w:t>
            </w:r>
            <w:r>
              <w:rPr>
                <w:rFonts w:ascii="Times New Roman" w:hAnsi="Times New Roman" w:eastAsia="宋体" w:cs="Calibri"/>
                <w:sz w:val="24"/>
              </w:rPr>
              <w:t>VOC</w:t>
            </w:r>
            <w:r>
              <w:rPr>
                <w:rFonts w:ascii="Times New Roman" w:hAnsi="Times New Roman" w:eastAsia="宋体" w:cs="Calibri"/>
                <w:sz w:val="24"/>
                <w:vertAlign w:val="subscript"/>
              </w:rPr>
              <w:t>S</w:t>
            </w:r>
            <w:r>
              <w:rPr>
                <w:rFonts w:hint="eastAsia" w:ascii="Times New Roman" w:hAnsi="Times New Roman" w:eastAsia="宋体" w:cs="Calibri"/>
                <w:sz w:val="24"/>
              </w:rPr>
              <w:t>的工序应在封闭的厂房内进行二次封闭，并安装集气设施和</w:t>
            </w:r>
            <w:r>
              <w:rPr>
                <w:rFonts w:ascii="Times New Roman" w:hAnsi="Times New Roman" w:eastAsia="宋体" w:cs="Calibri"/>
                <w:sz w:val="24"/>
              </w:rPr>
              <w:t>VOC</w:t>
            </w:r>
            <w:r>
              <w:rPr>
                <w:rFonts w:ascii="Times New Roman" w:hAnsi="Times New Roman" w:eastAsia="宋体" w:cs="Calibri"/>
                <w:sz w:val="24"/>
                <w:vertAlign w:val="subscript"/>
              </w:rPr>
              <w:t>S</w:t>
            </w:r>
            <w:r>
              <w:rPr>
                <w:rFonts w:hint="eastAsia" w:ascii="Times New Roman" w:hAnsi="Times New Roman" w:eastAsia="宋体" w:cs="Calibri"/>
                <w:sz w:val="24"/>
              </w:rPr>
              <w:t>处理设施。</w:t>
            </w:r>
          </w:p>
          <w:p>
            <w:pPr>
              <w:adjustRightInd w:val="0"/>
              <w:snapToGrid w:val="0"/>
              <w:spacing w:line="520" w:lineRule="exact"/>
              <w:ind w:firstLine="480" w:firstLineChars="200"/>
              <w:rPr>
                <w:rFonts w:ascii="Times New Roman" w:hAnsi="Times New Roman" w:eastAsia="宋体" w:cs="Calibri"/>
                <w:sz w:val="24"/>
              </w:rPr>
            </w:pPr>
            <w:r>
              <w:rPr>
                <w:rFonts w:ascii="Times New Roman" w:hAnsi="Times New Roman" w:eastAsia="宋体" w:cs="Calibri"/>
                <w:sz w:val="24"/>
              </w:rPr>
              <w:t>3</w:t>
            </w:r>
            <w:r>
              <w:rPr>
                <w:rFonts w:hint="eastAsia" w:ascii="Times New Roman" w:hAnsi="Times New Roman" w:eastAsia="宋体" w:cs="Calibri"/>
                <w:sz w:val="24"/>
              </w:rPr>
              <w:t>、禁止生产车间内散放原料，需采用全封闭式地下料仓，并配备完备的废气收集和处理系统，生产环节必须在密闭良好的车间内运行。</w:t>
            </w:r>
          </w:p>
          <w:p>
            <w:pPr>
              <w:adjustRightInd w:val="0"/>
              <w:snapToGrid w:val="0"/>
              <w:spacing w:line="520" w:lineRule="exact"/>
              <w:ind w:firstLine="480" w:firstLineChars="200"/>
              <w:rPr>
                <w:rFonts w:ascii="Times New Roman" w:hAnsi="Times New Roman" w:eastAsia="宋体"/>
                <w:sz w:val="24"/>
              </w:rPr>
            </w:pPr>
            <w:r>
              <w:rPr>
                <w:rFonts w:hint="eastAsia" w:ascii="Times New Roman" w:hAnsi="Times New Roman" w:eastAsia="宋体"/>
                <w:sz w:val="24"/>
              </w:rPr>
              <w:t>（四）厂区、车辆治理</w:t>
            </w:r>
          </w:p>
          <w:p>
            <w:pPr>
              <w:adjustRightInd w:val="0"/>
              <w:snapToGrid w:val="0"/>
              <w:spacing w:line="520" w:lineRule="exact"/>
              <w:ind w:firstLine="480" w:firstLineChars="200"/>
              <w:rPr>
                <w:rFonts w:ascii="Times New Roman" w:hAnsi="Times New Roman" w:eastAsia="宋体" w:cs="Calibri"/>
                <w:sz w:val="24"/>
              </w:rPr>
            </w:pPr>
            <w:r>
              <w:rPr>
                <w:rFonts w:ascii="Times New Roman" w:hAnsi="Times New Roman" w:eastAsia="宋体" w:cs="Calibri"/>
                <w:sz w:val="24"/>
              </w:rPr>
              <w:t>1</w:t>
            </w:r>
            <w:r>
              <w:rPr>
                <w:rFonts w:hint="eastAsia" w:ascii="Times New Roman" w:hAnsi="Times New Roman" w:eastAsia="宋体" w:cs="Calibri"/>
                <w:sz w:val="24"/>
              </w:rPr>
              <w:t>、厂区道路硬化，平整无破损，无积尘，厂区无裸露空地，闲置裸露空地绿化。</w:t>
            </w:r>
          </w:p>
          <w:p>
            <w:pPr>
              <w:adjustRightInd w:val="0"/>
              <w:snapToGrid w:val="0"/>
              <w:spacing w:line="520" w:lineRule="exact"/>
              <w:ind w:firstLine="480" w:firstLineChars="200"/>
              <w:rPr>
                <w:rFonts w:ascii="Times New Roman" w:hAnsi="Times New Roman" w:eastAsia="宋体" w:cs="Calibri"/>
                <w:sz w:val="24"/>
              </w:rPr>
            </w:pPr>
            <w:r>
              <w:rPr>
                <w:rFonts w:ascii="Times New Roman" w:hAnsi="Times New Roman" w:eastAsia="宋体" w:cs="Calibri"/>
                <w:sz w:val="24"/>
              </w:rPr>
              <w:t>2</w:t>
            </w:r>
            <w:r>
              <w:rPr>
                <w:rFonts w:hint="eastAsia" w:ascii="Times New Roman" w:hAnsi="Times New Roman" w:eastAsia="宋体" w:cs="Calibri"/>
                <w:sz w:val="24"/>
              </w:rPr>
              <w:t>、对厂区道路定期洒水清扫。</w:t>
            </w:r>
          </w:p>
          <w:p>
            <w:pPr>
              <w:adjustRightInd w:val="0"/>
              <w:snapToGrid w:val="0"/>
              <w:spacing w:line="520" w:lineRule="exact"/>
              <w:ind w:firstLine="480" w:firstLineChars="200"/>
              <w:rPr>
                <w:rFonts w:ascii="Times New Roman" w:hAnsi="Times New Roman" w:eastAsia="宋体" w:cs="Calibri"/>
                <w:sz w:val="24"/>
              </w:rPr>
            </w:pPr>
            <w:r>
              <w:rPr>
                <w:rFonts w:ascii="Times New Roman" w:hAnsi="Times New Roman" w:eastAsia="宋体" w:cs="Calibri"/>
                <w:sz w:val="24"/>
              </w:rPr>
              <w:t>3</w:t>
            </w:r>
            <w:r>
              <w:rPr>
                <w:rFonts w:hint="eastAsia" w:ascii="Times New Roman" w:hAnsi="Times New Roman" w:eastAsia="宋体" w:cs="Calibri"/>
                <w:sz w:val="24"/>
              </w:rPr>
              <w:t>、企业出厂口处配备高压清洗装置对所有车辆车轮、底盘进行冲洗，严禁带泥上路。洗车平台四周应设置洗车废水收集防治设施。</w:t>
            </w:r>
          </w:p>
          <w:p>
            <w:pPr>
              <w:adjustRightInd w:val="0"/>
              <w:snapToGrid w:val="0"/>
              <w:spacing w:line="520" w:lineRule="exact"/>
              <w:ind w:firstLine="480" w:firstLineChars="200"/>
              <w:rPr>
                <w:rFonts w:ascii="Times New Roman" w:hAnsi="Times New Roman" w:eastAsia="宋体"/>
                <w:sz w:val="24"/>
              </w:rPr>
            </w:pPr>
            <w:r>
              <w:rPr>
                <w:rFonts w:hint="eastAsia" w:ascii="Times New Roman" w:hAnsi="Times New Roman" w:eastAsia="宋体"/>
                <w:sz w:val="24"/>
              </w:rPr>
              <w:t>（五）建设完善监测系统</w:t>
            </w:r>
          </w:p>
          <w:p>
            <w:pPr>
              <w:adjustRightInd w:val="0"/>
              <w:snapToGrid w:val="0"/>
              <w:spacing w:line="520" w:lineRule="exact"/>
              <w:ind w:firstLine="480" w:firstLineChars="200"/>
              <w:rPr>
                <w:rFonts w:ascii="Times New Roman" w:hAnsi="Times New Roman" w:eastAsia="宋体"/>
                <w:sz w:val="24"/>
              </w:rPr>
            </w:pPr>
            <w:r>
              <w:rPr>
                <w:rFonts w:ascii="Times New Roman" w:hAnsi="Times New Roman" w:eastAsia="宋体" w:cs="Calibri"/>
                <w:sz w:val="24"/>
              </w:rPr>
              <w:t>1</w:t>
            </w:r>
            <w:r>
              <w:rPr>
                <w:rFonts w:hint="eastAsia" w:ascii="Times New Roman" w:hAnsi="Times New Roman" w:eastAsia="宋体"/>
                <w:sz w:val="24"/>
              </w:rPr>
              <w:t>、因企制宜安装视频、空气微站、降</w:t>
            </w:r>
            <w:r>
              <w:rPr>
                <w:rFonts w:hint="eastAsia" w:ascii="Times New Roman" w:hAnsi="Times New Roman" w:eastAsia="宋体" w:cs="Calibri"/>
                <w:sz w:val="24"/>
              </w:rPr>
              <w:t>尘缸、</w:t>
            </w:r>
            <w:r>
              <w:rPr>
                <w:rFonts w:ascii="Times New Roman" w:hAnsi="Times New Roman" w:eastAsia="宋体" w:cs="Calibri"/>
                <w:sz w:val="24"/>
              </w:rPr>
              <w:t>TSP</w:t>
            </w:r>
            <w:r>
              <w:rPr>
                <w:rFonts w:hint="eastAsia" w:ascii="Times New Roman" w:hAnsi="Times New Roman" w:eastAsia="宋体" w:cs="Calibri"/>
                <w:sz w:val="24"/>
              </w:rPr>
              <w:t>（总悬浮颗粒</w:t>
            </w:r>
            <w:r>
              <w:rPr>
                <w:rFonts w:hint="eastAsia" w:ascii="Times New Roman" w:hAnsi="Times New Roman" w:eastAsia="宋体"/>
                <w:sz w:val="24"/>
              </w:rPr>
              <w:t>物）等监控设施。</w:t>
            </w:r>
          </w:p>
          <w:p>
            <w:pPr>
              <w:pStyle w:val="35"/>
              <w:ind w:firstLine="480"/>
              <w:rPr>
                <w:rFonts w:ascii="Times New Roman" w:hAnsi="Times New Roman" w:eastAsia="宋体"/>
                <w:bCs/>
              </w:rPr>
            </w:pPr>
            <w:r>
              <w:rPr>
                <w:rFonts w:ascii="Times New Roman" w:hAnsi="Times New Roman" w:eastAsia="宋体" w:cs="Calibri"/>
              </w:rPr>
              <w:t>2</w:t>
            </w:r>
            <w:r>
              <w:rPr>
                <w:rFonts w:hint="eastAsia" w:ascii="Times New Roman" w:hAnsi="Times New Roman" w:eastAsia="宋体" w:cs="Calibri"/>
              </w:rPr>
              <w:t>、安装在线监测、监控和空气质量监测等综合监控信息平台，主要排放数据等应在企业显眼位置随时公开。</w:t>
            </w:r>
            <w:r>
              <w:rPr>
                <w:rFonts w:hint="eastAsia" w:ascii="Times New Roman" w:hAnsi="Times New Roman" w:eastAsia="宋体"/>
                <w:bCs/>
              </w:rPr>
              <w:t>”</w:t>
            </w:r>
          </w:p>
          <w:p>
            <w:pPr>
              <w:adjustRightInd w:val="0"/>
              <w:snapToGrid w:val="0"/>
              <w:spacing w:line="520" w:lineRule="exact"/>
              <w:ind w:firstLine="480" w:firstLineChars="200"/>
              <w:rPr>
                <w:rFonts w:ascii="Times New Roman" w:hAnsi="Times New Roman" w:eastAsia="宋体"/>
                <w:sz w:val="24"/>
              </w:rPr>
            </w:pPr>
            <w:r>
              <w:rPr>
                <w:rFonts w:hint="eastAsia" w:ascii="Times New Roman" w:hAnsi="Times New Roman" w:eastAsia="宋体"/>
                <w:sz w:val="24"/>
              </w:rPr>
              <w:t>本项目要严格按照河南省</w:t>
            </w:r>
            <w:r>
              <w:rPr>
                <w:rFonts w:ascii="Times New Roman" w:hAnsi="Times New Roman" w:eastAsia="宋体" w:cs="Calibri"/>
                <w:sz w:val="24"/>
              </w:rPr>
              <w:t>2019</w:t>
            </w:r>
            <w:r>
              <w:rPr>
                <w:rFonts w:hint="eastAsia" w:ascii="Times New Roman" w:hAnsi="Times New Roman" w:eastAsia="宋体"/>
                <w:sz w:val="24"/>
              </w:rPr>
              <w:t>年工业企业无组织排放治理方案执行，进一步的降低对周围环境的影响。</w:t>
            </w:r>
          </w:p>
          <w:p>
            <w:pPr>
              <w:adjustRightInd w:val="0"/>
              <w:snapToGrid w:val="0"/>
              <w:spacing w:line="520" w:lineRule="exact"/>
              <w:rPr>
                <w:rFonts w:ascii="Times New Roman" w:hAnsi="Times New Roman" w:eastAsia="宋体"/>
                <w:sz w:val="24"/>
              </w:rPr>
            </w:pPr>
          </w:p>
          <w:p>
            <w:pPr>
              <w:adjustRightInd w:val="0"/>
              <w:snapToGrid w:val="0"/>
              <w:spacing w:line="520" w:lineRule="exact"/>
              <w:rPr>
                <w:rFonts w:ascii="Times New Roman" w:hAnsi="Times New Roman" w:eastAsia="宋体"/>
                <w:sz w:val="24"/>
              </w:rPr>
            </w:pPr>
          </w:p>
          <w:p>
            <w:pPr>
              <w:adjustRightInd w:val="0"/>
              <w:snapToGrid w:val="0"/>
              <w:spacing w:line="520" w:lineRule="exact"/>
              <w:rPr>
                <w:rFonts w:ascii="Times New Roman" w:hAnsi="Times New Roman" w:eastAsia="宋体"/>
                <w:sz w:val="24"/>
              </w:rPr>
            </w:pPr>
          </w:p>
          <w:p>
            <w:pPr>
              <w:adjustRightInd w:val="0"/>
              <w:snapToGrid w:val="0"/>
              <w:spacing w:line="520" w:lineRule="exact"/>
              <w:rPr>
                <w:rFonts w:ascii="Times New Roman" w:hAnsi="Times New Roman" w:eastAsia="宋体"/>
                <w:sz w:val="24"/>
              </w:rPr>
            </w:pPr>
          </w:p>
          <w:p>
            <w:pPr>
              <w:adjustRightInd w:val="0"/>
              <w:snapToGrid w:val="0"/>
              <w:spacing w:line="520" w:lineRule="exact"/>
              <w:rPr>
                <w:rFonts w:ascii="Times New Roman" w:hAnsi="Times New Roman" w:eastAsia="宋体"/>
                <w:sz w:val="24"/>
              </w:rPr>
            </w:pPr>
          </w:p>
        </w:tc>
      </w:tr>
    </w:tbl>
    <w:p>
      <w:pPr>
        <w:spacing w:line="360" w:lineRule="auto"/>
        <w:rPr>
          <w:rFonts w:eastAsia="黑体"/>
          <w:b/>
          <w:sz w:val="30"/>
        </w:rPr>
      </w:pPr>
    </w:p>
    <w:p>
      <w:pPr>
        <w:spacing w:line="360" w:lineRule="auto"/>
        <w:rPr>
          <w:rFonts w:eastAsia="黑体"/>
          <w:b/>
          <w:sz w:val="30"/>
        </w:rPr>
      </w:pPr>
      <w:r>
        <w:rPr>
          <w:rFonts w:eastAsia="黑体"/>
          <w:b/>
          <w:sz w:val="30"/>
        </w:rPr>
        <w:t>环境质量状况</w:t>
      </w:r>
    </w:p>
    <w:tbl>
      <w:tblPr>
        <w:tblStyle w:val="23"/>
        <w:tblW w:w="0" w:type="auto"/>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9286"/>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9286" w:type="dxa"/>
          </w:tcPr>
          <w:p>
            <w:pPr>
              <w:adjustRightInd w:val="0"/>
              <w:snapToGrid w:val="0"/>
              <w:spacing w:beforeLines="50" w:line="360" w:lineRule="auto"/>
              <w:rPr>
                <w:rFonts w:ascii="Times New Roman" w:hAnsi="Times New Roman"/>
                <w:b/>
                <w:sz w:val="28"/>
                <w:szCs w:val="28"/>
              </w:rPr>
            </w:pPr>
            <w:r>
              <w:rPr>
                <w:rFonts w:ascii="Times New Roman" w:hAnsi="Times New Roman"/>
                <w:b/>
                <w:sz w:val="28"/>
                <w:szCs w:val="28"/>
              </w:rPr>
              <w:t>建设项目所在地区域环境质量现状及主要环境问题(环境空气、地面水、地下水、声环境、生态环境等)</w:t>
            </w:r>
          </w:p>
          <w:p>
            <w:pPr>
              <w:pStyle w:val="13"/>
              <w:spacing w:after="0" w:line="520" w:lineRule="exact"/>
              <w:ind w:left="0" w:leftChars="0" w:firstLine="482" w:firstLineChars="200"/>
              <w:rPr>
                <w:rFonts w:ascii="Times New Roman" w:hAnsi="Times New Roman"/>
                <w:b/>
                <w:sz w:val="24"/>
              </w:rPr>
            </w:pPr>
            <w:r>
              <w:rPr>
                <w:rFonts w:hint="eastAsia"/>
                <w:b/>
                <w:sz w:val="24"/>
                <w:lang w:val="en-US" w:eastAsia="zh-CN"/>
              </w:rPr>
              <w:t>1</w:t>
            </w:r>
            <w:r>
              <w:rPr>
                <w:rFonts w:ascii="Times New Roman" w:hAnsi="Times New Roman"/>
                <w:b/>
                <w:sz w:val="24"/>
              </w:rPr>
              <w:t>、</w:t>
            </w:r>
            <w:r>
              <w:rPr>
                <w:rFonts w:hint="eastAsia"/>
                <w:b/>
                <w:sz w:val="24"/>
                <w:lang w:eastAsia="zh-CN"/>
              </w:rPr>
              <w:t>环境空气</w:t>
            </w:r>
            <w:r>
              <w:rPr>
                <w:rFonts w:ascii="Times New Roman" w:hAnsi="Times New Roman"/>
                <w:b/>
                <w:sz w:val="24"/>
              </w:rPr>
              <w:t>环境质量现状</w:t>
            </w:r>
          </w:p>
          <w:p>
            <w:pPr>
              <w:spacing w:line="520" w:lineRule="exact"/>
              <w:ind w:firstLine="480"/>
              <w:rPr>
                <w:rFonts w:hint="default" w:ascii="Times New Roman" w:hAnsi="Times New Roman" w:cs="Times New Roman"/>
                <w:bCs/>
                <w:color w:val="000000"/>
                <w:spacing w:val="2"/>
                <w:sz w:val="24"/>
              </w:rPr>
            </w:pPr>
            <w:r>
              <w:rPr>
                <w:rFonts w:hint="default" w:ascii="Times New Roman" w:hAnsi="Times New Roman" w:cs="Times New Roman"/>
                <w:bCs/>
                <w:color w:val="000000"/>
                <w:spacing w:val="2"/>
                <w:sz w:val="24"/>
              </w:rPr>
              <w:t>根据环境空气质量功能区划分，项目所在地应为二类功能区。环境空气质量执行《环境空气质量标准》（GB3095-2012）中规定的二级标准。</w:t>
            </w:r>
          </w:p>
          <w:p>
            <w:pPr>
              <w:spacing w:line="520" w:lineRule="exact"/>
              <w:ind w:firstLine="480"/>
              <w:rPr>
                <w:rFonts w:ascii="Times New Roman" w:hAnsi="Times New Roman" w:eastAsia="宋体" w:cs="Times New Roman"/>
                <w:bCs/>
                <w:sz w:val="24"/>
                <w:szCs w:val="24"/>
              </w:rPr>
            </w:pPr>
            <w:r>
              <w:rPr>
                <w:rFonts w:ascii="Times New Roman" w:hAnsi="Times New Roman" w:eastAsia="宋体" w:cs="Times New Roman"/>
                <w:bCs/>
                <w:sz w:val="24"/>
                <w:szCs w:val="24"/>
              </w:rPr>
              <w:t>（1）评价因子、数据来源、评价内容及评价方法</w:t>
            </w:r>
          </w:p>
          <w:p>
            <w:pPr>
              <w:spacing w:line="520" w:lineRule="exact"/>
              <w:ind w:firstLine="480"/>
              <w:rPr>
                <w:rFonts w:ascii="Times New Roman" w:hAnsi="Times New Roman" w:eastAsia="宋体" w:cs="Times New Roman"/>
                <w:bCs/>
                <w:sz w:val="24"/>
                <w:szCs w:val="24"/>
              </w:rPr>
            </w:pPr>
            <w:r>
              <w:rPr>
                <w:rFonts w:ascii="Times New Roman" w:hAnsi="Times New Roman" w:eastAsia="宋体" w:cs="Times New Roman"/>
                <w:bCs/>
                <w:sz w:val="24"/>
                <w:szCs w:val="24"/>
              </w:rPr>
              <w:t>A、评价因子</w:t>
            </w:r>
          </w:p>
          <w:p>
            <w:pPr>
              <w:spacing w:line="520" w:lineRule="exact"/>
              <w:ind w:firstLine="480"/>
              <w:rPr>
                <w:rFonts w:ascii="Times New Roman" w:hAnsi="Times New Roman" w:eastAsia="宋体" w:cs="Times New Roman"/>
                <w:bCs/>
                <w:sz w:val="24"/>
                <w:szCs w:val="24"/>
              </w:rPr>
            </w:pPr>
            <w:r>
              <w:rPr>
                <w:rFonts w:ascii="Times New Roman" w:hAnsi="Times New Roman" w:eastAsia="宋体" w:cs="Times New Roman"/>
                <w:bCs/>
                <w:sz w:val="24"/>
                <w:szCs w:val="24"/>
              </w:rPr>
              <w:t>根据《环境影响评价技术导则  大气环境》（HJ2.2-2018）要求，基于本项目特点，以及评价区域环境质量特征和当地环境管理要求，选取环境《环境空气质量标准》（GB3095-2012）中基本项目评价因子，选取评价范围内与本项目相关的有环境质量标准的评价因子作为其他评价因子。</w:t>
            </w:r>
          </w:p>
          <w:p>
            <w:pPr>
              <w:spacing w:line="520" w:lineRule="exact"/>
              <w:ind w:firstLine="480"/>
              <w:rPr>
                <w:rFonts w:ascii="Times New Roman" w:hAnsi="Times New Roman" w:eastAsia="宋体" w:cs="Times New Roman"/>
                <w:bCs/>
                <w:sz w:val="24"/>
                <w:szCs w:val="24"/>
              </w:rPr>
            </w:pPr>
            <w:r>
              <w:rPr>
                <w:rFonts w:ascii="Times New Roman" w:hAnsi="Times New Roman" w:eastAsia="宋体" w:cs="Times New Roman"/>
                <w:bCs/>
                <w:sz w:val="24"/>
                <w:szCs w:val="24"/>
              </w:rPr>
              <w:t>本项目现状评价因子：SO</w:t>
            </w:r>
            <w:r>
              <w:rPr>
                <w:rFonts w:ascii="Times New Roman" w:hAnsi="Times New Roman" w:eastAsia="宋体" w:cs="Times New Roman"/>
                <w:bCs/>
                <w:sz w:val="24"/>
                <w:szCs w:val="24"/>
                <w:vertAlign w:val="subscript"/>
              </w:rPr>
              <w:t>2</w:t>
            </w:r>
            <w:r>
              <w:rPr>
                <w:rFonts w:ascii="Times New Roman" w:hAnsi="Times New Roman" w:eastAsia="宋体" w:cs="Times New Roman"/>
                <w:bCs/>
                <w:sz w:val="24"/>
                <w:szCs w:val="24"/>
              </w:rPr>
              <w:t>、NO</w:t>
            </w:r>
            <w:r>
              <w:rPr>
                <w:rFonts w:ascii="Times New Roman" w:hAnsi="Times New Roman" w:eastAsia="宋体" w:cs="Times New Roman"/>
                <w:bCs/>
                <w:sz w:val="24"/>
                <w:szCs w:val="24"/>
                <w:vertAlign w:val="subscript"/>
              </w:rPr>
              <w:t>2</w:t>
            </w:r>
            <w:r>
              <w:rPr>
                <w:rFonts w:ascii="Times New Roman" w:hAnsi="Times New Roman" w:eastAsia="宋体" w:cs="Times New Roman"/>
                <w:bCs/>
                <w:sz w:val="24"/>
                <w:szCs w:val="24"/>
              </w:rPr>
              <w:t>、PM</w:t>
            </w:r>
            <w:r>
              <w:rPr>
                <w:rFonts w:ascii="Times New Roman" w:hAnsi="Times New Roman" w:eastAsia="宋体" w:cs="Times New Roman"/>
                <w:bCs/>
                <w:sz w:val="24"/>
                <w:szCs w:val="24"/>
                <w:vertAlign w:val="subscript"/>
              </w:rPr>
              <w:t>10</w:t>
            </w:r>
            <w:r>
              <w:rPr>
                <w:rFonts w:ascii="Times New Roman" w:hAnsi="Times New Roman" w:eastAsia="宋体" w:cs="Times New Roman"/>
                <w:bCs/>
                <w:sz w:val="24"/>
                <w:szCs w:val="24"/>
              </w:rPr>
              <w:t>、PM</w:t>
            </w:r>
            <w:r>
              <w:rPr>
                <w:rFonts w:ascii="Times New Roman" w:hAnsi="Times New Roman" w:eastAsia="宋体" w:cs="Times New Roman"/>
                <w:bCs/>
                <w:sz w:val="24"/>
                <w:szCs w:val="24"/>
                <w:vertAlign w:val="subscript"/>
              </w:rPr>
              <w:t>2.5</w:t>
            </w:r>
            <w:r>
              <w:rPr>
                <w:rFonts w:ascii="Times New Roman" w:hAnsi="Times New Roman" w:eastAsia="宋体" w:cs="Times New Roman"/>
                <w:bCs/>
                <w:sz w:val="24"/>
                <w:szCs w:val="24"/>
              </w:rPr>
              <w:t>、CO、O</w:t>
            </w:r>
            <w:r>
              <w:rPr>
                <w:rFonts w:ascii="Times New Roman" w:hAnsi="Times New Roman" w:eastAsia="宋体" w:cs="Times New Roman"/>
                <w:bCs/>
                <w:sz w:val="24"/>
                <w:szCs w:val="24"/>
                <w:vertAlign w:val="subscript"/>
              </w:rPr>
              <w:t>3</w:t>
            </w:r>
            <w:r>
              <w:rPr>
                <w:rFonts w:ascii="Times New Roman" w:hAnsi="Times New Roman" w:eastAsia="宋体" w:cs="Times New Roman"/>
                <w:bCs/>
                <w:sz w:val="24"/>
                <w:szCs w:val="24"/>
              </w:rPr>
              <w:t>；</w:t>
            </w:r>
          </w:p>
          <w:p>
            <w:pPr>
              <w:spacing w:line="520" w:lineRule="exact"/>
              <w:ind w:firstLine="480"/>
              <w:rPr>
                <w:rFonts w:ascii="Times New Roman" w:hAnsi="Times New Roman" w:eastAsia="宋体" w:cs="Times New Roman"/>
                <w:bCs/>
                <w:sz w:val="24"/>
                <w:szCs w:val="24"/>
              </w:rPr>
            </w:pPr>
            <w:r>
              <w:rPr>
                <w:rFonts w:ascii="Times New Roman" w:hAnsi="Times New Roman" w:eastAsia="宋体" w:cs="Times New Roman"/>
                <w:bCs/>
                <w:sz w:val="24"/>
                <w:szCs w:val="24"/>
              </w:rPr>
              <w:t>B、数据来源</w:t>
            </w:r>
          </w:p>
          <w:p>
            <w:pPr>
              <w:spacing w:line="520" w:lineRule="exact"/>
              <w:ind w:firstLine="480"/>
              <w:rPr>
                <w:rFonts w:ascii="Times New Roman" w:hAnsi="Times New Roman" w:eastAsia="宋体" w:cs="Times New Roman"/>
                <w:bCs/>
                <w:sz w:val="24"/>
                <w:szCs w:val="24"/>
              </w:rPr>
            </w:pPr>
            <w:r>
              <w:rPr>
                <w:rFonts w:hint="eastAsia" w:ascii="宋体" w:hAnsi="宋体" w:eastAsia="宋体" w:cs="宋体"/>
                <w:bCs/>
                <w:sz w:val="24"/>
                <w:szCs w:val="24"/>
              </w:rPr>
              <w:t>①</w:t>
            </w:r>
            <w:r>
              <w:rPr>
                <w:rFonts w:ascii="Times New Roman" w:hAnsi="Times New Roman" w:eastAsia="宋体" w:cs="Times New Roman"/>
                <w:bCs/>
                <w:sz w:val="24"/>
                <w:szCs w:val="24"/>
              </w:rPr>
              <w:t>区域环境空气质量达标情况根据《</w:t>
            </w:r>
            <w:r>
              <w:rPr>
                <w:rFonts w:hint="eastAsia" w:ascii="Times New Roman" w:hAnsi="Times New Roman" w:eastAsia="宋体" w:cs="Times New Roman"/>
                <w:bCs/>
                <w:sz w:val="24"/>
                <w:szCs w:val="24"/>
                <w:lang w:val="en-US" w:eastAsia="zh-CN"/>
              </w:rPr>
              <w:t>2019</w:t>
            </w:r>
            <w:r>
              <w:rPr>
                <w:rFonts w:hint="eastAsia" w:ascii="Times New Roman" w:hAnsi="Times New Roman" w:eastAsia="宋体" w:cs="Times New Roman"/>
                <w:bCs/>
                <w:sz w:val="24"/>
                <w:szCs w:val="24"/>
              </w:rPr>
              <w:t>平顶山</w:t>
            </w:r>
            <w:r>
              <w:rPr>
                <w:rFonts w:ascii="Times New Roman" w:hAnsi="Times New Roman" w:eastAsia="宋体" w:cs="Times New Roman"/>
                <w:bCs/>
                <w:sz w:val="24"/>
                <w:szCs w:val="24"/>
              </w:rPr>
              <w:t>市环境空气常规监测》中数据确定；</w:t>
            </w:r>
          </w:p>
          <w:p>
            <w:pPr>
              <w:spacing w:line="520" w:lineRule="exact"/>
              <w:ind w:firstLine="480"/>
              <w:rPr>
                <w:rFonts w:ascii="Times New Roman" w:hAnsi="Times New Roman" w:eastAsia="宋体" w:cs="Times New Roman"/>
                <w:bCs/>
                <w:sz w:val="24"/>
                <w:szCs w:val="24"/>
              </w:rPr>
            </w:pPr>
            <w:r>
              <w:rPr>
                <w:rFonts w:hint="eastAsia" w:ascii="宋体" w:hAnsi="宋体" w:eastAsia="宋体" w:cs="宋体"/>
                <w:bCs/>
                <w:sz w:val="24"/>
                <w:szCs w:val="24"/>
              </w:rPr>
              <w:t>②</w:t>
            </w:r>
            <w:r>
              <w:rPr>
                <w:rFonts w:ascii="Times New Roman" w:hAnsi="Times New Roman" w:eastAsia="宋体" w:cs="Times New Roman"/>
                <w:bCs/>
                <w:sz w:val="24"/>
                <w:szCs w:val="24"/>
              </w:rPr>
              <w:t>基本评价因子采用</w:t>
            </w:r>
            <w:r>
              <w:rPr>
                <w:rFonts w:hint="eastAsia" w:ascii="Times New Roman" w:hAnsi="Times New Roman" w:eastAsia="宋体" w:cs="Times New Roman"/>
                <w:bCs/>
                <w:sz w:val="24"/>
                <w:szCs w:val="24"/>
              </w:rPr>
              <w:t>平顶山</w:t>
            </w:r>
            <w:r>
              <w:rPr>
                <w:rFonts w:ascii="Times New Roman" w:hAnsi="Times New Roman" w:eastAsia="宋体" w:cs="Times New Roman"/>
                <w:bCs/>
                <w:sz w:val="24"/>
                <w:szCs w:val="24"/>
              </w:rPr>
              <w:t>市环境空气常规监测的SO</w:t>
            </w:r>
            <w:r>
              <w:rPr>
                <w:rFonts w:ascii="Times New Roman" w:hAnsi="Times New Roman" w:eastAsia="宋体" w:cs="Times New Roman"/>
                <w:bCs/>
                <w:sz w:val="24"/>
                <w:szCs w:val="24"/>
                <w:vertAlign w:val="subscript"/>
              </w:rPr>
              <w:t>2</w:t>
            </w:r>
            <w:r>
              <w:rPr>
                <w:rFonts w:ascii="Times New Roman" w:hAnsi="Times New Roman" w:eastAsia="宋体" w:cs="Times New Roman"/>
                <w:bCs/>
                <w:sz w:val="24"/>
                <w:szCs w:val="24"/>
              </w:rPr>
              <w:t>、NO</w:t>
            </w:r>
            <w:r>
              <w:rPr>
                <w:rFonts w:ascii="Times New Roman" w:hAnsi="Times New Roman" w:eastAsia="宋体" w:cs="Times New Roman"/>
                <w:bCs/>
                <w:sz w:val="24"/>
                <w:szCs w:val="24"/>
                <w:vertAlign w:val="subscript"/>
              </w:rPr>
              <w:t>2</w:t>
            </w:r>
            <w:r>
              <w:rPr>
                <w:rFonts w:ascii="Times New Roman" w:hAnsi="Times New Roman" w:eastAsia="宋体" w:cs="Times New Roman"/>
                <w:bCs/>
                <w:sz w:val="24"/>
                <w:szCs w:val="24"/>
              </w:rPr>
              <w:t>、PM</w:t>
            </w:r>
            <w:r>
              <w:rPr>
                <w:rFonts w:ascii="Times New Roman" w:hAnsi="Times New Roman" w:eastAsia="宋体" w:cs="Times New Roman"/>
                <w:bCs/>
                <w:sz w:val="24"/>
                <w:szCs w:val="24"/>
                <w:vertAlign w:val="subscript"/>
              </w:rPr>
              <w:t>10</w:t>
            </w:r>
            <w:r>
              <w:rPr>
                <w:rFonts w:ascii="Times New Roman" w:hAnsi="Times New Roman" w:eastAsia="宋体" w:cs="Times New Roman"/>
                <w:bCs/>
                <w:sz w:val="24"/>
                <w:szCs w:val="24"/>
              </w:rPr>
              <w:t>、PM</w:t>
            </w:r>
            <w:r>
              <w:rPr>
                <w:rFonts w:ascii="Times New Roman" w:hAnsi="Times New Roman" w:eastAsia="宋体" w:cs="Times New Roman"/>
                <w:bCs/>
                <w:sz w:val="24"/>
                <w:szCs w:val="24"/>
                <w:vertAlign w:val="subscript"/>
              </w:rPr>
              <w:t>2.5</w:t>
            </w:r>
            <w:r>
              <w:rPr>
                <w:rFonts w:ascii="Times New Roman" w:hAnsi="Times New Roman" w:eastAsia="宋体" w:cs="Times New Roman"/>
                <w:bCs/>
                <w:sz w:val="24"/>
                <w:szCs w:val="24"/>
              </w:rPr>
              <w:t>、CO、O</w:t>
            </w:r>
            <w:r>
              <w:rPr>
                <w:rFonts w:ascii="Times New Roman" w:hAnsi="Times New Roman" w:eastAsia="宋体" w:cs="Times New Roman"/>
                <w:bCs/>
                <w:sz w:val="24"/>
                <w:szCs w:val="24"/>
                <w:vertAlign w:val="subscript"/>
              </w:rPr>
              <w:t>3</w:t>
            </w:r>
            <w:r>
              <w:rPr>
                <w:rFonts w:ascii="Times New Roman" w:hAnsi="Times New Roman" w:eastAsia="宋体" w:cs="Times New Roman"/>
                <w:bCs/>
                <w:sz w:val="24"/>
                <w:szCs w:val="24"/>
              </w:rPr>
              <w:t>等监测数据的统计结果，进行分析；</w:t>
            </w:r>
          </w:p>
          <w:p>
            <w:pPr>
              <w:spacing w:line="520" w:lineRule="exact"/>
              <w:ind w:firstLine="480"/>
              <w:rPr>
                <w:rFonts w:ascii="Times New Roman" w:hAnsi="Times New Roman" w:eastAsia="宋体" w:cs="Times New Roman"/>
                <w:bCs/>
                <w:sz w:val="24"/>
                <w:szCs w:val="24"/>
              </w:rPr>
            </w:pPr>
            <w:r>
              <w:rPr>
                <w:rFonts w:ascii="Times New Roman" w:hAnsi="Times New Roman" w:eastAsia="宋体" w:cs="Times New Roman"/>
                <w:bCs/>
                <w:sz w:val="24"/>
                <w:szCs w:val="24"/>
              </w:rPr>
              <w:t>C、评价内容</w:t>
            </w:r>
          </w:p>
          <w:p>
            <w:pPr>
              <w:spacing w:line="520" w:lineRule="exact"/>
              <w:ind w:firstLine="480"/>
              <w:rPr>
                <w:rFonts w:ascii="Times New Roman" w:hAnsi="Times New Roman" w:eastAsia="宋体" w:cs="Times New Roman"/>
                <w:bCs/>
                <w:sz w:val="24"/>
                <w:szCs w:val="24"/>
              </w:rPr>
            </w:pPr>
            <w:r>
              <w:rPr>
                <w:rFonts w:hint="eastAsia" w:ascii="宋体" w:hAnsi="宋体" w:eastAsia="宋体" w:cs="宋体"/>
                <w:bCs/>
                <w:sz w:val="24"/>
                <w:szCs w:val="24"/>
              </w:rPr>
              <w:t>①</w:t>
            </w:r>
            <w:r>
              <w:rPr>
                <w:rFonts w:ascii="Times New Roman" w:hAnsi="Times New Roman" w:eastAsia="宋体" w:cs="Times New Roman"/>
                <w:bCs/>
                <w:sz w:val="24"/>
                <w:szCs w:val="24"/>
              </w:rPr>
              <w:t>对项目所在区域城市环境空气质量达标情况进行判断；</w:t>
            </w:r>
          </w:p>
          <w:p>
            <w:pPr>
              <w:spacing w:line="520" w:lineRule="exact"/>
              <w:ind w:firstLine="480"/>
              <w:rPr>
                <w:rFonts w:ascii="Times New Roman" w:hAnsi="Times New Roman" w:eastAsia="宋体" w:cs="Times New Roman"/>
                <w:bCs/>
                <w:sz w:val="24"/>
                <w:szCs w:val="24"/>
              </w:rPr>
            </w:pPr>
            <w:r>
              <w:rPr>
                <w:rFonts w:hint="eastAsia" w:ascii="宋体" w:hAnsi="宋体" w:eastAsia="宋体" w:cs="宋体"/>
                <w:bCs/>
                <w:sz w:val="24"/>
                <w:szCs w:val="24"/>
              </w:rPr>
              <w:t>②</w:t>
            </w:r>
            <w:r>
              <w:rPr>
                <w:rFonts w:ascii="Times New Roman" w:hAnsi="Times New Roman" w:eastAsia="宋体" w:cs="Times New Roman"/>
                <w:bCs/>
                <w:sz w:val="24"/>
                <w:szCs w:val="24"/>
              </w:rPr>
              <w:t>对于长期监测数据的现状评价内容，按HJ 663中的统计方法对各污染物的年评价指标进行环境质量现状评价。对于超标的污染物，计算其超标倍数和超标率。</w:t>
            </w:r>
          </w:p>
          <w:p>
            <w:pPr>
              <w:spacing w:line="520" w:lineRule="exact"/>
              <w:ind w:firstLine="480"/>
              <w:rPr>
                <w:rFonts w:ascii="Times New Roman" w:hAnsi="Times New Roman" w:eastAsia="宋体" w:cs="Times New Roman"/>
                <w:bCs/>
                <w:sz w:val="24"/>
                <w:szCs w:val="24"/>
              </w:rPr>
            </w:pPr>
            <w:r>
              <w:rPr>
                <w:rFonts w:ascii="Times New Roman" w:hAnsi="Times New Roman" w:eastAsia="宋体" w:cs="Times New Roman"/>
                <w:bCs/>
                <w:sz w:val="24"/>
                <w:szCs w:val="24"/>
              </w:rPr>
              <w:t>D、评价方法</w:t>
            </w:r>
          </w:p>
          <w:p>
            <w:pPr>
              <w:spacing w:line="520" w:lineRule="exact"/>
              <w:ind w:firstLine="480"/>
              <w:rPr>
                <w:rFonts w:ascii="Times New Roman" w:hAnsi="Times New Roman" w:eastAsia="宋体" w:cs="Times New Roman"/>
                <w:bCs/>
                <w:sz w:val="24"/>
                <w:szCs w:val="24"/>
              </w:rPr>
            </w:pPr>
            <w:r>
              <w:rPr>
                <w:rFonts w:ascii="Times New Roman" w:hAnsi="Times New Roman" w:eastAsia="宋体" w:cs="Times New Roman"/>
                <w:bCs/>
                <w:sz w:val="24"/>
                <w:szCs w:val="24"/>
              </w:rPr>
              <w:t>环境空气质量现状评价方法采用统计监测浓度范围，同时计算其超标率及最大值占标率。单因子最大值占标率公式如下：</w:t>
            </w:r>
          </w:p>
          <w:p>
            <w:pPr>
              <w:spacing w:line="520" w:lineRule="exact"/>
              <w:ind w:firstLine="480"/>
              <w:rPr>
                <w:rFonts w:ascii="Times New Roman" w:hAnsi="Times New Roman" w:eastAsia="宋体" w:cs="Times New Roman"/>
                <w:bCs/>
                <w:sz w:val="24"/>
                <w:szCs w:val="24"/>
              </w:rPr>
            </w:pPr>
            <w:r>
              <w:rPr>
                <w:rFonts w:ascii="Times New Roman" w:hAnsi="Times New Roman" w:eastAsia="宋体" w:cs="Times New Roman"/>
                <w:bCs/>
                <w:sz w:val="24"/>
                <w:szCs w:val="24"/>
              </w:rPr>
              <w:t>Pi=Ci/C0×100%</w:t>
            </w:r>
          </w:p>
          <w:p>
            <w:pPr>
              <w:spacing w:line="520" w:lineRule="exact"/>
              <w:ind w:firstLine="480"/>
              <w:rPr>
                <w:rFonts w:ascii="Times New Roman" w:hAnsi="Times New Roman" w:eastAsia="宋体" w:cs="Times New Roman"/>
                <w:bCs/>
                <w:sz w:val="24"/>
                <w:szCs w:val="24"/>
              </w:rPr>
            </w:pPr>
            <w:r>
              <w:rPr>
                <w:rFonts w:ascii="Times New Roman" w:hAnsi="Times New Roman" w:eastAsia="宋体" w:cs="Times New Roman"/>
                <w:bCs/>
                <w:sz w:val="24"/>
                <w:szCs w:val="24"/>
              </w:rPr>
              <w:t>式中：Pi——i污染物最大值占标率；</w:t>
            </w:r>
          </w:p>
          <w:p>
            <w:pPr>
              <w:spacing w:line="520" w:lineRule="exact"/>
              <w:ind w:firstLine="480"/>
              <w:rPr>
                <w:rFonts w:ascii="Times New Roman" w:hAnsi="Times New Roman" w:eastAsia="宋体" w:cs="Times New Roman"/>
                <w:bCs/>
                <w:sz w:val="24"/>
                <w:szCs w:val="24"/>
              </w:rPr>
            </w:pPr>
            <w:r>
              <w:rPr>
                <w:rFonts w:ascii="Times New Roman" w:hAnsi="Times New Roman" w:eastAsia="宋体" w:cs="Times New Roman"/>
                <w:bCs/>
                <w:sz w:val="24"/>
                <w:szCs w:val="24"/>
              </w:rPr>
              <w:t>Ci——i污染物的实测浓度（μg/m</w:t>
            </w:r>
            <w:r>
              <w:rPr>
                <w:rFonts w:ascii="Times New Roman" w:hAnsi="Times New Roman" w:eastAsia="宋体" w:cs="Times New Roman"/>
                <w:bCs/>
                <w:sz w:val="24"/>
                <w:szCs w:val="24"/>
                <w:vertAlign w:val="superscript"/>
              </w:rPr>
              <w:t>3</w:t>
            </w:r>
            <w:r>
              <w:rPr>
                <w:rFonts w:ascii="Times New Roman" w:hAnsi="Times New Roman" w:eastAsia="宋体" w:cs="Times New Roman"/>
                <w:bCs/>
                <w:sz w:val="24"/>
                <w:szCs w:val="24"/>
              </w:rPr>
              <w:t>）；</w:t>
            </w:r>
          </w:p>
          <w:p>
            <w:pPr>
              <w:spacing w:line="520" w:lineRule="exact"/>
              <w:ind w:firstLine="480"/>
              <w:rPr>
                <w:rFonts w:ascii="Times New Roman" w:hAnsi="Times New Roman" w:eastAsia="宋体" w:cs="Times New Roman"/>
                <w:bCs/>
                <w:sz w:val="24"/>
                <w:szCs w:val="24"/>
              </w:rPr>
            </w:pPr>
            <w:r>
              <w:rPr>
                <w:rFonts w:ascii="Times New Roman" w:hAnsi="Times New Roman" w:eastAsia="宋体" w:cs="Times New Roman"/>
                <w:bCs/>
                <w:sz w:val="24"/>
                <w:szCs w:val="24"/>
              </w:rPr>
              <w:t>C0——i污染物的评价标准值（μg/m</w:t>
            </w:r>
            <w:r>
              <w:rPr>
                <w:rFonts w:ascii="Times New Roman" w:hAnsi="Times New Roman" w:eastAsia="宋体" w:cs="Times New Roman"/>
                <w:bCs/>
                <w:sz w:val="24"/>
                <w:szCs w:val="24"/>
                <w:vertAlign w:val="superscript"/>
              </w:rPr>
              <w:t>3</w:t>
            </w:r>
            <w:r>
              <w:rPr>
                <w:rFonts w:ascii="Times New Roman" w:hAnsi="Times New Roman" w:eastAsia="宋体" w:cs="Times New Roman"/>
                <w:bCs/>
                <w:sz w:val="24"/>
                <w:szCs w:val="24"/>
              </w:rPr>
              <w:t>）；</w:t>
            </w:r>
          </w:p>
          <w:p>
            <w:pPr>
              <w:spacing w:line="520" w:lineRule="exact"/>
              <w:ind w:firstLine="480"/>
              <w:rPr>
                <w:rFonts w:ascii="Times New Roman" w:hAnsi="Times New Roman" w:eastAsia="宋体" w:cs="Times New Roman"/>
                <w:bCs/>
                <w:sz w:val="24"/>
                <w:szCs w:val="24"/>
              </w:rPr>
            </w:pPr>
            <w:r>
              <w:rPr>
                <w:rFonts w:ascii="Times New Roman" w:hAnsi="Times New Roman" w:eastAsia="宋体" w:cs="Times New Roman"/>
                <w:bCs/>
                <w:sz w:val="24"/>
                <w:szCs w:val="24"/>
              </w:rPr>
              <w:t>（2）区域环境空气质量达标情况</w:t>
            </w:r>
          </w:p>
          <w:p>
            <w:pPr>
              <w:spacing w:line="520" w:lineRule="exact"/>
              <w:ind w:firstLine="480"/>
              <w:rPr>
                <w:rFonts w:ascii="Times New Roman" w:hAnsi="Times New Roman" w:eastAsia="宋体" w:cs="Times New Roman"/>
                <w:bCs/>
                <w:sz w:val="24"/>
                <w:szCs w:val="24"/>
              </w:rPr>
            </w:pPr>
            <w:r>
              <w:rPr>
                <w:rFonts w:ascii="Times New Roman" w:hAnsi="Times New Roman" w:eastAsia="宋体" w:cs="Times New Roman"/>
                <w:bCs/>
                <w:sz w:val="24"/>
                <w:szCs w:val="24"/>
              </w:rPr>
              <w:t>根据</w:t>
            </w:r>
            <w:r>
              <w:rPr>
                <w:rFonts w:hint="eastAsia" w:ascii="Times New Roman" w:hAnsi="Times New Roman" w:eastAsia="宋体" w:cs="Times New Roman"/>
                <w:bCs/>
                <w:sz w:val="24"/>
                <w:szCs w:val="24"/>
              </w:rPr>
              <w:t>平顶山</w:t>
            </w:r>
            <w:r>
              <w:rPr>
                <w:rFonts w:ascii="Times New Roman" w:hAnsi="Times New Roman" w:eastAsia="宋体" w:cs="Times New Roman"/>
                <w:bCs/>
                <w:sz w:val="24"/>
                <w:szCs w:val="24"/>
              </w:rPr>
              <w:t>市环境空气常规监测201</w:t>
            </w:r>
            <w:r>
              <w:rPr>
                <w:rFonts w:hint="eastAsia" w:ascii="Times New Roman" w:hAnsi="Times New Roman" w:eastAsia="宋体" w:cs="Times New Roman"/>
                <w:bCs/>
                <w:sz w:val="24"/>
                <w:szCs w:val="24"/>
                <w:lang w:val="en-US" w:eastAsia="zh-CN"/>
              </w:rPr>
              <w:t>9</w:t>
            </w:r>
            <w:r>
              <w:rPr>
                <w:rFonts w:ascii="Times New Roman" w:hAnsi="Times New Roman" w:eastAsia="宋体" w:cs="Times New Roman"/>
                <w:bCs/>
                <w:sz w:val="24"/>
                <w:szCs w:val="24"/>
              </w:rPr>
              <w:t>年</w:t>
            </w:r>
            <w:r>
              <w:rPr>
                <w:rFonts w:hint="eastAsia" w:ascii="Times New Roman" w:hAnsi="Times New Roman" w:eastAsia="宋体" w:cs="Times New Roman"/>
                <w:bCs/>
                <w:sz w:val="24"/>
                <w:szCs w:val="24"/>
              </w:rPr>
              <w:t>1月1日至1</w:t>
            </w:r>
            <w:r>
              <w:rPr>
                <w:rFonts w:ascii="Times New Roman" w:hAnsi="Times New Roman" w:eastAsia="宋体" w:cs="Times New Roman"/>
                <w:bCs/>
                <w:sz w:val="24"/>
                <w:szCs w:val="24"/>
              </w:rPr>
              <w:t>2</w:t>
            </w:r>
            <w:r>
              <w:rPr>
                <w:rFonts w:hint="eastAsia" w:ascii="Times New Roman" w:hAnsi="Times New Roman" w:eastAsia="宋体" w:cs="Times New Roman"/>
                <w:bCs/>
                <w:sz w:val="24"/>
                <w:szCs w:val="24"/>
              </w:rPr>
              <w:t>月3</w:t>
            </w:r>
            <w:r>
              <w:rPr>
                <w:rFonts w:ascii="Times New Roman" w:hAnsi="Times New Roman" w:eastAsia="宋体" w:cs="Times New Roman"/>
                <w:bCs/>
                <w:sz w:val="24"/>
                <w:szCs w:val="24"/>
              </w:rPr>
              <w:t>1</w:t>
            </w:r>
            <w:r>
              <w:rPr>
                <w:rFonts w:hint="eastAsia" w:ascii="Times New Roman" w:hAnsi="Times New Roman" w:eastAsia="宋体" w:cs="Times New Roman"/>
                <w:bCs/>
                <w:sz w:val="24"/>
                <w:szCs w:val="24"/>
              </w:rPr>
              <w:t>日</w:t>
            </w:r>
            <w:r>
              <w:rPr>
                <w:rFonts w:ascii="Times New Roman" w:hAnsi="Times New Roman" w:eastAsia="宋体" w:cs="Times New Roman"/>
                <w:bCs/>
                <w:sz w:val="24"/>
                <w:szCs w:val="24"/>
              </w:rPr>
              <w:t>的监测数据，</w:t>
            </w:r>
            <w:r>
              <w:rPr>
                <w:rFonts w:hint="eastAsia" w:ascii="Times New Roman" w:hAnsi="Times New Roman" w:eastAsia="宋体" w:cs="Times New Roman"/>
                <w:bCs/>
                <w:sz w:val="24"/>
                <w:szCs w:val="24"/>
              </w:rPr>
              <w:t>平顶山</w:t>
            </w:r>
            <w:r>
              <w:rPr>
                <w:rFonts w:ascii="Times New Roman" w:hAnsi="Times New Roman" w:eastAsia="宋体" w:cs="Times New Roman"/>
                <w:bCs/>
                <w:sz w:val="24"/>
                <w:szCs w:val="24"/>
              </w:rPr>
              <w:t>市细颗粒物（PM</w:t>
            </w:r>
            <w:r>
              <w:rPr>
                <w:rFonts w:ascii="Times New Roman" w:hAnsi="Times New Roman" w:eastAsia="宋体" w:cs="Times New Roman"/>
                <w:bCs/>
                <w:sz w:val="24"/>
                <w:szCs w:val="24"/>
                <w:vertAlign w:val="subscript"/>
              </w:rPr>
              <w:t>2.5</w:t>
            </w:r>
            <w:r>
              <w:rPr>
                <w:rFonts w:ascii="Times New Roman" w:hAnsi="Times New Roman" w:eastAsia="宋体" w:cs="Times New Roman"/>
                <w:bCs/>
                <w:sz w:val="24"/>
                <w:szCs w:val="24"/>
              </w:rPr>
              <w:t>）浓度年均值超过《环境空气质量标准》（GB3095-2012）二级标准；</w:t>
            </w:r>
            <w:r>
              <w:rPr>
                <w:rFonts w:hint="eastAsia" w:ascii="Times New Roman" w:hAnsi="Times New Roman" w:eastAsia="宋体" w:cs="Times New Roman"/>
                <w:bCs/>
                <w:sz w:val="24"/>
                <w:szCs w:val="24"/>
              </w:rPr>
              <w:t>平顶山</w:t>
            </w:r>
            <w:r>
              <w:rPr>
                <w:rFonts w:ascii="Times New Roman" w:hAnsi="Times New Roman" w:eastAsia="宋体" w:cs="Times New Roman"/>
                <w:bCs/>
                <w:sz w:val="24"/>
                <w:szCs w:val="24"/>
              </w:rPr>
              <w:t>市可吸入颗粒物（PM</w:t>
            </w:r>
            <w:r>
              <w:rPr>
                <w:rFonts w:ascii="Times New Roman" w:hAnsi="Times New Roman" w:eastAsia="宋体" w:cs="Times New Roman"/>
                <w:bCs/>
                <w:sz w:val="24"/>
                <w:szCs w:val="24"/>
                <w:vertAlign w:val="subscript"/>
              </w:rPr>
              <w:t>10</w:t>
            </w:r>
            <w:r>
              <w:rPr>
                <w:rFonts w:ascii="Times New Roman" w:hAnsi="Times New Roman" w:eastAsia="宋体" w:cs="Times New Roman"/>
                <w:bCs/>
                <w:sz w:val="24"/>
                <w:szCs w:val="24"/>
              </w:rPr>
              <w:t>）浓度年均值超过《环境空气质量标准》（GB3095-2012）二级标准；</w:t>
            </w:r>
            <w:r>
              <w:rPr>
                <w:rFonts w:hint="eastAsia" w:ascii="Times New Roman" w:hAnsi="Times New Roman" w:eastAsia="宋体" w:cs="Times New Roman"/>
                <w:bCs/>
                <w:sz w:val="24"/>
                <w:szCs w:val="24"/>
              </w:rPr>
              <w:t>平顶山</w:t>
            </w:r>
            <w:r>
              <w:rPr>
                <w:rFonts w:ascii="Times New Roman" w:hAnsi="Times New Roman" w:eastAsia="宋体" w:cs="Times New Roman"/>
                <w:bCs/>
                <w:sz w:val="24"/>
                <w:szCs w:val="24"/>
              </w:rPr>
              <w:t>市二氧化硫达到《环境空气质量标准》（GB3095-2012）一级标准；</w:t>
            </w:r>
            <w:r>
              <w:rPr>
                <w:rFonts w:hint="eastAsia" w:ascii="Times New Roman" w:hAnsi="Times New Roman" w:eastAsia="宋体" w:cs="Times New Roman"/>
                <w:bCs/>
                <w:sz w:val="24"/>
                <w:szCs w:val="24"/>
              </w:rPr>
              <w:t>平顶山</w:t>
            </w:r>
            <w:r>
              <w:rPr>
                <w:rFonts w:ascii="Times New Roman" w:hAnsi="Times New Roman" w:eastAsia="宋体" w:cs="Times New Roman"/>
                <w:bCs/>
                <w:sz w:val="24"/>
                <w:szCs w:val="24"/>
              </w:rPr>
              <w:t>市二氧化氮达到《环境空气质量标准》（GB3095-2012）二级标准；一氧化碳95百分位数浓度满足《环境空气质量标准》（GB3095-2012）二级标准；臭氧90百分位数浓度</w:t>
            </w:r>
            <w:r>
              <w:rPr>
                <w:rFonts w:hint="eastAsia" w:ascii="Times New Roman" w:hAnsi="Times New Roman" w:eastAsia="宋体" w:cs="Times New Roman"/>
                <w:bCs/>
                <w:sz w:val="24"/>
                <w:szCs w:val="24"/>
                <w:lang w:eastAsia="zh-CN"/>
              </w:rPr>
              <w:t>达到</w:t>
            </w:r>
            <w:r>
              <w:rPr>
                <w:rFonts w:ascii="Times New Roman" w:hAnsi="Times New Roman" w:eastAsia="宋体" w:cs="Times New Roman"/>
                <w:bCs/>
                <w:sz w:val="24"/>
                <w:szCs w:val="24"/>
              </w:rPr>
              <w:t>《环境空气质量标准》（GB3095-2012）二级标准。</w:t>
            </w:r>
          </w:p>
          <w:p>
            <w:pPr>
              <w:spacing w:line="520" w:lineRule="exact"/>
              <w:ind w:firstLine="480"/>
              <w:rPr>
                <w:rFonts w:ascii="Times New Roman" w:hAnsi="Times New Roman" w:eastAsia="宋体" w:cs="Times New Roman"/>
                <w:bCs/>
                <w:sz w:val="24"/>
                <w:szCs w:val="24"/>
              </w:rPr>
            </w:pPr>
            <w:r>
              <w:rPr>
                <w:rFonts w:ascii="Times New Roman" w:hAnsi="Times New Roman" w:eastAsia="宋体" w:cs="Times New Roman"/>
                <w:bCs/>
                <w:sz w:val="24"/>
                <w:szCs w:val="24"/>
              </w:rPr>
              <w:t>（3）调查数据现状评价</w:t>
            </w:r>
          </w:p>
          <w:p>
            <w:pPr>
              <w:spacing w:line="520" w:lineRule="exact"/>
              <w:ind w:firstLine="480"/>
              <w:rPr>
                <w:rFonts w:ascii="Times New Roman" w:hAnsi="Times New Roman" w:eastAsia="宋体" w:cs="Times New Roman"/>
                <w:bCs/>
                <w:sz w:val="24"/>
                <w:szCs w:val="24"/>
              </w:rPr>
            </w:pPr>
            <w:r>
              <w:rPr>
                <w:rFonts w:ascii="Times New Roman" w:hAnsi="Times New Roman" w:eastAsia="宋体" w:cs="Times New Roman"/>
                <w:bCs/>
                <w:sz w:val="24"/>
                <w:szCs w:val="24"/>
              </w:rPr>
              <w:t>A、</w:t>
            </w:r>
            <w:r>
              <w:rPr>
                <w:rFonts w:hint="eastAsia" w:ascii="Times New Roman" w:hAnsi="Times New Roman" w:eastAsia="宋体" w:cs="Times New Roman"/>
                <w:bCs/>
                <w:sz w:val="24"/>
                <w:szCs w:val="24"/>
                <w:lang w:eastAsia="zh-CN"/>
              </w:rPr>
              <w:t>基本因子</w:t>
            </w:r>
            <w:r>
              <w:rPr>
                <w:rFonts w:ascii="Times New Roman" w:hAnsi="Times New Roman" w:eastAsia="宋体" w:cs="Times New Roman"/>
                <w:bCs/>
                <w:sz w:val="24"/>
                <w:szCs w:val="24"/>
              </w:rPr>
              <w:t>调查数据</w:t>
            </w:r>
          </w:p>
          <w:p>
            <w:pPr>
              <w:spacing w:line="360" w:lineRule="auto"/>
              <w:ind w:firstLine="480" w:firstLineChars="200"/>
              <w:rPr>
                <w:rFonts w:hint="eastAsia" w:ascii="Times New Roman" w:eastAsia="宋体"/>
                <w:bCs/>
                <w:sz w:val="24"/>
                <w:lang w:eastAsia="zh-CN"/>
              </w:rPr>
            </w:pPr>
            <w:r>
              <w:rPr>
                <w:rFonts w:ascii="Times New Roman" w:hAnsi="Times New Roman" w:eastAsia="宋体" w:cs="Times New Roman"/>
                <w:bCs/>
                <w:sz w:val="24"/>
                <w:szCs w:val="24"/>
              </w:rPr>
              <w:t>本项目选取201</w:t>
            </w:r>
            <w:r>
              <w:rPr>
                <w:rFonts w:hint="eastAsia" w:ascii="Times New Roman" w:hAnsi="Times New Roman" w:eastAsia="宋体" w:cs="Times New Roman"/>
                <w:bCs/>
                <w:sz w:val="24"/>
                <w:szCs w:val="24"/>
                <w:lang w:val="en-US" w:eastAsia="zh-CN"/>
              </w:rPr>
              <w:t>9</w:t>
            </w:r>
            <w:r>
              <w:rPr>
                <w:rFonts w:ascii="Times New Roman" w:hAnsi="Times New Roman" w:eastAsia="宋体" w:cs="Times New Roman"/>
                <w:bCs/>
                <w:sz w:val="24"/>
                <w:szCs w:val="24"/>
              </w:rPr>
              <w:t>年作为评价基准年，其中获取连续1年中365个日均值数据，每月至少有30个有效数据（其中2月有28个），数据有效性满足GB3095-2012和HJ 663中关于数据统计的有效性规定，经统计分析环境质量调查数据统计结果如下</w:t>
            </w:r>
            <w:r>
              <w:rPr>
                <w:rFonts w:hint="eastAsia"/>
                <w:bCs/>
                <w:sz w:val="24"/>
                <w:lang w:eastAsia="zh-CN"/>
              </w:rPr>
              <w:t>。</w:t>
            </w:r>
          </w:p>
          <w:p>
            <w:pPr>
              <w:pStyle w:val="7"/>
              <w:spacing w:beforeLines="50"/>
              <w:jc w:val="center"/>
              <w:rPr>
                <w:rFonts w:hint="eastAsia" w:ascii="Times New Roman" w:hAnsi="宋体" w:cs="Times New Roman"/>
                <w:b/>
                <w:bCs w:val="0"/>
                <w:sz w:val="24"/>
                <w:szCs w:val="24"/>
                <w:vertAlign w:val="superscript"/>
              </w:rPr>
            </w:pPr>
            <w:r>
              <w:rPr>
                <w:rFonts w:ascii="Times New Roman" w:hAnsi="宋体" w:cs="Times New Roman"/>
                <w:b/>
                <w:bCs w:val="0"/>
                <w:sz w:val="24"/>
                <w:szCs w:val="24"/>
              </w:rPr>
              <w:t>表</w:t>
            </w:r>
            <w:r>
              <w:rPr>
                <w:rFonts w:hint="eastAsia" w:ascii="Times New Roman" w:hAnsi="宋体" w:cs="Times New Roman"/>
                <w:b/>
                <w:bCs w:val="0"/>
                <w:sz w:val="24"/>
                <w:szCs w:val="24"/>
                <w:lang w:val="en-US" w:eastAsia="zh-CN"/>
              </w:rPr>
              <w:t>6</w:t>
            </w:r>
            <w:r>
              <w:rPr>
                <w:rFonts w:ascii="Times New Roman" w:hAnsi="宋体" w:cs="Times New Roman"/>
                <w:b/>
                <w:bCs w:val="0"/>
                <w:sz w:val="24"/>
                <w:szCs w:val="24"/>
              </w:rPr>
              <w:t xml:space="preserve">  区域环境空气质量现状  单位：μg/m</w:t>
            </w:r>
            <w:r>
              <w:rPr>
                <w:rFonts w:ascii="Times New Roman" w:hAnsi="宋体" w:cs="Times New Roman"/>
                <w:b/>
                <w:bCs w:val="0"/>
                <w:sz w:val="24"/>
                <w:szCs w:val="24"/>
                <w:vertAlign w:val="superscript"/>
              </w:rPr>
              <w:t>3</w:t>
            </w:r>
          </w:p>
          <w:tbl>
            <w:tblPr>
              <w:tblStyle w:val="23"/>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17"/>
              <w:gridCol w:w="2894"/>
              <w:gridCol w:w="1370"/>
              <w:gridCol w:w="1217"/>
              <w:gridCol w:w="1101"/>
              <w:gridCol w:w="126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1" w:type="pct"/>
                  <w:tcBorders>
                    <w:top w:val="single" w:color="auto" w:sz="4" w:space="0"/>
                    <w:bottom w:val="single" w:color="auto" w:sz="4" w:space="0"/>
                    <w:right w:val="single" w:color="auto" w:sz="4" w:space="0"/>
                  </w:tcBorders>
                  <w:noWrap w:val="0"/>
                  <w:vAlign w:val="center"/>
                </w:tcPr>
                <w:p>
                  <w:pPr>
                    <w:spacing w:line="360" w:lineRule="exact"/>
                    <w:jc w:val="center"/>
                    <w:rPr>
                      <w:rFonts w:ascii="Times New Roman" w:hAnsi="Times New Roman"/>
                      <w:sz w:val="21"/>
                      <w:szCs w:val="21"/>
                    </w:rPr>
                  </w:pPr>
                  <w:r>
                    <w:rPr>
                      <w:rFonts w:ascii="Times New Roman"/>
                      <w:sz w:val="21"/>
                      <w:szCs w:val="21"/>
                    </w:rPr>
                    <w:t>污染物</w:t>
                  </w:r>
                </w:p>
              </w:tc>
              <w:tc>
                <w:tcPr>
                  <w:tcW w:w="1595" w:type="pct"/>
                  <w:tcBorders>
                    <w:top w:val="single" w:color="auto" w:sz="4" w:space="0"/>
                    <w:left w:val="nil"/>
                    <w:bottom w:val="single" w:color="auto" w:sz="4" w:space="0"/>
                    <w:right w:val="single" w:color="auto" w:sz="4" w:space="0"/>
                  </w:tcBorders>
                  <w:noWrap w:val="0"/>
                  <w:vAlign w:val="center"/>
                </w:tcPr>
                <w:p>
                  <w:pPr>
                    <w:spacing w:line="360" w:lineRule="exact"/>
                    <w:jc w:val="center"/>
                    <w:rPr>
                      <w:rFonts w:ascii="Times New Roman" w:hAnsi="Times New Roman"/>
                      <w:sz w:val="21"/>
                      <w:szCs w:val="21"/>
                    </w:rPr>
                  </w:pPr>
                  <w:r>
                    <w:rPr>
                      <w:rFonts w:ascii="Times New Roman"/>
                      <w:sz w:val="21"/>
                      <w:szCs w:val="21"/>
                    </w:rPr>
                    <w:t>年评价指标</w:t>
                  </w:r>
                </w:p>
              </w:tc>
              <w:tc>
                <w:tcPr>
                  <w:tcW w:w="755" w:type="pct"/>
                  <w:tcBorders>
                    <w:top w:val="single" w:color="auto" w:sz="4" w:space="0"/>
                    <w:left w:val="nil"/>
                    <w:bottom w:val="single" w:color="auto" w:sz="4" w:space="0"/>
                    <w:right w:val="single" w:color="auto" w:sz="4" w:space="0"/>
                  </w:tcBorders>
                  <w:noWrap w:val="0"/>
                  <w:vAlign w:val="center"/>
                </w:tcPr>
                <w:p>
                  <w:pPr>
                    <w:spacing w:line="360" w:lineRule="exact"/>
                    <w:jc w:val="center"/>
                    <w:rPr>
                      <w:rFonts w:ascii="Times New Roman" w:hAnsi="Times New Roman"/>
                      <w:sz w:val="21"/>
                      <w:szCs w:val="21"/>
                    </w:rPr>
                  </w:pPr>
                  <w:r>
                    <w:rPr>
                      <w:rFonts w:ascii="Times New Roman"/>
                      <w:sz w:val="21"/>
                      <w:szCs w:val="21"/>
                    </w:rPr>
                    <w:t>现状浓度（</w:t>
                  </w:r>
                  <w:r>
                    <w:rPr>
                      <w:rFonts w:ascii="Times New Roman" w:hAnsi="Times New Roman"/>
                      <w:sz w:val="21"/>
                      <w:szCs w:val="21"/>
                    </w:rPr>
                    <w:t>µ</w:t>
                  </w:r>
                  <w:r>
                    <w:rPr>
                      <w:rFonts w:ascii="Times New Roman" w:hAnsi="Times New Roman" w:eastAsia="黑体"/>
                      <w:sz w:val="21"/>
                      <w:szCs w:val="21"/>
                    </w:rPr>
                    <w:t>g/m</w:t>
                  </w:r>
                  <w:r>
                    <w:rPr>
                      <w:rFonts w:ascii="Times New Roman" w:hAnsi="Times New Roman" w:eastAsia="黑体"/>
                      <w:sz w:val="21"/>
                      <w:szCs w:val="21"/>
                      <w:vertAlign w:val="superscript"/>
                    </w:rPr>
                    <w:t>3</w:t>
                  </w:r>
                  <w:r>
                    <w:rPr>
                      <w:rFonts w:ascii="Times New Roman"/>
                      <w:sz w:val="21"/>
                      <w:szCs w:val="21"/>
                    </w:rPr>
                    <w:t>）</w:t>
                  </w:r>
                </w:p>
              </w:tc>
              <w:tc>
                <w:tcPr>
                  <w:tcW w:w="671" w:type="pct"/>
                  <w:tcBorders>
                    <w:top w:val="single" w:color="auto" w:sz="4" w:space="0"/>
                    <w:left w:val="nil"/>
                    <w:bottom w:val="single" w:color="auto" w:sz="4" w:space="0"/>
                    <w:right w:val="single" w:color="auto" w:sz="4" w:space="0"/>
                  </w:tcBorders>
                  <w:noWrap w:val="0"/>
                  <w:vAlign w:val="center"/>
                </w:tcPr>
                <w:p>
                  <w:pPr>
                    <w:spacing w:line="360" w:lineRule="exact"/>
                    <w:jc w:val="center"/>
                    <w:rPr>
                      <w:rFonts w:ascii="Times New Roman" w:hAnsi="Times New Roman"/>
                      <w:sz w:val="21"/>
                      <w:szCs w:val="21"/>
                    </w:rPr>
                  </w:pPr>
                  <w:r>
                    <w:rPr>
                      <w:rFonts w:ascii="Times New Roman"/>
                      <w:sz w:val="21"/>
                      <w:szCs w:val="21"/>
                    </w:rPr>
                    <w:t>标准值（</w:t>
                  </w:r>
                  <w:r>
                    <w:rPr>
                      <w:rFonts w:ascii="Times New Roman" w:hAnsi="Times New Roman"/>
                      <w:sz w:val="21"/>
                      <w:szCs w:val="21"/>
                    </w:rPr>
                    <w:t>µ</w:t>
                  </w:r>
                  <w:r>
                    <w:rPr>
                      <w:rFonts w:ascii="Times New Roman" w:hAnsi="Times New Roman" w:eastAsia="黑体"/>
                      <w:sz w:val="21"/>
                      <w:szCs w:val="21"/>
                    </w:rPr>
                    <w:t>g/m</w:t>
                  </w:r>
                  <w:r>
                    <w:rPr>
                      <w:rFonts w:ascii="Times New Roman" w:hAnsi="Times New Roman" w:eastAsia="黑体"/>
                      <w:sz w:val="21"/>
                      <w:szCs w:val="21"/>
                      <w:vertAlign w:val="superscript"/>
                    </w:rPr>
                    <w:t>3</w:t>
                  </w:r>
                  <w:r>
                    <w:rPr>
                      <w:rFonts w:ascii="Times New Roman"/>
                      <w:sz w:val="21"/>
                      <w:szCs w:val="21"/>
                    </w:rPr>
                    <w:t>）</w:t>
                  </w:r>
                </w:p>
              </w:tc>
              <w:tc>
                <w:tcPr>
                  <w:tcW w:w="607" w:type="pct"/>
                  <w:tcBorders>
                    <w:top w:val="single" w:color="auto" w:sz="4" w:space="0"/>
                    <w:left w:val="nil"/>
                    <w:bottom w:val="single" w:color="auto" w:sz="4" w:space="0"/>
                    <w:right w:val="single" w:color="auto" w:sz="4" w:space="0"/>
                  </w:tcBorders>
                  <w:noWrap w:val="0"/>
                  <w:vAlign w:val="center"/>
                </w:tcPr>
                <w:p>
                  <w:pPr>
                    <w:spacing w:line="360" w:lineRule="exact"/>
                    <w:jc w:val="center"/>
                    <w:rPr>
                      <w:rFonts w:ascii="Times New Roman" w:hAnsi="Times New Roman"/>
                      <w:sz w:val="21"/>
                      <w:szCs w:val="21"/>
                    </w:rPr>
                  </w:pPr>
                  <w:r>
                    <w:rPr>
                      <w:rFonts w:ascii="Times New Roman"/>
                      <w:sz w:val="21"/>
                      <w:szCs w:val="21"/>
                    </w:rPr>
                    <w:t>占标率</w:t>
                  </w:r>
                </w:p>
                <w:p>
                  <w:pPr>
                    <w:spacing w:line="360" w:lineRule="exact"/>
                    <w:jc w:val="center"/>
                    <w:rPr>
                      <w:rFonts w:ascii="Times New Roman" w:hAnsi="Times New Roman"/>
                      <w:sz w:val="21"/>
                      <w:szCs w:val="21"/>
                    </w:rPr>
                  </w:pPr>
                  <w:r>
                    <w:rPr>
                      <w:rFonts w:ascii="Times New Roman"/>
                      <w:sz w:val="21"/>
                      <w:szCs w:val="21"/>
                    </w:rPr>
                    <w:t>（</w:t>
                  </w:r>
                  <w:r>
                    <w:rPr>
                      <w:rFonts w:ascii="Times New Roman" w:hAnsi="Times New Roman"/>
                      <w:sz w:val="21"/>
                      <w:szCs w:val="21"/>
                    </w:rPr>
                    <w:t>%</w:t>
                  </w:r>
                  <w:r>
                    <w:rPr>
                      <w:rFonts w:ascii="Times New Roman" w:hAnsi="宋体"/>
                      <w:sz w:val="21"/>
                      <w:szCs w:val="21"/>
                    </w:rPr>
                    <w:t>）</w:t>
                  </w:r>
                </w:p>
              </w:tc>
              <w:tc>
                <w:tcPr>
                  <w:tcW w:w="698" w:type="pct"/>
                  <w:tcBorders>
                    <w:top w:val="single" w:color="auto" w:sz="4" w:space="0"/>
                    <w:left w:val="nil"/>
                    <w:bottom w:val="single" w:color="auto" w:sz="4" w:space="0"/>
                  </w:tcBorders>
                  <w:noWrap w:val="0"/>
                  <w:vAlign w:val="center"/>
                </w:tcPr>
                <w:p>
                  <w:pPr>
                    <w:spacing w:line="360" w:lineRule="exact"/>
                    <w:jc w:val="center"/>
                    <w:rPr>
                      <w:rFonts w:ascii="Times New Roman" w:hAnsi="Times New Roman"/>
                      <w:sz w:val="21"/>
                      <w:szCs w:val="21"/>
                    </w:rPr>
                  </w:pPr>
                  <w:r>
                    <w:rPr>
                      <w:rFonts w:ascii="Times New Roman"/>
                      <w:sz w:val="21"/>
                      <w:szCs w:val="21"/>
                    </w:rPr>
                    <w:t>达标情况</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1" w:type="pct"/>
                  <w:tcBorders>
                    <w:top w:val="single" w:color="auto" w:sz="4" w:space="0"/>
                    <w:bottom w:val="single" w:color="auto" w:sz="4" w:space="0"/>
                    <w:right w:val="single" w:color="auto" w:sz="4" w:space="0"/>
                  </w:tcBorders>
                  <w:noWrap w:val="0"/>
                  <w:vAlign w:val="center"/>
                </w:tcPr>
                <w:p>
                  <w:pPr>
                    <w:spacing w:line="360" w:lineRule="exact"/>
                    <w:jc w:val="center"/>
                    <w:rPr>
                      <w:rFonts w:ascii="Times New Roman" w:hAnsi="Times New Roman"/>
                      <w:sz w:val="21"/>
                      <w:szCs w:val="21"/>
                    </w:rPr>
                  </w:pPr>
                  <w:r>
                    <w:rPr>
                      <w:rFonts w:ascii="Times New Roman" w:hAnsi="Times New Roman"/>
                      <w:sz w:val="21"/>
                      <w:szCs w:val="21"/>
                    </w:rPr>
                    <w:t>PM</w:t>
                  </w:r>
                  <w:r>
                    <w:rPr>
                      <w:rFonts w:ascii="Times New Roman" w:hAnsi="Times New Roman"/>
                      <w:sz w:val="21"/>
                      <w:szCs w:val="21"/>
                      <w:vertAlign w:val="subscript"/>
                    </w:rPr>
                    <w:t>2.5</w:t>
                  </w:r>
                </w:p>
              </w:tc>
              <w:tc>
                <w:tcPr>
                  <w:tcW w:w="1595" w:type="pct"/>
                  <w:tcBorders>
                    <w:top w:val="single" w:color="auto" w:sz="4" w:space="0"/>
                    <w:left w:val="nil"/>
                    <w:bottom w:val="single" w:color="auto" w:sz="4" w:space="0"/>
                    <w:right w:val="single" w:color="auto" w:sz="4" w:space="0"/>
                  </w:tcBorders>
                  <w:noWrap w:val="0"/>
                  <w:vAlign w:val="center"/>
                </w:tcPr>
                <w:p>
                  <w:pPr>
                    <w:spacing w:line="360" w:lineRule="exact"/>
                    <w:jc w:val="center"/>
                    <w:rPr>
                      <w:rFonts w:ascii="Times New Roman" w:hAnsi="Times New Roman"/>
                      <w:sz w:val="21"/>
                      <w:szCs w:val="21"/>
                    </w:rPr>
                  </w:pPr>
                  <w:r>
                    <w:rPr>
                      <w:rFonts w:ascii="Times New Roman"/>
                      <w:sz w:val="21"/>
                      <w:szCs w:val="21"/>
                    </w:rPr>
                    <w:t>年平均质量浓度</w:t>
                  </w:r>
                </w:p>
              </w:tc>
              <w:tc>
                <w:tcPr>
                  <w:tcW w:w="755" w:type="pct"/>
                  <w:tcBorders>
                    <w:top w:val="single" w:color="auto" w:sz="4" w:space="0"/>
                    <w:left w:val="nil"/>
                    <w:bottom w:val="single" w:color="auto" w:sz="4" w:space="0"/>
                    <w:right w:val="single" w:color="auto" w:sz="4" w:space="0"/>
                  </w:tcBorders>
                  <w:noWrap w:val="0"/>
                  <w:vAlign w:val="center"/>
                </w:tcPr>
                <w:p>
                  <w:pPr>
                    <w:spacing w:line="360" w:lineRule="exact"/>
                    <w:jc w:val="center"/>
                    <w:rPr>
                      <w:rFonts w:hint="default" w:ascii="Times New Roman" w:hAnsi="Times New Roman" w:eastAsia="宋体"/>
                      <w:sz w:val="21"/>
                      <w:szCs w:val="21"/>
                      <w:lang w:val="en-US" w:eastAsia="zh-CN"/>
                    </w:rPr>
                  </w:pPr>
                  <w:r>
                    <w:rPr>
                      <w:rFonts w:hint="eastAsia" w:ascii="Times New Roman" w:hAnsi="Times New Roman"/>
                      <w:sz w:val="21"/>
                      <w:szCs w:val="21"/>
                      <w:lang w:val="en-US" w:eastAsia="zh-CN"/>
                    </w:rPr>
                    <w:t>59</w:t>
                  </w:r>
                </w:p>
              </w:tc>
              <w:tc>
                <w:tcPr>
                  <w:tcW w:w="671" w:type="pct"/>
                  <w:tcBorders>
                    <w:top w:val="single" w:color="auto" w:sz="4" w:space="0"/>
                    <w:left w:val="nil"/>
                    <w:bottom w:val="single" w:color="auto" w:sz="4" w:space="0"/>
                    <w:right w:val="single" w:color="auto" w:sz="4" w:space="0"/>
                  </w:tcBorders>
                  <w:noWrap w:val="0"/>
                  <w:vAlign w:val="center"/>
                </w:tcPr>
                <w:p>
                  <w:pPr>
                    <w:spacing w:line="360" w:lineRule="exact"/>
                    <w:jc w:val="center"/>
                    <w:rPr>
                      <w:rFonts w:ascii="Times New Roman" w:hAnsi="Times New Roman"/>
                      <w:sz w:val="21"/>
                      <w:szCs w:val="21"/>
                    </w:rPr>
                  </w:pPr>
                  <w:r>
                    <w:rPr>
                      <w:rFonts w:ascii="Times New Roman" w:hAnsi="Times New Roman"/>
                      <w:sz w:val="21"/>
                      <w:szCs w:val="21"/>
                    </w:rPr>
                    <w:t>35</w:t>
                  </w:r>
                </w:p>
              </w:tc>
              <w:tc>
                <w:tcPr>
                  <w:tcW w:w="607" w:type="pct"/>
                  <w:tcBorders>
                    <w:top w:val="single" w:color="auto" w:sz="4" w:space="0"/>
                    <w:left w:val="nil"/>
                    <w:bottom w:val="single" w:color="auto" w:sz="4" w:space="0"/>
                    <w:right w:val="single" w:color="auto" w:sz="4" w:space="0"/>
                  </w:tcBorders>
                  <w:noWrap w:val="0"/>
                  <w:vAlign w:val="center"/>
                </w:tcPr>
                <w:p>
                  <w:pPr>
                    <w:spacing w:line="360" w:lineRule="exact"/>
                    <w:jc w:val="center"/>
                    <w:rPr>
                      <w:rFonts w:hint="default" w:ascii="Times New Roman" w:hAnsi="Times New Roman" w:eastAsia="宋体"/>
                      <w:sz w:val="21"/>
                      <w:szCs w:val="21"/>
                      <w:lang w:val="en-US" w:eastAsia="zh-CN"/>
                    </w:rPr>
                  </w:pPr>
                  <w:r>
                    <w:rPr>
                      <w:rFonts w:hint="eastAsia" w:ascii="Times New Roman" w:hAnsi="Times New Roman"/>
                      <w:sz w:val="21"/>
                      <w:szCs w:val="21"/>
                      <w:lang w:val="en-US" w:eastAsia="zh-CN"/>
                    </w:rPr>
                    <w:t>177</w:t>
                  </w:r>
                </w:p>
              </w:tc>
              <w:tc>
                <w:tcPr>
                  <w:tcW w:w="698" w:type="pct"/>
                  <w:tcBorders>
                    <w:top w:val="single" w:color="auto" w:sz="4" w:space="0"/>
                    <w:left w:val="nil"/>
                    <w:bottom w:val="single" w:color="auto" w:sz="4" w:space="0"/>
                  </w:tcBorders>
                  <w:noWrap w:val="0"/>
                  <w:vAlign w:val="center"/>
                </w:tcPr>
                <w:p>
                  <w:pPr>
                    <w:spacing w:line="360" w:lineRule="exact"/>
                    <w:jc w:val="center"/>
                    <w:rPr>
                      <w:rFonts w:ascii="Times New Roman" w:hAnsi="Times New Roman"/>
                      <w:sz w:val="21"/>
                      <w:szCs w:val="21"/>
                    </w:rPr>
                  </w:pPr>
                  <w:r>
                    <w:rPr>
                      <w:rFonts w:ascii="Times New Roman"/>
                      <w:sz w:val="21"/>
                      <w:szCs w:val="21"/>
                    </w:rPr>
                    <w:t>不达标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1" w:type="pct"/>
                  <w:tcBorders>
                    <w:top w:val="single" w:color="auto" w:sz="4" w:space="0"/>
                    <w:bottom w:val="single" w:color="auto" w:sz="4" w:space="0"/>
                    <w:right w:val="single" w:color="auto" w:sz="4" w:space="0"/>
                  </w:tcBorders>
                  <w:noWrap w:val="0"/>
                  <w:vAlign w:val="center"/>
                </w:tcPr>
                <w:p>
                  <w:pPr>
                    <w:spacing w:line="360" w:lineRule="exact"/>
                    <w:jc w:val="center"/>
                    <w:rPr>
                      <w:rFonts w:ascii="Times New Roman" w:hAnsi="Times New Roman"/>
                      <w:sz w:val="21"/>
                      <w:szCs w:val="21"/>
                    </w:rPr>
                  </w:pPr>
                  <w:r>
                    <w:rPr>
                      <w:rFonts w:ascii="Times New Roman" w:hAnsi="Times New Roman"/>
                      <w:sz w:val="21"/>
                      <w:szCs w:val="21"/>
                    </w:rPr>
                    <w:t>PM</w:t>
                  </w:r>
                  <w:r>
                    <w:rPr>
                      <w:rFonts w:ascii="Times New Roman" w:hAnsi="Times New Roman"/>
                      <w:sz w:val="21"/>
                      <w:szCs w:val="21"/>
                      <w:vertAlign w:val="subscript"/>
                    </w:rPr>
                    <w:t>10</w:t>
                  </w:r>
                </w:p>
              </w:tc>
              <w:tc>
                <w:tcPr>
                  <w:tcW w:w="1595" w:type="pct"/>
                  <w:tcBorders>
                    <w:top w:val="single" w:color="auto" w:sz="4" w:space="0"/>
                    <w:left w:val="nil"/>
                    <w:bottom w:val="single" w:color="auto" w:sz="4" w:space="0"/>
                    <w:right w:val="single" w:color="auto" w:sz="4" w:space="0"/>
                  </w:tcBorders>
                  <w:noWrap w:val="0"/>
                  <w:vAlign w:val="center"/>
                </w:tcPr>
                <w:p>
                  <w:pPr>
                    <w:spacing w:line="360" w:lineRule="exact"/>
                    <w:jc w:val="center"/>
                    <w:rPr>
                      <w:rFonts w:ascii="Times New Roman" w:hAnsi="Times New Roman"/>
                      <w:sz w:val="21"/>
                      <w:szCs w:val="21"/>
                    </w:rPr>
                  </w:pPr>
                  <w:r>
                    <w:rPr>
                      <w:rFonts w:ascii="Times New Roman"/>
                      <w:sz w:val="21"/>
                      <w:szCs w:val="21"/>
                    </w:rPr>
                    <w:t>年平均质量浓度</w:t>
                  </w:r>
                </w:p>
              </w:tc>
              <w:tc>
                <w:tcPr>
                  <w:tcW w:w="755" w:type="pct"/>
                  <w:tcBorders>
                    <w:top w:val="single" w:color="auto" w:sz="4" w:space="0"/>
                    <w:left w:val="nil"/>
                    <w:bottom w:val="single" w:color="auto" w:sz="4" w:space="0"/>
                    <w:right w:val="single" w:color="auto" w:sz="4" w:space="0"/>
                  </w:tcBorders>
                  <w:noWrap w:val="0"/>
                  <w:vAlign w:val="center"/>
                </w:tcPr>
                <w:p>
                  <w:pPr>
                    <w:spacing w:line="360" w:lineRule="exact"/>
                    <w:jc w:val="center"/>
                    <w:rPr>
                      <w:rFonts w:hint="default" w:ascii="Times New Roman" w:hAnsi="Times New Roman" w:eastAsia="宋体"/>
                      <w:sz w:val="21"/>
                      <w:szCs w:val="21"/>
                      <w:lang w:val="en-US" w:eastAsia="zh-CN"/>
                    </w:rPr>
                  </w:pPr>
                  <w:r>
                    <w:rPr>
                      <w:rFonts w:hint="eastAsia" w:ascii="Times New Roman" w:hAnsi="Times New Roman"/>
                      <w:sz w:val="21"/>
                      <w:szCs w:val="21"/>
                      <w:lang w:val="en-US" w:eastAsia="zh-CN"/>
                    </w:rPr>
                    <w:t>96</w:t>
                  </w:r>
                </w:p>
              </w:tc>
              <w:tc>
                <w:tcPr>
                  <w:tcW w:w="671" w:type="pct"/>
                  <w:tcBorders>
                    <w:top w:val="single" w:color="auto" w:sz="4" w:space="0"/>
                    <w:left w:val="nil"/>
                    <w:bottom w:val="single" w:color="auto" w:sz="4" w:space="0"/>
                    <w:right w:val="single" w:color="auto" w:sz="4" w:space="0"/>
                  </w:tcBorders>
                  <w:noWrap w:val="0"/>
                  <w:vAlign w:val="center"/>
                </w:tcPr>
                <w:p>
                  <w:pPr>
                    <w:spacing w:line="360" w:lineRule="exact"/>
                    <w:jc w:val="center"/>
                    <w:rPr>
                      <w:rFonts w:ascii="Times New Roman" w:hAnsi="Times New Roman"/>
                      <w:sz w:val="21"/>
                      <w:szCs w:val="21"/>
                    </w:rPr>
                  </w:pPr>
                  <w:r>
                    <w:rPr>
                      <w:rFonts w:ascii="Times New Roman" w:hAnsi="Times New Roman"/>
                      <w:sz w:val="21"/>
                      <w:szCs w:val="21"/>
                    </w:rPr>
                    <w:t>70</w:t>
                  </w:r>
                </w:p>
              </w:tc>
              <w:tc>
                <w:tcPr>
                  <w:tcW w:w="607" w:type="pct"/>
                  <w:tcBorders>
                    <w:top w:val="single" w:color="auto" w:sz="4" w:space="0"/>
                    <w:left w:val="nil"/>
                    <w:bottom w:val="single" w:color="auto" w:sz="4" w:space="0"/>
                    <w:right w:val="single" w:color="auto" w:sz="4" w:space="0"/>
                  </w:tcBorders>
                  <w:noWrap w:val="0"/>
                  <w:vAlign w:val="center"/>
                </w:tcPr>
                <w:p>
                  <w:pPr>
                    <w:spacing w:line="360" w:lineRule="exact"/>
                    <w:jc w:val="center"/>
                    <w:rPr>
                      <w:rFonts w:hint="default" w:ascii="Times New Roman" w:hAnsi="Times New Roman" w:eastAsia="宋体"/>
                      <w:sz w:val="21"/>
                      <w:szCs w:val="21"/>
                      <w:lang w:val="en-US" w:eastAsia="zh-CN"/>
                    </w:rPr>
                  </w:pPr>
                  <w:r>
                    <w:rPr>
                      <w:rFonts w:hint="eastAsia" w:ascii="Times New Roman" w:hAnsi="Times New Roman"/>
                      <w:sz w:val="21"/>
                      <w:szCs w:val="21"/>
                      <w:lang w:val="en-US" w:eastAsia="zh-CN"/>
                    </w:rPr>
                    <w:t>139</w:t>
                  </w:r>
                </w:p>
              </w:tc>
              <w:tc>
                <w:tcPr>
                  <w:tcW w:w="698" w:type="pct"/>
                  <w:tcBorders>
                    <w:top w:val="single" w:color="auto" w:sz="4" w:space="0"/>
                    <w:left w:val="nil"/>
                    <w:bottom w:val="single" w:color="auto" w:sz="4" w:space="0"/>
                  </w:tcBorders>
                  <w:noWrap w:val="0"/>
                  <w:vAlign w:val="center"/>
                </w:tcPr>
                <w:p>
                  <w:pPr>
                    <w:spacing w:line="360" w:lineRule="exact"/>
                    <w:jc w:val="center"/>
                    <w:rPr>
                      <w:rFonts w:ascii="Times New Roman" w:hAnsi="Times New Roman"/>
                      <w:sz w:val="21"/>
                      <w:szCs w:val="21"/>
                    </w:rPr>
                  </w:pPr>
                  <w:r>
                    <w:rPr>
                      <w:rFonts w:ascii="Times New Roman"/>
                      <w:sz w:val="21"/>
                      <w:szCs w:val="21"/>
                    </w:rPr>
                    <w:t>不达标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1" w:type="pct"/>
                  <w:tcBorders>
                    <w:top w:val="single" w:color="auto" w:sz="4" w:space="0"/>
                    <w:bottom w:val="single" w:color="auto" w:sz="4" w:space="0"/>
                    <w:right w:val="single" w:color="auto" w:sz="4" w:space="0"/>
                  </w:tcBorders>
                  <w:noWrap w:val="0"/>
                  <w:vAlign w:val="center"/>
                </w:tcPr>
                <w:p>
                  <w:pPr>
                    <w:spacing w:line="360" w:lineRule="exact"/>
                    <w:jc w:val="center"/>
                    <w:rPr>
                      <w:rFonts w:ascii="Times New Roman" w:hAnsi="Times New Roman"/>
                      <w:sz w:val="21"/>
                      <w:szCs w:val="21"/>
                    </w:rPr>
                  </w:pPr>
                  <w:r>
                    <w:rPr>
                      <w:rFonts w:ascii="Times New Roman" w:hAnsi="Times New Roman"/>
                      <w:sz w:val="21"/>
                      <w:szCs w:val="21"/>
                    </w:rPr>
                    <w:t>SO</w:t>
                  </w:r>
                  <w:r>
                    <w:rPr>
                      <w:rFonts w:ascii="Times New Roman" w:hAnsi="Times New Roman"/>
                      <w:sz w:val="21"/>
                      <w:szCs w:val="21"/>
                      <w:vertAlign w:val="subscript"/>
                    </w:rPr>
                    <w:t>2</w:t>
                  </w:r>
                </w:p>
              </w:tc>
              <w:tc>
                <w:tcPr>
                  <w:tcW w:w="1595" w:type="pct"/>
                  <w:tcBorders>
                    <w:top w:val="single" w:color="auto" w:sz="4" w:space="0"/>
                    <w:left w:val="nil"/>
                    <w:bottom w:val="single" w:color="auto" w:sz="4" w:space="0"/>
                    <w:right w:val="single" w:color="auto" w:sz="4" w:space="0"/>
                  </w:tcBorders>
                  <w:noWrap w:val="0"/>
                  <w:vAlign w:val="center"/>
                </w:tcPr>
                <w:p>
                  <w:pPr>
                    <w:spacing w:line="360" w:lineRule="exact"/>
                    <w:jc w:val="center"/>
                    <w:rPr>
                      <w:rFonts w:ascii="Times New Roman" w:hAnsi="Times New Roman"/>
                      <w:sz w:val="21"/>
                      <w:szCs w:val="21"/>
                    </w:rPr>
                  </w:pPr>
                  <w:r>
                    <w:rPr>
                      <w:rFonts w:ascii="Times New Roman"/>
                      <w:sz w:val="21"/>
                      <w:szCs w:val="21"/>
                    </w:rPr>
                    <w:t>年平均质量浓度</w:t>
                  </w:r>
                </w:p>
              </w:tc>
              <w:tc>
                <w:tcPr>
                  <w:tcW w:w="755" w:type="pct"/>
                  <w:tcBorders>
                    <w:top w:val="single" w:color="auto" w:sz="4" w:space="0"/>
                    <w:left w:val="nil"/>
                    <w:bottom w:val="single" w:color="auto" w:sz="4" w:space="0"/>
                    <w:right w:val="single" w:color="auto" w:sz="4" w:space="0"/>
                  </w:tcBorders>
                  <w:noWrap w:val="0"/>
                  <w:vAlign w:val="center"/>
                </w:tcPr>
                <w:p>
                  <w:pPr>
                    <w:spacing w:line="360" w:lineRule="exact"/>
                    <w:jc w:val="center"/>
                    <w:rPr>
                      <w:rFonts w:hint="default" w:ascii="Times New Roman" w:hAnsi="Times New Roman" w:eastAsia="宋体"/>
                      <w:sz w:val="21"/>
                      <w:szCs w:val="21"/>
                      <w:lang w:val="en-US" w:eastAsia="zh-CN"/>
                    </w:rPr>
                  </w:pPr>
                  <w:r>
                    <w:rPr>
                      <w:rFonts w:hint="eastAsia" w:ascii="Times New Roman" w:hAnsi="Times New Roman"/>
                      <w:sz w:val="21"/>
                      <w:szCs w:val="21"/>
                      <w:lang w:val="en-US" w:eastAsia="zh-CN"/>
                    </w:rPr>
                    <w:t>15</w:t>
                  </w:r>
                </w:p>
              </w:tc>
              <w:tc>
                <w:tcPr>
                  <w:tcW w:w="671" w:type="pct"/>
                  <w:tcBorders>
                    <w:top w:val="single" w:color="auto" w:sz="4" w:space="0"/>
                    <w:left w:val="nil"/>
                    <w:bottom w:val="single" w:color="auto" w:sz="4" w:space="0"/>
                    <w:right w:val="single" w:color="auto" w:sz="4" w:space="0"/>
                  </w:tcBorders>
                  <w:noWrap w:val="0"/>
                  <w:vAlign w:val="center"/>
                </w:tcPr>
                <w:p>
                  <w:pPr>
                    <w:spacing w:line="360" w:lineRule="exact"/>
                    <w:jc w:val="center"/>
                    <w:rPr>
                      <w:rFonts w:ascii="Times New Roman" w:hAnsi="Times New Roman"/>
                      <w:sz w:val="21"/>
                      <w:szCs w:val="21"/>
                    </w:rPr>
                  </w:pPr>
                  <w:r>
                    <w:rPr>
                      <w:rFonts w:ascii="Times New Roman" w:hAnsi="Times New Roman"/>
                      <w:sz w:val="21"/>
                      <w:szCs w:val="21"/>
                    </w:rPr>
                    <w:t>60</w:t>
                  </w:r>
                </w:p>
              </w:tc>
              <w:tc>
                <w:tcPr>
                  <w:tcW w:w="607" w:type="pct"/>
                  <w:tcBorders>
                    <w:top w:val="single" w:color="auto" w:sz="4" w:space="0"/>
                    <w:left w:val="nil"/>
                    <w:bottom w:val="single" w:color="auto" w:sz="4" w:space="0"/>
                    <w:right w:val="single" w:color="auto" w:sz="4" w:space="0"/>
                  </w:tcBorders>
                  <w:noWrap w:val="0"/>
                  <w:vAlign w:val="center"/>
                </w:tcPr>
                <w:p>
                  <w:pPr>
                    <w:spacing w:line="360" w:lineRule="exact"/>
                    <w:jc w:val="center"/>
                    <w:rPr>
                      <w:rFonts w:ascii="Times New Roman" w:hAnsi="Times New Roman"/>
                      <w:sz w:val="21"/>
                      <w:szCs w:val="21"/>
                    </w:rPr>
                  </w:pPr>
                  <w:r>
                    <w:rPr>
                      <w:rFonts w:ascii="Times New Roman" w:hAnsi="Times New Roman"/>
                      <w:sz w:val="21"/>
                      <w:szCs w:val="21"/>
                    </w:rPr>
                    <w:t>27</w:t>
                  </w:r>
                </w:p>
              </w:tc>
              <w:tc>
                <w:tcPr>
                  <w:tcW w:w="698" w:type="pct"/>
                  <w:tcBorders>
                    <w:top w:val="single" w:color="auto" w:sz="4" w:space="0"/>
                    <w:left w:val="nil"/>
                    <w:bottom w:val="single" w:color="auto" w:sz="4" w:space="0"/>
                  </w:tcBorders>
                  <w:noWrap w:val="0"/>
                  <w:vAlign w:val="center"/>
                </w:tcPr>
                <w:p>
                  <w:pPr>
                    <w:spacing w:line="360" w:lineRule="exact"/>
                    <w:jc w:val="center"/>
                    <w:rPr>
                      <w:rFonts w:ascii="Times New Roman" w:hAnsi="Times New Roman"/>
                      <w:sz w:val="21"/>
                      <w:szCs w:val="21"/>
                    </w:rPr>
                  </w:pPr>
                  <w:r>
                    <w:rPr>
                      <w:rFonts w:ascii="Times New Roman"/>
                      <w:sz w:val="21"/>
                      <w:szCs w:val="21"/>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1" w:type="pct"/>
                  <w:tcBorders>
                    <w:top w:val="single" w:color="auto" w:sz="4" w:space="0"/>
                    <w:bottom w:val="single" w:color="auto" w:sz="4" w:space="0"/>
                    <w:right w:val="single" w:color="auto" w:sz="4" w:space="0"/>
                  </w:tcBorders>
                  <w:noWrap w:val="0"/>
                  <w:vAlign w:val="center"/>
                </w:tcPr>
                <w:p>
                  <w:pPr>
                    <w:spacing w:line="360" w:lineRule="exact"/>
                    <w:jc w:val="center"/>
                    <w:rPr>
                      <w:rFonts w:ascii="Times New Roman" w:hAnsi="Times New Roman"/>
                      <w:sz w:val="21"/>
                      <w:szCs w:val="21"/>
                    </w:rPr>
                  </w:pPr>
                  <w:r>
                    <w:rPr>
                      <w:rFonts w:ascii="Times New Roman" w:hAnsi="Times New Roman"/>
                      <w:sz w:val="21"/>
                      <w:szCs w:val="21"/>
                    </w:rPr>
                    <w:t>NO</w:t>
                  </w:r>
                  <w:r>
                    <w:rPr>
                      <w:rFonts w:ascii="Times New Roman" w:hAnsi="Times New Roman"/>
                      <w:sz w:val="21"/>
                      <w:szCs w:val="21"/>
                      <w:vertAlign w:val="subscript"/>
                    </w:rPr>
                    <w:t>2</w:t>
                  </w:r>
                </w:p>
              </w:tc>
              <w:tc>
                <w:tcPr>
                  <w:tcW w:w="1595" w:type="pct"/>
                  <w:tcBorders>
                    <w:top w:val="single" w:color="auto" w:sz="4" w:space="0"/>
                    <w:left w:val="nil"/>
                    <w:bottom w:val="single" w:color="auto" w:sz="4" w:space="0"/>
                    <w:right w:val="single" w:color="auto" w:sz="4" w:space="0"/>
                  </w:tcBorders>
                  <w:noWrap w:val="0"/>
                  <w:vAlign w:val="center"/>
                </w:tcPr>
                <w:p>
                  <w:pPr>
                    <w:spacing w:line="360" w:lineRule="exact"/>
                    <w:jc w:val="center"/>
                    <w:rPr>
                      <w:rFonts w:ascii="Times New Roman" w:hAnsi="Times New Roman"/>
                      <w:sz w:val="21"/>
                      <w:szCs w:val="21"/>
                    </w:rPr>
                  </w:pPr>
                  <w:r>
                    <w:rPr>
                      <w:rFonts w:ascii="Times New Roman"/>
                      <w:sz w:val="21"/>
                      <w:szCs w:val="21"/>
                    </w:rPr>
                    <w:t>年平均质量浓度</w:t>
                  </w:r>
                </w:p>
              </w:tc>
              <w:tc>
                <w:tcPr>
                  <w:tcW w:w="755" w:type="pct"/>
                  <w:tcBorders>
                    <w:top w:val="single" w:color="auto" w:sz="4" w:space="0"/>
                    <w:left w:val="nil"/>
                    <w:bottom w:val="single" w:color="auto" w:sz="4" w:space="0"/>
                    <w:right w:val="single" w:color="auto" w:sz="4" w:space="0"/>
                  </w:tcBorders>
                  <w:noWrap w:val="0"/>
                  <w:vAlign w:val="center"/>
                </w:tcPr>
                <w:p>
                  <w:pPr>
                    <w:spacing w:line="360" w:lineRule="exact"/>
                    <w:jc w:val="center"/>
                    <w:rPr>
                      <w:rFonts w:hint="default" w:ascii="Times New Roman" w:hAnsi="Times New Roman" w:eastAsia="宋体"/>
                      <w:sz w:val="21"/>
                      <w:szCs w:val="21"/>
                      <w:lang w:val="en-US" w:eastAsia="zh-CN"/>
                    </w:rPr>
                  </w:pPr>
                  <w:r>
                    <w:rPr>
                      <w:rFonts w:hint="eastAsia" w:ascii="Times New Roman" w:hAnsi="Times New Roman"/>
                      <w:sz w:val="21"/>
                      <w:szCs w:val="21"/>
                      <w:lang w:val="en-US" w:eastAsia="zh-CN"/>
                    </w:rPr>
                    <w:t>34</w:t>
                  </w:r>
                </w:p>
              </w:tc>
              <w:tc>
                <w:tcPr>
                  <w:tcW w:w="671" w:type="pct"/>
                  <w:tcBorders>
                    <w:top w:val="single" w:color="auto" w:sz="4" w:space="0"/>
                    <w:left w:val="nil"/>
                    <w:bottom w:val="single" w:color="auto" w:sz="4" w:space="0"/>
                    <w:right w:val="single" w:color="auto" w:sz="4" w:space="0"/>
                  </w:tcBorders>
                  <w:noWrap w:val="0"/>
                  <w:vAlign w:val="center"/>
                </w:tcPr>
                <w:p>
                  <w:pPr>
                    <w:spacing w:line="360" w:lineRule="exact"/>
                    <w:jc w:val="center"/>
                    <w:rPr>
                      <w:rFonts w:ascii="Times New Roman" w:hAnsi="Times New Roman"/>
                      <w:sz w:val="21"/>
                      <w:szCs w:val="21"/>
                    </w:rPr>
                  </w:pPr>
                  <w:r>
                    <w:rPr>
                      <w:rFonts w:ascii="Times New Roman" w:hAnsi="Times New Roman"/>
                      <w:sz w:val="21"/>
                      <w:szCs w:val="21"/>
                    </w:rPr>
                    <w:t>40</w:t>
                  </w:r>
                </w:p>
              </w:tc>
              <w:tc>
                <w:tcPr>
                  <w:tcW w:w="607" w:type="pct"/>
                  <w:tcBorders>
                    <w:top w:val="single" w:color="auto" w:sz="4" w:space="0"/>
                    <w:left w:val="nil"/>
                    <w:bottom w:val="single" w:color="auto" w:sz="4" w:space="0"/>
                    <w:right w:val="single" w:color="auto" w:sz="4" w:space="0"/>
                  </w:tcBorders>
                  <w:noWrap w:val="0"/>
                  <w:vAlign w:val="center"/>
                </w:tcPr>
                <w:p>
                  <w:pPr>
                    <w:spacing w:line="360" w:lineRule="exact"/>
                    <w:jc w:val="center"/>
                    <w:rPr>
                      <w:rFonts w:ascii="Times New Roman" w:hAnsi="Times New Roman"/>
                      <w:sz w:val="21"/>
                      <w:szCs w:val="21"/>
                    </w:rPr>
                  </w:pPr>
                  <w:r>
                    <w:rPr>
                      <w:rFonts w:ascii="Times New Roman" w:hAnsi="Times New Roman"/>
                      <w:sz w:val="21"/>
                      <w:szCs w:val="21"/>
                    </w:rPr>
                    <w:t>90</w:t>
                  </w:r>
                </w:p>
              </w:tc>
              <w:tc>
                <w:tcPr>
                  <w:tcW w:w="698" w:type="pct"/>
                  <w:tcBorders>
                    <w:top w:val="single" w:color="auto" w:sz="4" w:space="0"/>
                    <w:left w:val="nil"/>
                    <w:bottom w:val="single" w:color="auto" w:sz="4" w:space="0"/>
                  </w:tcBorders>
                  <w:noWrap w:val="0"/>
                  <w:vAlign w:val="center"/>
                </w:tcPr>
                <w:p>
                  <w:pPr>
                    <w:spacing w:line="360" w:lineRule="exact"/>
                    <w:jc w:val="center"/>
                    <w:rPr>
                      <w:rFonts w:ascii="Times New Roman" w:hAnsi="Times New Roman"/>
                      <w:sz w:val="21"/>
                      <w:szCs w:val="21"/>
                    </w:rPr>
                  </w:pPr>
                  <w:r>
                    <w:rPr>
                      <w:rFonts w:ascii="Times New Roman"/>
                      <w:sz w:val="21"/>
                      <w:szCs w:val="21"/>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1" w:type="pct"/>
                  <w:tcBorders>
                    <w:top w:val="single" w:color="auto" w:sz="4" w:space="0"/>
                    <w:bottom w:val="single" w:color="auto" w:sz="4" w:space="0"/>
                    <w:right w:val="single" w:color="auto" w:sz="4" w:space="0"/>
                  </w:tcBorders>
                  <w:noWrap w:val="0"/>
                  <w:vAlign w:val="center"/>
                </w:tcPr>
                <w:p>
                  <w:pPr>
                    <w:spacing w:line="360" w:lineRule="exact"/>
                    <w:jc w:val="center"/>
                    <w:rPr>
                      <w:rFonts w:ascii="Times New Roman" w:hAnsi="Times New Roman"/>
                      <w:sz w:val="21"/>
                      <w:szCs w:val="21"/>
                    </w:rPr>
                  </w:pPr>
                  <w:r>
                    <w:rPr>
                      <w:rFonts w:ascii="Times New Roman" w:hAnsi="Times New Roman"/>
                      <w:sz w:val="21"/>
                      <w:szCs w:val="21"/>
                    </w:rPr>
                    <w:t>CO</w:t>
                  </w:r>
                </w:p>
              </w:tc>
              <w:tc>
                <w:tcPr>
                  <w:tcW w:w="1595" w:type="pct"/>
                  <w:tcBorders>
                    <w:top w:val="single" w:color="auto" w:sz="4" w:space="0"/>
                    <w:left w:val="nil"/>
                    <w:bottom w:val="single" w:color="auto" w:sz="4" w:space="0"/>
                    <w:right w:val="single" w:color="auto" w:sz="4" w:space="0"/>
                  </w:tcBorders>
                  <w:noWrap w:val="0"/>
                  <w:vAlign w:val="center"/>
                </w:tcPr>
                <w:p>
                  <w:pPr>
                    <w:spacing w:line="360" w:lineRule="exact"/>
                    <w:jc w:val="center"/>
                    <w:rPr>
                      <w:rFonts w:ascii="Times New Roman" w:hAnsi="Times New Roman"/>
                      <w:sz w:val="21"/>
                      <w:szCs w:val="21"/>
                    </w:rPr>
                  </w:pPr>
                  <w:r>
                    <w:rPr>
                      <w:rFonts w:ascii="Times New Roman" w:hAnsi="Times New Roman"/>
                      <w:sz w:val="21"/>
                      <w:szCs w:val="21"/>
                    </w:rPr>
                    <w:t>24</w:t>
                  </w:r>
                  <w:r>
                    <w:rPr>
                      <w:rFonts w:ascii="Times New Roman" w:hAnsi="宋体"/>
                      <w:sz w:val="21"/>
                      <w:szCs w:val="21"/>
                    </w:rPr>
                    <w:t>平均第</w:t>
                  </w:r>
                  <w:r>
                    <w:rPr>
                      <w:rFonts w:ascii="Times New Roman" w:hAnsi="Times New Roman"/>
                      <w:sz w:val="21"/>
                      <w:szCs w:val="21"/>
                    </w:rPr>
                    <w:t>95</w:t>
                  </w:r>
                  <w:r>
                    <w:rPr>
                      <w:rFonts w:ascii="Times New Roman" w:hAnsi="宋体"/>
                      <w:sz w:val="21"/>
                      <w:szCs w:val="21"/>
                    </w:rPr>
                    <w:t>百分位数浓度</w:t>
                  </w:r>
                </w:p>
              </w:tc>
              <w:tc>
                <w:tcPr>
                  <w:tcW w:w="755" w:type="pct"/>
                  <w:tcBorders>
                    <w:top w:val="single" w:color="auto" w:sz="4" w:space="0"/>
                    <w:left w:val="nil"/>
                    <w:bottom w:val="single" w:color="auto" w:sz="4" w:space="0"/>
                    <w:right w:val="single" w:color="auto" w:sz="4" w:space="0"/>
                  </w:tcBorders>
                  <w:noWrap w:val="0"/>
                  <w:vAlign w:val="center"/>
                </w:tcPr>
                <w:p>
                  <w:pPr>
                    <w:spacing w:line="360" w:lineRule="exact"/>
                    <w:jc w:val="center"/>
                    <w:rPr>
                      <w:rFonts w:hint="default" w:ascii="Times New Roman" w:hAnsi="Times New Roman" w:eastAsia="宋体"/>
                      <w:sz w:val="21"/>
                      <w:szCs w:val="21"/>
                      <w:lang w:val="en-US" w:eastAsia="zh-CN"/>
                    </w:rPr>
                  </w:pPr>
                  <w:r>
                    <w:rPr>
                      <w:rFonts w:hint="eastAsia" w:ascii="Times New Roman" w:hAnsi="Times New Roman"/>
                      <w:sz w:val="21"/>
                      <w:szCs w:val="21"/>
                      <w:lang w:val="en-US" w:eastAsia="zh-CN"/>
                    </w:rPr>
                    <w:t>1.0</w:t>
                  </w:r>
                </w:p>
              </w:tc>
              <w:tc>
                <w:tcPr>
                  <w:tcW w:w="671" w:type="pct"/>
                  <w:tcBorders>
                    <w:top w:val="single" w:color="auto" w:sz="4" w:space="0"/>
                    <w:left w:val="nil"/>
                    <w:bottom w:val="single" w:color="auto" w:sz="4" w:space="0"/>
                    <w:right w:val="single" w:color="auto" w:sz="4" w:space="0"/>
                  </w:tcBorders>
                  <w:noWrap w:val="0"/>
                  <w:vAlign w:val="center"/>
                </w:tcPr>
                <w:p>
                  <w:pPr>
                    <w:spacing w:line="360" w:lineRule="exact"/>
                    <w:jc w:val="center"/>
                    <w:rPr>
                      <w:rFonts w:ascii="Times New Roman" w:hAnsi="Times New Roman"/>
                      <w:sz w:val="21"/>
                      <w:szCs w:val="21"/>
                    </w:rPr>
                  </w:pPr>
                  <w:r>
                    <w:rPr>
                      <w:rFonts w:ascii="Times New Roman" w:hAnsi="Times New Roman"/>
                      <w:sz w:val="21"/>
                      <w:szCs w:val="21"/>
                    </w:rPr>
                    <w:t>4mg/m</w:t>
                  </w:r>
                  <w:r>
                    <w:rPr>
                      <w:rFonts w:ascii="Times New Roman" w:hAnsi="Times New Roman"/>
                      <w:sz w:val="21"/>
                      <w:szCs w:val="21"/>
                      <w:vertAlign w:val="superscript"/>
                    </w:rPr>
                    <w:t>3</w:t>
                  </w:r>
                </w:p>
              </w:tc>
              <w:tc>
                <w:tcPr>
                  <w:tcW w:w="607" w:type="pct"/>
                  <w:tcBorders>
                    <w:top w:val="single" w:color="auto" w:sz="4" w:space="0"/>
                    <w:left w:val="nil"/>
                    <w:bottom w:val="single" w:color="auto" w:sz="4" w:space="0"/>
                    <w:right w:val="single" w:color="auto" w:sz="4" w:space="0"/>
                  </w:tcBorders>
                  <w:noWrap w:val="0"/>
                  <w:vAlign w:val="center"/>
                </w:tcPr>
                <w:p>
                  <w:pPr>
                    <w:spacing w:line="360" w:lineRule="exact"/>
                    <w:jc w:val="center"/>
                    <w:rPr>
                      <w:rFonts w:hint="default" w:ascii="Times New Roman" w:hAnsi="Times New Roman" w:eastAsia="宋体"/>
                      <w:sz w:val="21"/>
                      <w:szCs w:val="21"/>
                      <w:lang w:val="en-US" w:eastAsia="zh-CN"/>
                    </w:rPr>
                  </w:pPr>
                  <w:r>
                    <w:rPr>
                      <w:rFonts w:hint="eastAsia" w:ascii="Times New Roman" w:hAnsi="Times New Roman"/>
                      <w:sz w:val="21"/>
                      <w:szCs w:val="21"/>
                      <w:lang w:val="en-US" w:eastAsia="zh-CN"/>
                    </w:rPr>
                    <w:t>25</w:t>
                  </w:r>
                </w:p>
              </w:tc>
              <w:tc>
                <w:tcPr>
                  <w:tcW w:w="698" w:type="pct"/>
                  <w:tcBorders>
                    <w:top w:val="single" w:color="auto" w:sz="4" w:space="0"/>
                    <w:left w:val="nil"/>
                    <w:bottom w:val="single" w:color="auto" w:sz="4" w:space="0"/>
                  </w:tcBorders>
                  <w:noWrap w:val="0"/>
                  <w:vAlign w:val="center"/>
                </w:tcPr>
                <w:p>
                  <w:pPr>
                    <w:spacing w:line="360" w:lineRule="exact"/>
                    <w:jc w:val="center"/>
                    <w:rPr>
                      <w:rFonts w:ascii="Times New Roman" w:hAnsi="Times New Roman"/>
                      <w:sz w:val="21"/>
                      <w:szCs w:val="21"/>
                    </w:rPr>
                  </w:pPr>
                  <w:r>
                    <w:rPr>
                      <w:rFonts w:ascii="Times New Roman"/>
                      <w:sz w:val="21"/>
                      <w:szCs w:val="21"/>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1" w:type="pct"/>
                  <w:tcBorders>
                    <w:top w:val="single" w:color="auto" w:sz="4" w:space="0"/>
                    <w:bottom w:val="single" w:color="auto" w:sz="4" w:space="0"/>
                    <w:right w:val="single" w:color="auto" w:sz="4" w:space="0"/>
                  </w:tcBorders>
                  <w:noWrap w:val="0"/>
                  <w:vAlign w:val="center"/>
                </w:tcPr>
                <w:p>
                  <w:pPr>
                    <w:spacing w:line="360" w:lineRule="exact"/>
                    <w:jc w:val="center"/>
                    <w:rPr>
                      <w:rFonts w:ascii="Times New Roman" w:hAnsi="Times New Roman"/>
                      <w:sz w:val="21"/>
                      <w:szCs w:val="21"/>
                    </w:rPr>
                  </w:pPr>
                  <w:r>
                    <w:rPr>
                      <w:rFonts w:ascii="Times New Roman" w:hAnsi="Times New Roman"/>
                      <w:sz w:val="21"/>
                      <w:szCs w:val="21"/>
                    </w:rPr>
                    <w:t>O</w:t>
                  </w:r>
                  <w:r>
                    <w:rPr>
                      <w:rFonts w:ascii="Times New Roman" w:hAnsi="Times New Roman"/>
                      <w:sz w:val="21"/>
                      <w:szCs w:val="21"/>
                      <w:vertAlign w:val="subscript"/>
                    </w:rPr>
                    <w:t>3</w:t>
                  </w:r>
                </w:p>
              </w:tc>
              <w:tc>
                <w:tcPr>
                  <w:tcW w:w="1595" w:type="pct"/>
                  <w:tcBorders>
                    <w:top w:val="single" w:color="auto" w:sz="4" w:space="0"/>
                    <w:left w:val="nil"/>
                    <w:bottom w:val="single" w:color="auto" w:sz="4" w:space="0"/>
                    <w:right w:val="single" w:color="auto" w:sz="4" w:space="0"/>
                  </w:tcBorders>
                  <w:noWrap w:val="0"/>
                  <w:vAlign w:val="center"/>
                </w:tcPr>
                <w:p>
                  <w:pPr>
                    <w:spacing w:line="360" w:lineRule="exact"/>
                    <w:jc w:val="center"/>
                    <w:rPr>
                      <w:rFonts w:ascii="Times New Roman" w:hAnsi="Times New Roman"/>
                      <w:sz w:val="21"/>
                      <w:szCs w:val="21"/>
                    </w:rPr>
                  </w:pPr>
                  <w:r>
                    <w:rPr>
                      <w:rFonts w:ascii="Times New Roman"/>
                      <w:sz w:val="21"/>
                      <w:szCs w:val="21"/>
                    </w:rPr>
                    <w:t>最大</w:t>
                  </w:r>
                  <w:r>
                    <w:rPr>
                      <w:rFonts w:ascii="Times New Roman" w:hAnsi="Times New Roman"/>
                      <w:sz w:val="21"/>
                      <w:szCs w:val="21"/>
                    </w:rPr>
                    <w:t>8h</w:t>
                  </w:r>
                  <w:r>
                    <w:rPr>
                      <w:rFonts w:ascii="Times New Roman" w:hAnsi="宋体"/>
                      <w:sz w:val="21"/>
                      <w:szCs w:val="21"/>
                    </w:rPr>
                    <w:t>平均质量浓度第</w:t>
                  </w:r>
                  <w:r>
                    <w:rPr>
                      <w:rFonts w:ascii="Times New Roman" w:hAnsi="Times New Roman"/>
                      <w:sz w:val="21"/>
                      <w:szCs w:val="21"/>
                    </w:rPr>
                    <w:t>90</w:t>
                  </w:r>
                  <w:r>
                    <w:rPr>
                      <w:rFonts w:ascii="Times New Roman" w:hAnsi="宋体"/>
                      <w:sz w:val="21"/>
                      <w:szCs w:val="21"/>
                    </w:rPr>
                    <w:t>百分位数浓度</w:t>
                  </w:r>
                </w:p>
              </w:tc>
              <w:tc>
                <w:tcPr>
                  <w:tcW w:w="755" w:type="pct"/>
                  <w:tcBorders>
                    <w:top w:val="single" w:color="auto" w:sz="4" w:space="0"/>
                    <w:left w:val="nil"/>
                    <w:bottom w:val="single" w:color="auto" w:sz="4" w:space="0"/>
                    <w:right w:val="single" w:color="auto" w:sz="4" w:space="0"/>
                  </w:tcBorders>
                  <w:noWrap w:val="0"/>
                  <w:vAlign w:val="center"/>
                </w:tcPr>
                <w:p>
                  <w:pPr>
                    <w:spacing w:line="360" w:lineRule="exact"/>
                    <w:jc w:val="center"/>
                    <w:rPr>
                      <w:rFonts w:hint="default" w:ascii="Times New Roman" w:hAnsi="Times New Roman" w:eastAsia="宋体"/>
                      <w:sz w:val="21"/>
                      <w:szCs w:val="21"/>
                      <w:lang w:val="en-US" w:eastAsia="zh-CN"/>
                    </w:rPr>
                  </w:pPr>
                  <w:r>
                    <w:rPr>
                      <w:rFonts w:hint="eastAsia" w:ascii="Times New Roman" w:hAnsi="Times New Roman"/>
                      <w:sz w:val="21"/>
                      <w:szCs w:val="21"/>
                      <w:lang w:val="en-US" w:eastAsia="zh-CN"/>
                    </w:rPr>
                    <w:t>111</w:t>
                  </w:r>
                </w:p>
              </w:tc>
              <w:tc>
                <w:tcPr>
                  <w:tcW w:w="671" w:type="pct"/>
                  <w:tcBorders>
                    <w:top w:val="single" w:color="auto" w:sz="4" w:space="0"/>
                    <w:left w:val="nil"/>
                    <w:bottom w:val="single" w:color="auto" w:sz="4" w:space="0"/>
                    <w:right w:val="single" w:color="auto" w:sz="4" w:space="0"/>
                  </w:tcBorders>
                  <w:noWrap w:val="0"/>
                  <w:vAlign w:val="center"/>
                </w:tcPr>
                <w:p>
                  <w:pPr>
                    <w:spacing w:line="360" w:lineRule="exact"/>
                    <w:jc w:val="center"/>
                    <w:rPr>
                      <w:rFonts w:ascii="Times New Roman" w:hAnsi="Times New Roman"/>
                      <w:sz w:val="21"/>
                      <w:szCs w:val="21"/>
                    </w:rPr>
                  </w:pPr>
                  <w:r>
                    <w:rPr>
                      <w:rFonts w:ascii="Times New Roman" w:hAnsi="Times New Roman"/>
                      <w:sz w:val="21"/>
                      <w:szCs w:val="21"/>
                    </w:rPr>
                    <w:t>160</w:t>
                  </w:r>
                </w:p>
              </w:tc>
              <w:tc>
                <w:tcPr>
                  <w:tcW w:w="607" w:type="pct"/>
                  <w:tcBorders>
                    <w:top w:val="single" w:color="auto" w:sz="4" w:space="0"/>
                    <w:left w:val="nil"/>
                    <w:bottom w:val="single" w:color="auto" w:sz="4" w:space="0"/>
                    <w:right w:val="single" w:color="auto" w:sz="4" w:space="0"/>
                  </w:tcBorders>
                  <w:noWrap w:val="0"/>
                  <w:vAlign w:val="center"/>
                </w:tcPr>
                <w:p>
                  <w:pPr>
                    <w:spacing w:line="360" w:lineRule="exact"/>
                    <w:jc w:val="center"/>
                    <w:rPr>
                      <w:rFonts w:hint="default" w:ascii="Times New Roman" w:hAnsi="Times New Roman" w:eastAsia="宋体"/>
                      <w:sz w:val="21"/>
                      <w:szCs w:val="21"/>
                      <w:lang w:val="en-US" w:eastAsia="zh-CN"/>
                    </w:rPr>
                  </w:pPr>
                  <w:r>
                    <w:rPr>
                      <w:rFonts w:hint="eastAsia" w:ascii="Times New Roman" w:hAnsi="Times New Roman"/>
                      <w:sz w:val="21"/>
                      <w:szCs w:val="21"/>
                      <w:lang w:val="en-US" w:eastAsia="zh-CN"/>
                    </w:rPr>
                    <w:t>69</w:t>
                  </w:r>
                </w:p>
              </w:tc>
              <w:tc>
                <w:tcPr>
                  <w:tcW w:w="698" w:type="pct"/>
                  <w:tcBorders>
                    <w:top w:val="single" w:color="auto" w:sz="4" w:space="0"/>
                    <w:left w:val="nil"/>
                    <w:bottom w:val="single" w:color="auto" w:sz="4" w:space="0"/>
                  </w:tcBorders>
                  <w:noWrap w:val="0"/>
                  <w:vAlign w:val="center"/>
                </w:tcPr>
                <w:p>
                  <w:pPr>
                    <w:spacing w:line="360" w:lineRule="exact"/>
                    <w:jc w:val="center"/>
                    <w:rPr>
                      <w:rFonts w:ascii="Times New Roman" w:hAnsi="Times New Roman"/>
                      <w:sz w:val="21"/>
                      <w:szCs w:val="21"/>
                    </w:rPr>
                  </w:pPr>
                  <w:r>
                    <w:rPr>
                      <w:rFonts w:ascii="Times New Roman"/>
                      <w:sz w:val="21"/>
                      <w:szCs w:val="21"/>
                    </w:rPr>
                    <w:t>达标</w:t>
                  </w:r>
                </w:p>
              </w:tc>
            </w:tr>
          </w:tbl>
          <w:p>
            <w:pPr>
              <w:spacing w:line="520" w:lineRule="exact"/>
              <w:ind w:firstLine="480"/>
              <w:rPr>
                <w:rFonts w:ascii="Times New Roman" w:hAnsi="Times New Roman" w:eastAsia="宋体" w:cs="Times New Roman"/>
                <w:bCs/>
                <w:sz w:val="24"/>
                <w:szCs w:val="24"/>
              </w:rPr>
            </w:pPr>
            <w:r>
              <w:rPr>
                <w:rFonts w:hint="eastAsia" w:cs="Times New Roman"/>
                <w:bCs/>
                <w:sz w:val="24"/>
                <w:szCs w:val="24"/>
                <w:lang w:val="en-US" w:eastAsia="zh-CN"/>
              </w:rPr>
              <w:t>B</w:t>
            </w:r>
            <w:r>
              <w:rPr>
                <w:rFonts w:ascii="Times New Roman" w:hAnsi="Times New Roman" w:eastAsia="宋体" w:cs="Times New Roman"/>
                <w:bCs/>
                <w:sz w:val="24"/>
                <w:szCs w:val="24"/>
              </w:rPr>
              <w:t>、</w:t>
            </w:r>
            <w:r>
              <w:rPr>
                <w:rFonts w:hint="eastAsia" w:cs="Times New Roman"/>
                <w:bCs/>
                <w:sz w:val="24"/>
                <w:szCs w:val="24"/>
                <w:lang w:eastAsia="zh-CN"/>
              </w:rPr>
              <w:t>特征因子</w:t>
            </w:r>
            <w:r>
              <w:rPr>
                <w:rFonts w:ascii="Times New Roman" w:hAnsi="Times New Roman" w:eastAsia="宋体" w:cs="Times New Roman"/>
                <w:bCs/>
                <w:sz w:val="24"/>
                <w:szCs w:val="24"/>
              </w:rPr>
              <w:t>调查数据</w:t>
            </w:r>
          </w:p>
          <w:p>
            <w:pPr>
              <w:pStyle w:val="82"/>
              <w:keepNext w:val="0"/>
              <w:keepLines w:val="0"/>
              <w:pageBreakBefore w:val="0"/>
              <w:widowControl w:val="0"/>
              <w:kinsoku/>
              <w:wordWrap/>
              <w:overflowPunct/>
              <w:topLinePunct w:val="0"/>
              <w:autoSpaceDE/>
              <w:autoSpaceDN/>
              <w:bidi w:val="0"/>
              <w:adjustRightInd w:val="0"/>
              <w:snapToGrid w:val="0"/>
              <w:spacing w:line="520" w:lineRule="exact"/>
              <w:ind w:firstLine="480"/>
              <w:jc w:val="both"/>
              <w:textAlignment w:val="auto"/>
              <w:rPr>
                <w:rFonts w:hint="eastAsia" w:cs="Times New Roman"/>
                <w:bCs/>
                <w:sz w:val="24"/>
                <w:szCs w:val="24"/>
                <w:lang w:val="en-US" w:eastAsia="zh-CN"/>
              </w:rPr>
            </w:pPr>
            <w:r>
              <w:rPr>
                <w:rFonts w:ascii="Times New Roman" w:hAnsi="Times New Roman" w:eastAsia="宋体" w:cs="Times New Roman"/>
                <w:bCs/>
                <w:sz w:val="24"/>
                <w:szCs w:val="24"/>
              </w:rPr>
              <w:t>本项目</w:t>
            </w:r>
            <w:r>
              <w:rPr>
                <w:rFonts w:hint="eastAsia" w:cs="Times New Roman"/>
                <w:bCs/>
                <w:sz w:val="24"/>
                <w:szCs w:val="24"/>
                <w:lang w:eastAsia="zh-CN"/>
              </w:rPr>
              <w:t>特征因子为颗粒物环境本底值浓度采用企业委托漯河市宏安检测评价服务有限公司</w:t>
            </w:r>
            <w:r>
              <w:rPr>
                <w:rFonts w:hint="eastAsia" w:cs="Times New Roman"/>
                <w:bCs/>
                <w:sz w:val="24"/>
                <w:szCs w:val="24"/>
                <w:lang w:val="en-US" w:eastAsia="zh-CN"/>
              </w:rPr>
              <w:t>2020年11月20~21日对项目周边环境空气的监测数据，具体统计如下：</w:t>
            </w:r>
          </w:p>
          <w:p>
            <w:pPr>
              <w:pStyle w:val="7"/>
              <w:spacing w:beforeLines="50"/>
              <w:jc w:val="center"/>
              <w:rPr>
                <w:rFonts w:hint="eastAsia" w:ascii="Times New Roman" w:hAnsi="宋体" w:cs="Times New Roman"/>
                <w:b/>
                <w:bCs w:val="0"/>
                <w:sz w:val="24"/>
                <w:szCs w:val="24"/>
                <w:vertAlign w:val="superscript"/>
              </w:rPr>
            </w:pPr>
            <w:r>
              <w:rPr>
                <w:rFonts w:ascii="Times New Roman" w:hAnsi="宋体" w:cs="Times New Roman"/>
                <w:b/>
                <w:bCs w:val="0"/>
                <w:sz w:val="24"/>
                <w:szCs w:val="24"/>
              </w:rPr>
              <w:t>表</w:t>
            </w:r>
            <w:r>
              <w:rPr>
                <w:rFonts w:hint="eastAsia" w:ascii="Times New Roman" w:hAnsi="宋体" w:cs="Times New Roman"/>
                <w:b/>
                <w:bCs w:val="0"/>
                <w:sz w:val="24"/>
                <w:szCs w:val="24"/>
                <w:lang w:val="en-US" w:eastAsia="zh-CN"/>
              </w:rPr>
              <w:t>7</w:t>
            </w:r>
            <w:r>
              <w:rPr>
                <w:rFonts w:ascii="Times New Roman" w:hAnsi="宋体" w:cs="Times New Roman"/>
                <w:b/>
                <w:bCs w:val="0"/>
                <w:sz w:val="24"/>
                <w:szCs w:val="24"/>
              </w:rPr>
              <w:t xml:space="preserve">  </w:t>
            </w:r>
            <w:r>
              <w:rPr>
                <w:rFonts w:hint="eastAsia" w:ascii="Times New Roman" w:hAnsi="宋体" w:cs="Times New Roman"/>
                <w:b/>
                <w:bCs w:val="0"/>
                <w:sz w:val="24"/>
                <w:szCs w:val="24"/>
                <w:lang w:eastAsia="zh-CN"/>
              </w:rPr>
              <w:t>颗粒物</w:t>
            </w:r>
            <w:r>
              <w:rPr>
                <w:rFonts w:ascii="Times New Roman" w:hAnsi="宋体" w:cs="Times New Roman"/>
                <w:b/>
                <w:bCs w:val="0"/>
                <w:sz w:val="24"/>
                <w:szCs w:val="24"/>
              </w:rPr>
              <w:t>环境空气质量现状  单位：μg/m</w:t>
            </w:r>
            <w:r>
              <w:rPr>
                <w:rFonts w:ascii="Times New Roman" w:hAnsi="宋体" w:cs="Times New Roman"/>
                <w:b/>
                <w:bCs w:val="0"/>
                <w:sz w:val="24"/>
                <w:szCs w:val="24"/>
                <w:vertAlign w:val="superscript"/>
              </w:rPr>
              <w:t>3</w:t>
            </w:r>
          </w:p>
          <w:tbl>
            <w:tblPr>
              <w:tblStyle w:val="23"/>
              <w:tblW w:w="4997"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17"/>
              <w:gridCol w:w="2531"/>
              <w:gridCol w:w="1732"/>
              <w:gridCol w:w="1217"/>
              <w:gridCol w:w="1210"/>
              <w:gridCol w:w="115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1" w:type="pct"/>
                  <w:tcBorders>
                    <w:top w:val="single" w:color="auto" w:sz="4" w:space="0"/>
                    <w:bottom w:val="single" w:color="auto" w:sz="4" w:space="0"/>
                    <w:right w:val="single" w:color="auto" w:sz="4" w:space="0"/>
                  </w:tcBorders>
                  <w:noWrap w:val="0"/>
                  <w:vAlign w:val="center"/>
                </w:tcPr>
                <w:p>
                  <w:pPr>
                    <w:spacing w:line="360" w:lineRule="exact"/>
                    <w:jc w:val="center"/>
                    <w:rPr>
                      <w:rFonts w:ascii="Times New Roman" w:hAnsi="Times New Roman"/>
                      <w:sz w:val="21"/>
                      <w:szCs w:val="21"/>
                    </w:rPr>
                  </w:pPr>
                  <w:r>
                    <w:rPr>
                      <w:rFonts w:ascii="Times New Roman"/>
                      <w:sz w:val="21"/>
                      <w:szCs w:val="21"/>
                    </w:rPr>
                    <w:t>污染物</w:t>
                  </w:r>
                </w:p>
              </w:tc>
              <w:tc>
                <w:tcPr>
                  <w:tcW w:w="1395" w:type="pct"/>
                  <w:tcBorders>
                    <w:top w:val="single" w:color="auto" w:sz="4" w:space="0"/>
                    <w:left w:val="nil"/>
                    <w:bottom w:val="single" w:color="auto" w:sz="4" w:space="0"/>
                    <w:right w:val="single" w:color="auto" w:sz="4" w:space="0"/>
                  </w:tcBorders>
                  <w:noWrap w:val="0"/>
                  <w:vAlign w:val="center"/>
                </w:tcPr>
                <w:p>
                  <w:pPr>
                    <w:spacing w:line="360" w:lineRule="exact"/>
                    <w:jc w:val="center"/>
                    <w:rPr>
                      <w:rFonts w:hint="eastAsia" w:ascii="Times New Roman" w:hAnsi="Times New Roman" w:eastAsia="宋体"/>
                      <w:sz w:val="21"/>
                      <w:szCs w:val="21"/>
                      <w:lang w:eastAsia="zh-CN"/>
                    </w:rPr>
                  </w:pPr>
                  <w:r>
                    <w:rPr>
                      <w:rFonts w:hint="eastAsia" w:ascii="Times New Roman"/>
                      <w:sz w:val="21"/>
                      <w:szCs w:val="21"/>
                      <w:lang w:eastAsia="zh-CN"/>
                    </w:rPr>
                    <w:t>采样时间</w:t>
                  </w:r>
                </w:p>
              </w:tc>
              <w:tc>
                <w:tcPr>
                  <w:tcW w:w="955" w:type="pct"/>
                  <w:tcBorders>
                    <w:top w:val="single" w:color="auto" w:sz="4" w:space="0"/>
                    <w:left w:val="nil"/>
                    <w:bottom w:val="single" w:color="auto" w:sz="4" w:space="0"/>
                    <w:right w:val="single" w:color="auto" w:sz="4" w:space="0"/>
                  </w:tcBorders>
                  <w:noWrap w:val="0"/>
                  <w:vAlign w:val="center"/>
                </w:tcPr>
                <w:p>
                  <w:pPr>
                    <w:spacing w:line="360" w:lineRule="exact"/>
                    <w:jc w:val="center"/>
                    <w:rPr>
                      <w:rFonts w:ascii="Times New Roman" w:hAnsi="Times New Roman"/>
                      <w:sz w:val="21"/>
                      <w:szCs w:val="21"/>
                    </w:rPr>
                  </w:pPr>
                  <w:r>
                    <w:rPr>
                      <w:rFonts w:ascii="Times New Roman"/>
                      <w:sz w:val="21"/>
                      <w:szCs w:val="21"/>
                    </w:rPr>
                    <w:t>现状浓度</w:t>
                  </w:r>
                  <w:r>
                    <w:rPr>
                      <w:rFonts w:hint="eastAsia" w:ascii="Times New Roman"/>
                      <w:sz w:val="21"/>
                      <w:szCs w:val="21"/>
                      <w:lang w:eastAsia="zh-CN"/>
                    </w:rPr>
                    <w:t>范围</w:t>
                  </w:r>
                  <w:r>
                    <w:rPr>
                      <w:rFonts w:ascii="Times New Roman"/>
                      <w:sz w:val="21"/>
                      <w:szCs w:val="21"/>
                    </w:rPr>
                    <w:t>（</w:t>
                  </w:r>
                  <w:r>
                    <w:rPr>
                      <w:rFonts w:hint="eastAsia" w:ascii="Times New Roman" w:hAnsi="Times New Roman"/>
                      <w:sz w:val="21"/>
                      <w:szCs w:val="21"/>
                      <w:lang w:val="en-US" w:eastAsia="zh-CN"/>
                    </w:rPr>
                    <w:t>m</w:t>
                  </w:r>
                  <w:r>
                    <w:rPr>
                      <w:rFonts w:ascii="Times New Roman" w:hAnsi="Times New Roman" w:eastAsia="黑体"/>
                      <w:sz w:val="21"/>
                      <w:szCs w:val="21"/>
                    </w:rPr>
                    <w:t>g/m</w:t>
                  </w:r>
                  <w:r>
                    <w:rPr>
                      <w:rFonts w:ascii="Times New Roman" w:hAnsi="Times New Roman" w:eastAsia="黑体"/>
                      <w:sz w:val="21"/>
                      <w:szCs w:val="21"/>
                      <w:vertAlign w:val="superscript"/>
                    </w:rPr>
                    <w:t>3</w:t>
                  </w:r>
                  <w:r>
                    <w:rPr>
                      <w:rFonts w:ascii="Times New Roman"/>
                      <w:sz w:val="21"/>
                      <w:szCs w:val="21"/>
                    </w:rPr>
                    <w:t>）</w:t>
                  </w:r>
                </w:p>
              </w:tc>
              <w:tc>
                <w:tcPr>
                  <w:tcW w:w="671" w:type="pct"/>
                  <w:tcBorders>
                    <w:top w:val="single" w:color="auto" w:sz="4" w:space="0"/>
                    <w:left w:val="nil"/>
                    <w:bottom w:val="single" w:color="auto" w:sz="4" w:space="0"/>
                    <w:right w:val="single" w:color="auto" w:sz="4" w:space="0"/>
                  </w:tcBorders>
                  <w:noWrap w:val="0"/>
                  <w:vAlign w:val="center"/>
                </w:tcPr>
                <w:p>
                  <w:pPr>
                    <w:spacing w:line="360" w:lineRule="exact"/>
                    <w:jc w:val="center"/>
                    <w:rPr>
                      <w:rFonts w:ascii="Times New Roman" w:hAnsi="Times New Roman"/>
                      <w:sz w:val="21"/>
                      <w:szCs w:val="21"/>
                    </w:rPr>
                  </w:pPr>
                  <w:r>
                    <w:rPr>
                      <w:rFonts w:ascii="Times New Roman"/>
                      <w:sz w:val="21"/>
                      <w:szCs w:val="21"/>
                    </w:rPr>
                    <w:t>标准值（</w:t>
                  </w:r>
                  <w:r>
                    <w:rPr>
                      <w:rFonts w:hint="eastAsia" w:ascii="Times New Roman" w:hAnsi="Times New Roman"/>
                      <w:sz w:val="21"/>
                      <w:szCs w:val="21"/>
                      <w:lang w:val="en-US" w:eastAsia="zh-CN"/>
                    </w:rPr>
                    <w:t>m</w:t>
                  </w:r>
                  <w:r>
                    <w:rPr>
                      <w:rFonts w:ascii="Times New Roman" w:hAnsi="Times New Roman" w:eastAsia="黑体"/>
                      <w:sz w:val="21"/>
                      <w:szCs w:val="21"/>
                    </w:rPr>
                    <w:t>g/m</w:t>
                  </w:r>
                  <w:r>
                    <w:rPr>
                      <w:rFonts w:ascii="Times New Roman" w:hAnsi="Times New Roman" w:eastAsia="黑体"/>
                      <w:sz w:val="21"/>
                      <w:szCs w:val="21"/>
                      <w:vertAlign w:val="superscript"/>
                    </w:rPr>
                    <w:t>3</w:t>
                  </w:r>
                  <w:r>
                    <w:rPr>
                      <w:rFonts w:ascii="Times New Roman"/>
                      <w:sz w:val="21"/>
                      <w:szCs w:val="21"/>
                    </w:rPr>
                    <w:t>）</w:t>
                  </w:r>
                </w:p>
              </w:tc>
              <w:tc>
                <w:tcPr>
                  <w:tcW w:w="667" w:type="pct"/>
                  <w:tcBorders>
                    <w:top w:val="single" w:color="auto" w:sz="4" w:space="0"/>
                    <w:left w:val="nil"/>
                    <w:bottom w:val="single" w:color="auto" w:sz="4" w:space="0"/>
                    <w:right w:val="single" w:color="auto" w:sz="4" w:space="0"/>
                  </w:tcBorders>
                  <w:noWrap w:val="0"/>
                  <w:vAlign w:val="center"/>
                </w:tcPr>
                <w:p>
                  <w:pPr>
                    <w:spacing w:line="360" w:lineRule="exact"/>
                    <w:jc w:val="center"/>
                    <w:rPr>
                      <w:rFonts w:ascii="Times New Roman" w:hAnsi="Times New Roman"/>
                      <w:sz w:val="21"/>
                      <w:szCs w:val="21"/>
                    </w:rPr>
                  </w:pPr>
                  <w:r>
                    <w:rPr>
                      <w:rFonts w:ascii="Times New Roman"/>
                      <w:sz w:val="21"/>
                      <w:szCs w:val="21"/>
                    </w:rPr>
                    <w:t>占标率</w:t>
                  </w:r>
                </w:p>
                <w:p>
                  <w:pPr>
                    <w:spacing w:line="360" w:lineRule="exact"/>
                    <w:jc w:val="center"/>
                    <w:rPr>
                      <w:rFonts w:ascii="Times New Roman" w:hAnsi="Times New Roman"/>
                      <w:sz w:val="21"/>
                      <w:szCs w:val="21"/>
                    </w:rPr>
                  </w:pPr>
                  <w:r>
                    <w:rPr>
                      <w:rFonts w:ascii="Times New Roman"/>
                      <w:sz w:val="21"/>
                      <w:szCs w:val="21"/>
                    </w:rPr>
                    <w:t>（</w:t>
                  </w:r>
                  <w:r>
                    <w:rPr>
                      <w:rFonts w:ascii="Times New Roman" w:hAnsi="Times New Roman"/>
                      <w:sz w:val="21"/>
                      <w:szCs w:val="21"/>
                    </w:rPr>
                    <w:t>%</w:t>
                  </w:r>
                  <w:r>
                    <w:rPr>
                      <w:rFonts w:ascii="Times New Roman" w:hAnsi="宋体"/>
                      <w:sz w:val="21"/>
                      <w:szCs w:val="21"/>
                    </w:rPr>
                    <w:t>）</w:t>
                  </w:r>
                </w:p>
              </w:tc>
              <w:tc>
                <w:tcPr>
                  <w:tcW w:w="638" w:type="pct"/>
                  <w:tcBorders>
                    <w:top w:val="single" w:color="auto" w:sz="4" w:space="0"/>
                    <w:left w:val="nil"/>
                    <w:bottom w:val="single" w:color="auto" w:sz="4" w:space="0"/>
                  </w:tcBorders>
                  <w:noWrap w:val="0"/>
                  <w:vAlign w:val="center"/>
                </w:tcPr>
                <w:p>
                  <w:pPr>
                    <w:spacing w:line="360" w:lineRule="exact"/>
                    <w:jc w:val="center"/>
                    <w:rPr>
                      <w:rFonts w:ascii="Times New Roman" w:hAnsi="Times New Roman"/>
                      <w:sz w:val="21"/>
                      <w:szCs w:val="21"/>
                    </w:rPr>
                  </w:pPr>
                  <w:r>
                    <w:rPr>
                      <w:rFonts w:ascii="Times New Roman"/>
                      <w:sz w:val="21"/>
                      <w:szCs w:val="21"/>
                    </w:rPr>
                    <w:t>达标情况</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1" w:type="pct"/>
                  <w:vMerge w:val="restart"/>
                  <w:tcBorders>
                    <w:top w:val="single" w:color="auto" w:sz="4" w:space="0"/>
                    <w:right w:val="single" w:color="auto" w:sz="4" w:space="0"/>
                  </w:tcBorders>
                  <w:noWrap w:val="0"/>
                  <w:vAlign w:val="center"/>
                </w:tcPr>
                <w:p>
                  <w:pPr>
                    <w:spacing w:line="360" w:lineRule="exact"/>
                    <w:jc w:val="center"/>
                    <w:rPr>
                      <w:rFonts w:hint="eastAsia" w:ascii="Times New Roman" w:hAnsi="Times New Roman" w:eastAsia="宋体"/>
                      <w:sz w:val="21"/>
                      <w:szCs w:val="21"/>
                      <w:lang w:eastAsia="zh-CN"/>
                    </w:rPr>
                  </w:pPr>
                  <w:r>
                    <w:rPr>
                      <w:rFonts w:hint="eastAsia" w:ascii="Times New Roman" w:hAnsi="Times New Roman"/>
                      <w:sz w:val="21"/>
                      <w:szCs w:val="21"/>
                      <w:lang w:eastAsia="zh-CN"/>
                    </w:rPr>
                    <w:t>颗粒物</w:t>
                  </w:r>
                </w:p>
              </w:tc>
              <w:tc>
                <w:tcPr>
                  <w:tcW w:w="1395" w:type="pct"/>
                  <w:tcBorders>
                    <w:top w:val="single" w:color="auto" w:sz="4" w:space="0"/>
                    <w:left w:val="nil"/>
                    <w:bottom w:val="single" w:color="auto" w:sz="4" w:space="0"/>
                    <w:right w:val="single" w:color="auto" w:sz="4" w:space="0"/>
                  </w:tcBorders>
                  <w:noWrap w:val="0"/>
                  <w:vAlign w:val="center"/>
                </w:tcPr>
                <w:p>
                  <w:pPr>
                    <w:adjustRightInd w:val="0"/>
                    <w:snapToGrid w:val="0"/>
                    <w:jc w:val="center"/>
                    <w:textAlignment w:val="center"/>
                    <w:rPr>
                      <w:rFonts w:ascii="Times New Roman" w:hAnsi="Times New Roman"/>
                      <w:sz w:val="21"/>
                      <w:szCs w:val="21"/>
                    </w:rPr>
                  </w:pPr>
                  <w:r>
                    <w:rPr>
                      <w:rFonts w:hint="eastAsia"/>
                      <w:sz w:val="21"/>
                      <w:szCs w:val="21"/>
                      <w:lang w:val="en-US" w:eastAsia="zh-CN"/>
                    </w:rPr>
                    <w:t>2020年11月20日</w:t>
                  </w:r>
                </w:p>
              </w:tc>
              <w:tc>
                <w:tcPr>
                  <w:tcW w:w="955" w:type="pct"/>
                  <w:tcBorders>
                    <w:top w:val="single" w:color="auto" w:sz="4" w:space="0"/>
                    <w:left w:val="nil"/>
                    <w:bottom w:val="single" w:color="auto" w:sz="4" w:space="0"/>
                    <w:right w:val="single" w:color="auto" w:sz="4" w:space="0"/>
                  </w:tcBorders>
                  <w:noWrap w:val="0"/>
                  <w:vAlign w:val="center"/>
                </w:tcPr>
                <w:p>
                  <w:pPr>
                    <w:spacing w:line="360" w:lineRule="exact"/>
                    <w:jc w:val="center"/>
                    <w:rPr>
                      <w:rFonts w:hint="default" w:ascii="Times New Roman" w:hAnsi="Times New Roman" w:eastAsia="宋体"/>
                      <w:sz w:val="21"/>
                      <w:szCs w:val="21"/>
                      <w:lang w:val="en-US" w:eastAsia="zh-CN"/>
                    </w:rPr>
                  </w:pPr>
                  <w:r>
                    <w:rPr>
                      <w:rFonts w:hint="eastAsia" w:ascii="Times New Roman" w:hAnsi="Times New Roman"/>
                      <w:sz w:val="21"/>
                      <w:szCs w:val="21"/>
                      <w:lang w:val="en-US" w:eastAsia="zh-CN"/>
                    </w:rPr>
                    <w:t>191~352</w:t>
                  </w:r>
                </w:p>
              </w:tc>
              <w:tc>
                <w:tcPr>
                  <w:tcW w:w="671" w:type="pct"/>
                  <w:tcBorders>
                    <w:top w:val="single" w:color="auto" w:sz="4" w:space="0"/>
                    <w:left w:val="nil"/>
                    <w:bottom w:val="single" w:color="auto" w:sz="4" w:space="0"/>
                    <w:right w:val="single" w:color="auto" w:sz="4" w:space="0"/>
                  </w:tcBorders>
                  <w:noWrap w:val="0"/>
                  <w:vAlign w:val="center"/>
                </w:tcPr>
                <w:p>
                  <w:pPr>
                    <w:spacing w:line="360" w:lineRule="exact"/>
                    <w:jc w:val="center"/>
                    <w:rPr>
                      <w:rFonts w:hint="default" w:ascii="Times New Roman" w:hAnsi="Times New Roman" w:eastAsia="宋体"/>
                      <w:sz w:val="21"/>
                      <w:szCs w:val="21"/>
                      <w:lang w:val="en-US" w:eastAsia="zh-CN"/>
                    </w:rPr>
                  </w:pPr>
                  <w:r>
                    <w:rPr>
                      <w:rFonts w:hint="eastAsia" w:ascii="Times New Roman" w:hAnsi="Times New Roman"/>
                      <w:sz w:val="21"/>
                      <w:szCs w:val="21"/>
                      <w:lang w:val="en-US" w:eastAsia="zh-CN"/>
                    </w:rPr>
                    <w:t>200</w:t>
                  </w:r>
                </w:p>
              </w:tc>
              <w:tc>
                <w:tcPr>
                  <w:tcW w:w="667" w:type="pct"/>
                  <w:tcBorders>
                    <w:top w:val="single" w:color="auto" w:sz="4" w:space="0"/>
                    <w:left w:val="nil"/>
                    <w:bottom w:val="single" w:color="auto" w:sz="4" w:space="0"/>
                    <w:right w:val="single" w:color="auto" w:sz="4" w:space="0"/>
                  </w:tcBorders>
                  <w:noWrap w:val="0"/>
                  <w:vAlign w:val="center"/>
                </w:tcPr>
                <w:p>
                  <w:pPr>
                    <w:spacing w:line="360" w:lineRule="exact"/>
                    <w:jc w:val="center"/>
                    <w:rPr>
                      <w:rFonts w:hint="default" w:ascii="Times New Roman" w:hAnsi="Times New Roman" w:eastAsia="宋体"/>
                      <w:sz w:val="21"/>
                      <w:szCs w:val="21"/>
                      <w:lang w:val="en-US" w:eastAsia="zh-CN"/>
                    </w:rPr>
                  </w:pPr>
                  <w:r>
                    <w:rPr>
                      <w:rFonts w:hint="eastAsia" w:ascii="Times New Roman" w:hAnsi="Times New Roman"/>
                      <w:sz w:val="21"/>
                      <w:szCs w:val="21"/>
                      <w:lang w:val="en-US" w:eastAsia="zh-CN"/>
                    </w:rPr>
                    <w:t>0.95~176</w:t>
                  </w:r>
                </w:p>
              </w:tc>
              <w:tc>
                <w:tcPr>
                  <w:tcW w:w="638" w:type="pct"/>
                  <w:tcBorders>
                    <w:top w:val="single" w:color="auto" w:sz="4" w:space="0"/>
                    <w:left w:val="nil"/>
                    <w:bottom w:val="single" w:color="auto" w:sz="4" w:space="0"/>
                  </w:tcBorders>
                  <w:noWrap w:val="0"/>
                  <w:vAlign w:val="center"/>
                </w:tcPr>
                <w:p>
                  <w:pPr>
                    <w:spacing w:line="360" w:lineRule="exact"/>
                    <w:jc w:val="center"/>
                    <w:rPr>
                      <w:rFonts w:ascii="Times New Roman" w:hAnsi="Times New Roman"/>
                      <w:sz w:val="21"/>
                      <w:szCs w:val="21"/>
                    </w:rPr>
                  </w:pPr>
                  <w:r>
                    <w:rPr>
                      <w:rFonts w:hint="eastAsia" w:ascii="Times New Roman"/>
                      <w:sz w:val="21"/>
                      <w:szCs w:val="21"/>
                      <w:lang w:eastAsia="zh-CN"/>
                    </w:rPr>
                    <w:t>不</w:t>
                  </w:r>
                  <w:r>
                    <w:rPr>
                      <w:rFonts w:ascii="Times New Roman"/>
                      <w:sz w:val="21"/>
                      <w:szCs w:val="21"/>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71" w:type="pct"/>
                  <w:vMerge w:val="continue"/>
                  <w:tcBorders>
                    <w:bottom w:val="single" w:color="auto" w:sz="4" w:space="0"/>
                    <w:right w:val="single" w:color="auto" w:sz="4" w:space="0"/>
                  </w:tcBorders>
                  <w:noWrap w:val="0"/>
                  <w:vAlign w:val="center"/>
                </w:tcPr>
                <w:p>
                  <w:pPr>
                    <w:spacing w:line="360" w:lineRule="exact"/>
                    <w:jc w:val="center"/>
                    <w:rPr>
                      <w:rFonts w:ascii="Times New Roman" w:hAnsi="Times New Roman"/>
                      <w:sz w:val="21"/>
                      <w:szCs w:val="21"/>
                    </w:rPr>
                  </w:pPr>
                </w:p>
              </w:tc>
              <w:tc>
                <w:tcPr>
                  <w:tcW w:w="1395" w:type="pct"/>
                  <w:tcBorders>
                    <w:top w:val="single" w:color="auto" w:sz="4" w:space="0"/>
                    <w:left w:val="nil"/>
                    <w:bottom w:val="single" w:color="auto" w:sz="4" w:space="0"/>
                    <w:right w:val="single" w:color="auto" w:sz="4" w:space="0"/>
                  </w:tcBorders>
                  <w:noWrap w:val="0"/>
                  <w:vAlign w:val="center"/>
                </w:tcPr>
                <w:p>
                  <w:pPr>
                    <w:adjustRightInd w:val="0"/>
                    <w:snapToGrid w:val="0"/>
                    <w:jc w:val="center"/>
                    <w:textAlignment w:val="center"/>
                    <w:rPr>
                      <w:rFonts w:ascii="Times New Roman" w:hAnsi="Times New Roman"/>
                      <w:sz w:val="21"/>
                      <w:szCs w:val="21"/>
                    </w:rPr>
                  </w:pPr>
                  <w:r>
                    <w:rPr>
                      <w:rFonts w:hint="eastAsia"/>
                      <w:sz w:val="21"/>
                      <w:szCs w:val="21"/>
                      <w:lang w:val="en-US" w:eastAsia="zh-CN"/>
                    </w:rPr>
                    <w:t>2020年11月21日</w:t>
                  </w:r>
                </w:p>
              </w:tc>
              <w:tc>
                <w:tcPr>
                  <w:tcW w:w="955" w:type="pct"/>
                  <w:tcBorders>
                    <w:top w:val="single" w:color="auto" w:sz="4" w:space="0"/>
                    <w:left w:val="nil"/>
                    <w:bottom w:val="single" w:color="auto" w:sz="4" w:space="0"/>
                    <w:right w:val="single" w:color="auto" w:sz="4" w:space="0"/>
                  </w:tcBorders>
                  <w:noWrap w:val="0"/>
                  <w:vAlign w:val="center"/>
                </w:tcPr>
                <w:p>
                  <w:pPr>
                    <w:spacing w:line="360" w:lineRule="exact"/>
                    <w:jc w:val="center"/>
                    <w:rPr>
                      <w:rFonts w:hint="default" w:ascii="Times New Roman" w:hAnsi="Times New Roman" w:eastAsia="宋体"/>
                      <w:sz w:val="21"/>
                      <w:szCs w:val="21"/>
                      <w:lang w:val="en-US" w:eastAsia="zh-CN"/>
                    </w:rPr>
                  </w:pPr>
                  <w:r>
                    <w:rPr>
                      <w:rFonts w:hint="eastAsia" w:ascii="Times New Roman" w:hAnsi="Times New Roman"/>
                      <w:sz w:val="21"/>
                      <w:szCs w:val="21"/>
                      <w:lang w:val="en-US" w:eastAsia="zh-CN"/>
                    </w:rPr>
                    <w:t>175~347</w:t>
                  </w:r>
                </w:p>
              </w:tc>
              <w:tc>
                <w:tcPr>
                  <w:tcW w:w="671" w:type="pct"/>
                  <w:tcBorders>
                    <w:top w:val="single" w:color="auto" w:sz="4" w:space="0"/>
                    <w:left w:val="nil"/>
                    <w:bottom w:val="single" w:color="auto" w:sz="4" w:space="0"/>
                    <w:right w:val="single" w:color="auto" w:sz="4" w:space="0"/>
                  </w:tcBorders>
                  <w:noWrap w:val="0"/>
                  <w:vAlign w:val="center"/>
                </w:tcPr>
                <w:p>
                  <w:pPr>
                    <w:spacing w:line="360" w:lineRule="exact"/>
                    <w:jc w:val="center"/>
                    <w:rPr>
                      <w:rFonts w:hint="default" w:ascii="Times New Roman" w:hAnsi="Times New Roman" w:eastAsia="宋体"/>
                      <w:sz w:val="21"/>
                      <w:szCs w:val="21"/>
                      <w:lang w:val="en-US" w:eastAsia="zh-CN"/>
                    </w:rPr>
                  </w:pPr>
                  <w:r>
                    <w:rPr>
                      <w:rFonts w:hint="eastAsia" w:ascii="Times New Roman" w:hAnsi="Times New Roman"/>
                      <w:sz w:val="21"/>
                      <w:szCs w:val="21"/>
                      <w:lang w:val="en-US" w:eastAsia="zh-CN"/>
                    </w:rPr>
                    <w:t>200</w:t>
                  </w:r>
                </w:p>
              </w:tc>
              <w:tc>
                <w:tcPr>
                  <w:tcW w:w="667" w:type="pct"/>
                  <w:tcBorders>
                    <w:top w:val="single" w:color="auto" w:sz="4" w:space="0"/>
                    <w:left w:val="nil"/>
                    <w:bottom w:val="single" w:color="auto" w:sz="4" w:space="0"/>
                    <w:right w:val="single" w:color="auto" w:sz="4" w:space="0"/>
                  </w:tcBorders>
                  <w:noWrap w:val="0"/>
                  <w:vAlign w:val="center"/>
                </w:tcPr>
                <w:p>
                  <w:pPr>
                    <w:spacing w:line="360" w:lineRule="exact"/>
                    <w:jc w:val="center"/>
                    <w:rPr>
                      <w:rFonts w:hint="default" w:ascii="Times New Roman" w:hAnsi="Times New Roman" w:eastAsia="宋体"/>
                      <w:sz w:val="21"/>
                      <w:szCs w:val="21"/>
                      <w:lang w:val="en-US" w:eastAsia="zh-CN"/>
                    </w:rPr>
                  </w:pPr>
                  <w:r>
                    <w:rPr>
                      <w:rFonts w:hint="eastAsia" w:ascii="Times New Roman" w:hAnsi="Times New Roman"/>
                      <w:sz w:val="21"/>
                      <w:szCs w:val="21"/>
                      <w:lang w:val="en-US" w:eastAsia="zh-CN"/>
                    </w:rPr>
                    <w:t>0.875~173</w:t>
                  </w:r>
                </w:p>
              </w:tc>
              <w:tc>
                <w:tcPr>
                  <w:tcW w:w="638" w:type="pct"/>
                  <w:tcBorders>
                    <w:top w:val="single" w:color="auto" w:sz="4" w:space="0"/>
                    <w:left w:val="nil"/>
                    <w:bottom w:val="single" w:color="auto" w:sz="4" w:space="0"/>
                  </w:tcBorders>
                  <w:noWrap w:val="0"/>
                  <w:vAlign w:val="center"/>
                </w:tcPr>
                <w:p>
                  <w:pPr>
                    <w:spacing w:line="360" w:lineRule="exact"/>
                    <w:jc w:val="center"/>
                    <w:rPr>
                      <w:rFonts w:ascii="Times New Roman" w:hAnsi="Times New Roman"/>
                      <w:sz w:val="21"/>
                      <w:szCs w:val="21"/>
                    </w:rPr>
                  </w:pPr>
                  <w:r>
                    <w:rPr>
                      <w:rFonts w:hint="eastAsia" w:ascii="Times New Roman"/>
                      <w:sz w:val="21"/>
                      <w:szCs w:val="21"/>
                      <w:lang w:eastAsia="zh-CN"/>
                    </w:rPr>
                    <w:t>不</w:t>
                  </w:r>
                  <w:r>
                    <w:rPr>
                      <w:rFonts w:ascii="Times New Roman"/>
                      <w:sz w:val="21"/>
                      <w:szCs w:val="21"/>
                    </w:rPr>
                    <w:t>达标</w:t>
                  </w:r>
                </w:p>
              </w:tc>
            </w:tr>
          </w:tbl>
          <w:p>
            <w:pPr>
              <w:pStyle w:val="82"/>
              <w:spacing w:line="520" w:lineRule="exact"/>
              <w:ind w:firstLine="480"/>
              <w:jc w:val="left"/>
              <w:rPr>
                <w:rFonts w:ascii="Times New Roman" w:hAnsi="Times New Roman"/>
              </w:rPr>
            </w:pPr>
            <w:r>
              <w:rPr>
                <w:rFonts w:ascii="Times New Roman" w:hAnsi="宋体"/>
              </w:rPr>
              <w:t>上表可知，调查周期内项目所在区域</w:t>
            </w:r>
            <w:r>
              <w:rPr>
                <w:rFonts w:ascii="Times New Roman" w:hAnsi="Times New Roman"/>
              </w:rPr>
              <w:t>PM</w:t>
            </w:r>
            <w:r>
              <w:rPr>
                <w:rFonts w:ascii="Times New Roman" w:hAnsi="Times New Roman"/>
                <w:vertAlign w:val="subscript"/>
              </w:rPr>
              <w:t>2.5</w:t>
            </w:r>
            <w:r>
              <w:rPr>
                <w:rFonts w:ascii="Times New Roman" w:hAnsi="宋体"/>
              </w:rPr>
              <w:t>、</w:t>
            </w:r>
            <w:r>
              <w:rPr>
                <w:rFonts w:ascii="Times New Roman" w:hAnsi="Times New Roman"/>
              </w:rPr>
              <w:t>PM</w:t>
            </w:r>
            <w:r>
              <w:rPr>
                <w:rFonts w:ascii="Times New Roman" w:hAnsi="Times New Roman"/>
                <w:vertAlign w:val="subscript"/>
              </w:rPr>
              <w:t>10</w:t>
            </w:r>
            <w:r>
              <w:rPr>
                <w:rFonts w:ascii="Times New Roman" w:hAnsi="宋体"/>
              </w:rPr>
              <w:t>、</w:t>
            </w:r>
            <w:r>
              <w:rPr>
                <w:rFonts w:hint="eastAsia"/>
                <w:vertAlign w:val="baseline"/>
                <w:lang w:eastAsia="zh-CN"/>
              </w:rPr>
              <w:t>颗粒物</w:t>
            </w:r>
            <w:r>
              <w:rPr>
                <w:rFonts w:ascii="Times New Roman" w:hAnsi="宋体"/>
              </w:rPr>
              <w:t>年均浓度未满足《环境空气质量标准》（</w:t>
            </w:r>
            <w:r>
              <w:rPr>
                <w:rFonts w:ascii="Times New Roman" w:hAnsi="Times New Roman"/>
              </w:rPr>
              <w:t>GB3095-2012</w:t>
            </w:r>
            <w:r>
              <w:rPr>
                <w:rFonts w:ascii="Times New Roman" w:hAnsi="宋体"/>
              </w:rPr>
              <w:t>）中的二级标准限值，属于非达标区域。</w:t>
            </w:r>
          </w:p>
          <w:p>
            <w:pPr>
              <w:adjustRightInd w:val="0"/>
              <w:snapToGrid w:val="0"/>
              <w:spacing w:line="500" w:lineRule="exact"/>
              <w:ind w:firstLine="480" w:firstLineChars="200"/>
              <w:contextualSpacing/>
              <w:rPr>
                <w:rFonts w:hint="default"/>
                <w:lang w:val="en-US" w:eastAsia="zh-CN"/>
              </w:rPr>
            </w:pPr>
            <w:r>
              <w:rPr>
                <w:rFonts w:hint="default" w:ascii="Times New Roman" w:hAnsi="Times New Roman" w:cs="Times New Roman"/>
                <w:sz w:val="24"/>
                <w:szCs w:val="20"/>
                <w:lang w:val="en-US" w:eastAsia="zh-CN"/>
              </w:rPr>
              <w:t>目前平顶山市</w:t>
            </w:r>
            <w:r>
              <w:rPr>
                <w:rFonts w:hint="eastAsia" w:cs="Times New Roman"/>
                <w:sz w:val="24"/>
                <w:szCs w:val="20"/>
                <w:lang w:val="en-US" w:eastAsia="zh-CN"/>
              </w:rPr>
              <w:t>卫东</w:t>
            </w:r>
            <w:r>
              <w:rPr>
                <w:rFonts w:hint="default" w:ascii="Times New Roman" w:hAnsi="Times New Roman" w:cs="Times New Roman"/>
                <w:sz w:val="24"/>
                <w:szCs w:val="20"/>
                <w:lang w:val="en-US" w:eastAsia="zh-CN"/>
              </w:rPr>
              <w:t>区已根据平顶山市人民政府关于印发平顶山市污染防治攻坚战三年行动计划（2018—2020年）的通知》（平政〔2018〕27号</w:t>
            </w:r>
            <w:r>
              <w:rPr>
                <w:rFonts w:hint="eastAsia" w:ascii="Times New Roman" w:hAnsi="Times New Roman" w:cs="Times New Roman"/>
                <w:sz w:val="24"/>
                <w:szCs w:val="20"/>
                <w:lang w:val="en-US" w:eastAsia="zh-CN"/>
              </w:rPr>
              <w:t>文</w:t>
            </w:r>
            <w:r>
              <w:rPr>
                <w:rFonts w:hint="default" w:ascii="Times New Roman" w:hAnsi="Times New Roman" w:cs="Times New Roman"/>
                <w:sz w:val="24"/>
                <w:szCs w:val="20"/>
                <w:lang w:val="en-US" w:eastAsia="zh-CN"/>
              </w:rPr>
              <w:t>的相关要求，</w:t>
            </w:r>
            <w:r>
              <w:rPr>
                <w:rFonts w:hint="eastAsia" w:ascii="Times New Roman" w:hAnsi="Times New Roman" w:cs="Times New Roman"/>
                <w:sz w:val="24"/>
                <w:szCs w:val="20"/>
                <w:lang w:val="en-US" w:eastAsia="zh-CN"/>
              </w:rPr>
              <w:t>通过采取削减煤炭消费总量，构建全区清洁取暖体系，开展工业燃煤设施拆改，推进燃煤锅炉综合整治，推进燃煤锅炉综合整治，强化重点工业企业无组织排放治理，加强物料堆场，施工工地等管理，切实减少细颗粒物产生和排放，强化挥发性有机物（VOCs）污染防治等措施，改善当地环境质量，使空气质量将逐渐转好。</w:t>
            </w:r>
          </w:p>
          <w:p>
            <w:pPr>
              <w:pStyle w:val="13"/>
              <w:spacing w:after="0" w:line="520" w:lineRule="exact"/>
              <w:ind w:left="0" w:leftChars="0" w:firstLine="482" w:firstLineChars="200"/>
              <w:rPr>
                <w:rFonts w:ascii="Times New Roman" w:hAnsi="Times New Roman"/>
                <w:b/>
                <w:sz w:val="24"/>
              </w:rPr>
            </w:pPr>
            <w:r>
              <w:rPr>
                <w:rFonts w:ascii="Times New Roman" w:hAnsi="Times New Roman"/>
                <w:b/>
                <w:sz w:val="24"/>
              </w:rPr>
              <w:t>2、地表水环境质量现状</w:t>
            </w:r>
          </w:p>
          <w:p>
            <w:pPr>
              <w:spacing w:line="520" w:lineRule="exact"/>
              <w:ind w:firstLine="480" w:firstLineChars="200"/>
              <w:rPr>
                <w:rFonts w:ascii="Times New Roman" w:hAnsi="Times New Roman" w:cs="Times New Roman"/>
                <w:sz w:val="24"/>
              </w:rPr>
            </w:pPr>
            <w:r>
              <w:rPr>
                <w:rFonts w:ascii="Times New Roman" w:hAnsi="Times New Roman" w:cs="Times New Roman"/>
                <w:sz w:val="24"/>
              </w:rPr>
              <w:t>距离本项目最近的河流为</w:t>
            </w:r>
            <w:r>
              <w:rPr>
                <w:rFonts w:hint="eastAsia" w:ascii="Times New Roman" w:hAnsi="Times New Roman" w:cs="Times New Roman"/>
                <w:sz w:val="24"/>
              </w:rPr>
              <w:t>经过项目区内的</w:t>
            </w:r>
            <w:r>
              <w:rPr>
                <w:rFonts w:hint="eastAsia" w:ascii="Times New Roman" w:hAnsi="Times New Roman" w:cs="Times New Roman"/>
                <w:sz w:val="24"/>
                <w:lang w:eastAsia="zh-CN"/>
              </w:rPr>
              <w:t>月台河</w:t>
            </w:r>
            <w:r>
              <w:rPr>
                <w:rFonts w:hint="eastAsia" w:ascii="Times New Roman" w:hAnsi="Times New Roman" w:cs="Times New Roman"/>
                <w:sz w:val="24"/>
              </w:rPr>
              <w:t>，</w:t>
            </w:r>
            <w:r>
              <w:rPr>
                <w:rFonts w:hint="eastAsia" w:ascii="Times New Roman" w:hAnsi="Times New Roman" w:cs="Times New Roman"/>
                <w:sz w:val="24"/>
                <w:lang w:eastAsia="zh-CN"/>
              </w:rPr>
              <w:t>月台河</w:t>
            </w:r>
            <w:r>
              <w:rPr>
                <w:rFonts w:hint="eastAsia" w:ascii="Times New Roman" w:hAnsi="Times New Roman" w:cs="Times New Roman"/>
                <w:sz w:val="24"/>
              </w:rPr>
              <w:t>属于湛河的支流</w:t>
            </w:r>
            <w:r>
              <w:rPr>
                <w:rFonts w:hint="eastAsia" w:ascii="Times New Roman" w:hAnsi="Times New Roman" w:cs="Times New Roman"/>
                <w:sz w:val="24"/>
                <w:lang w:val="en-US" w:eastAsia="zh-CN"/>
              </w:rPr>
              <w:t>，湛河向东最终注入沙河。</w:t>
            </w:r>
            <w:r>
              <w:rPr>
                <w:rFonts w:hint="default" w:ascii="Times New Roman" w:hAnsi="Times New Roman" w:cs="Times New Roman"/>
                <w:sz w:val="24"/>
                <w:lang w:val="en-US" w:eastAsia="zh-CN"/>
              </w:rPr>
              <w:t>根据现场踏勘，</w:t>
            </w:r>
            <w:r>
              <w:rPr>
                <w:rFonts w:hint="eastAsia" w:ascii="Times New Roman" w:hAnsi="Times New Roman" w:cs="Times New Roman"/>
                <w:sz w:val="24"/>
                <w:lang w:val="en-US" w:eastAsia="zh-CN"/>
              </w:rPr>
              <w:t>本项目位于湛河北侧，距离约1.70km</w:t>
            </w:r>
            <w:r>
              <w:rPr>
                <w:rFonts w:hint="default" w:ascii="Times New Roman" w:hAnsi="Times New Roman" w:cs="Times New Roman"/>
                <w:sz w:val="24"/>
                <w:lang w:val="en-US" w:eastAsia="zh-CN"/>
              </w:rPr>
              <w:t>。</w:t>
            </w:r>
            <w:r>
              <w:rPr>
                <w:rFonts w:ascii="Times New Roman" w:hAnsi="Times New Roman" w:cs="Times New Roman"/>
                <w:sz w:val="24"/>
              </w:rPr>
              <w:t>区域地表水水质现状数据引用《平顶山市环境监测年鉴》（201</w:t>
            </w:r>
            <w:r>
              <w:rPr>
                <w:rFonts w:hint="eastAsia" w:ascii="Times New Roman" w:hAnsi="Times New Roman" w:cs="Times New Roman"/>
                <w:sz w:val="24"/>
                <w:lang w:val="en-US" w:eastAsia="zh-CN"/>
              </w:rPr>
              <w:t>9</w:t>
            </w:r>
            <w:r>
              <w:rPr>
                <w:rFonts w:ascii="Times New Roman" w:hAnsi="Times New Roman" w:cs="Times New Roman"/>
                <w:sz w:val="24"/>
              </w:rPr>
              <w:t>年度，市环境监测站20</w:t>
            </w:r>
            <w:r>
              <w:rPr>
                <w:rFonts w:hint="eastAsia" w:ascii="Times New Roman" w:hAnsi="Times New Roman" w:cs="Times New Roman"/>
                <w:sz w:val="24"/>
                <w:lang w:val="en-US" w:eastAsia="zh-CN"/>
              </w:rPr>
              <w:t>20</w:t>
            </w:r>
            <w:r>
              <w:rPr>
                <w:rFonts w:ascii="Times New Roman" w:hAnsi="Times New Roman" w:cs="Times New Roman"/>
                <w:sz w:val="24"/>
              </w:rPr>
              <w:t>年1月）</w:t>
            </w:r>
            <w:r>
              <w:rPr>
                <w:rFonts w:hint="eastAsia" w:ascii="Times New Roman" w:hAnsi="Times New Roman" w:cs="Times New Roman"/>
                <w:sz w:val="24"/>
                <w:lang w:eastAsia="zh-CN"/>
              </w:rPr>
              <w:t>沙河舞阳马湾</w:t>
            </w:r>
            <w:r>
              <w:rPr>
                <w:rFonts w:hint="eastAsia" w:ascii="Times New Roman" w:hAnsi="Times New Roman" w:cs="Times New Roman"/>
                <w:sz w:val="24"/>
              </w:rPr>
              <w:t>（</w:t>
            </w:r>
            <w:r>
              <w:rPr>
                <w:rFonts w:hint="eastAsia" w:ascii="Times New Roman" w:hAnsi="Times New Roman" w:cs="Times New Roman"/>
                <w:sz w:val="24"/>
                <w:lang w:eastAsia="zh-CN"/>
              </w:rPr>
              <w:t>省控责任目标考核断面</w:t>
            </w:r>
            <w:r>
              <w:rPr>
                <w:rFonts w:hint="eastAsia" w:ascii="Times New Roman" w:hAnsi="Times New Roman" w:cs="Times New Roman"/>
                <w:sz w:val="24"/>
              </w:rPr>
              <w:t>）</w:t>
            </w:r>
            <w:r>
              <w:rPr>
                <w:rFonts w:ascii="Times New Roman" w:hAnsi="Times New Roman" w:cs="Times New Roman"/>
                <w:sz w:val="24"/>
              </w:rPr>
              <w:t>监测数据。</w:t>
            </w:r>
          </w:p>
          <w:p>
            <w:pPr>
              <w:autoSpaceDE w:val="0"/>
              <w:autoSpaceDN w:val="0"/>
              <w:adjustRightInd w:val="0"/>
              <w:spacing w:line="360" w:lineRule="auto"/>
              <w:ind w:firstLine="480" w:firstLineChars="200"/>
              <w:jc w:val="left"/>
              <w:rPr>
                <w:rFonts w:ascii="Times New Roman" w:hAnsi="Times New Roman"/>
                <w:color w:val="000000"/>
                <w:kern w:val="0"/>
                <w:sz w:val="24"/>
                <w:szCs w:val="24"/>
              </w:rPr>
            </w:pPr>
            <w:r>
              <w:rPr>
                <w:rFonts w:ascii="Times New Roman" w:hAnsi="宋体"/>
                <w:color w:val="000000"/>
                <w:kern w:val="0"/>
                <w:sz w:val="24"/>
                <w:szCs w:val="24"/>
              </w:rPr>
              <w:t>监测统计结果见下表</w:t>
            </w:r>
            <w:r>
              <w:rPr>
                <w:rFonts w:hint="eastAsia"/>
                <w:color w:val="000000"/>
                <w:kern w:val="0"/>
                <w:sz w:val="24"/>
                <w:szCs w:val="24"/>
                <w:lang w:val="en-US" w:eastAsia="zh-CN"/>
              </w:rPr>
              <w:t>8</w:t>
            </w:r>
            <w:r>
              <w:rPr>
                <w:rFonts w:ascii="Times New Roman" w:hAnsi="宋体"/>
                <w:color w:val="000000"/>
                <w:kern w:val="0"/>
                <w:sz w:val="24"/>
                <w:szCs w:val="24"/>
              </w:rPr>
              <w:t>。</w:t>
            </w:r>
          </w:p>
          <w:p>
            <w:pPr>
              <w:pStyle w:val="7"/>
              <w:spacing w:beforeLines="50"/>
              <w:jc w:val="center"/>
              <w:rPr>
                <w:rFonts w:hint="default" w:ascii="Times New Roman" w:hAnsi="宋体" w:cs="Times New Roman"/>
                <w:b/>
                <w:bCs w:val="0"/>
                <w:sz w:val="24"/>
                <w:szCs w:val="24"/>
              </w:rPr>
            </w:pPr>
            <w:r>
              <w:rPr>
                <w:rFonts w:hint="default" w:ascii="Times New Roman" w:hAnsi="宋体" w:cs="Times New Roman"/>
                <w:b/>
                <w:bCs w:val="0"/>
                <w:sz w:val="24"/>
                <w:szCs w:val="24"/>
              </w:rPr>
              <w:t>表</w:t>
            </w:r>
            <w:r>
              <w:rPr>
                <w:rFonts w:hint="eastAsia" w:hAnsi="宋体" w:cs="Times New Roman"/>
                <w:b/>
                <w:bCs w:val="0"/>
                <w:sz w:val="24"/>
                <w:szCs w:val="24"/>
                <w:lang w:val="en-US" w:eastAsia="zh-CN"/>
              </w:rPr>
              <w:t>8</w:t>
            </w:r>
            <w:r>
              <w:rPr>
                <w:rFonts w:hint="default" w:ascii="Times New Roman" w:hAnsi="宋体" w:cs="Times New Roman"/>
                <w:b/>
                <w:bCs w:val="0"/>
                <w:sz w:val="24"/>
                <w:szCs w:val="24"/>
              </w:rPr>
              <w:t xml:space="preserve">  区域水质现状评价结果  单位mg/L（pH值除外）</w:t>
            </w:r>
          </w:p>
          <w:tbl>
            <w:tblPr>
              <w:tblStyle w:val="23"/>
              <w:tblW w:w="4998" w:type="pct"/>
              <w:jc w:val="center"/>
              <w:tblBorders>
                <w:top w:val="single" w:color="000000" w:sz="2" w:space="0"/>
                <w:left w:val="none" w:color="auto" w:sz="0" w:space="0"/>
                <w:bottom w:val="single" w:color="000000" w:sz="2"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1574"/>
              <w:gridCol w:w="1561"/>
              <w:gridCol w:w="1178"/>
              <w:gridCol w:w="1272"/>
              <w:gridCol w:w="1163"/>
              <w:gridCol w:w="978"/>
              <w:gridCol w:w="1340"/>
            </w:tblGrid>
            <w:tr>
              <w:tblPrEx>
                <w:tblBorders>
                  <w:top w:val="single" w:color="000000" w:sz="2" w:space="0"/>
                  <w:left w:val="none" w:color="auto" w:sz="0" w:space="0"/>
                  <w:bottom w:val="single" w:color="000000" w:sz="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867" w:type="pct"/>
                  <w:tcBorders>
                    <w:top w:val="single" w:color="000000" w:sz="2" w:space="0"/>
                    <w:bottom w:val="single" w:color="000000" w:sz="6" w:space="0"/>
                    <w:right w:val="single" w:color="000000" w:sz="6" w:space="0"/>
                  </w:tcBorders>
                  <w:noWrap w:val="0"/>
                  <w:vAlign w:val="center"/>
                </w:tcPr>
                <w:p>
                  <w:pPr>
                    <w:jc w:val="center"/>
                    <w:rPr>
                      <w:rFonts w:ascii="Times New Roman" w:hAnsi="Times New Roman"/>
                      <w:bCs/>
                      <w:color w:val="000000"/>
                      <w:sz w:val="21"/>
                      <w:szCs w:val="21"/>
                    </w:rPr>
                  </w:pPr>
                  <w:r>
                    <w:rPr>
                      <w:rFonts w:ascii="Times New Roman" w:hAnsi="宋体"/>
                      <w:bCs/>
                      <w:sz w:val="21"/>
                      <w:szCs w:val="21"/>
                    </w:rPr>
                    <w:t>河流断面</w:t>
                  </w:r>
                </w:p>
              </w:tc>
              <w:tc>
                <w:tcPr>
                  <w:tcW w:w="860" w:type="pct"/>
                  <w:tcBorders>
                    <w:top w:val="single" w:color="000000" w:sz="2" w:space="0"/>
                    <w:left w:val="nil"/>
                    <w:bottom w:val="single" w:color="000000" w:sz="6" w:space="0"/>
                    <w:right w:val="single" w:color="000000" w:sz="6" w:space="0"/>
                  </w:tcBorders>
                  <w:noWrap w:val="0"/>
                  <w:vAlign w:val="center"/>
                </w:tcPr>
                <w:p>
                  <w:pPr>
                    <w:jc w:val="center"/>
                    <w:rPr>
                      <w:rFonts w:ascii="Times New Roman" w:hAnsi="Times New Roman"/>
                      <w:bCs/>
                      <w:color w:val="000000"/>
                      <w:sz w:val="21"/>
                      <w:szCs w:val="21"/>
                    </w:rPr>
                  </w:pPr>
                  <w:r>
                    <w:rPr>
                      <w:rFonts w:ascii="Times New Roman" w:hAnsi="宋体"/>
                      <w:bCs/>
                      <w:sz w:val="21"/>
                      <w:szCs w:val="21"/>
                    </w:rPr>
                    <w:t>项目</w:t>
                  </w:r>
                </w:p>
              </w:tc>
              <w:tc>
                <w:tcPr>
                  <w:tcW w:w="649" w:type="pct"/>
                  <w:tcBorders>
                    <w:top w:val="single" w:color="000000" w:sz="2" w:space="0"/>
                    <w:left w:val="nil"/>
                    <w:bottom w:val="single" w:color="000000" w:sz="6" w:space="0"/>
                    <w:right w:val="single" w:color="000000" w:sz="6" w:space="0"/>
                  </w:tcBorders>
                  <w:noWrap w:val="0"/>
                  <w:vAlign w:val="center"/>
                </w:tcPr>
                <w:p>
                  <w:pPr>
                    <w:jc w:val="center"/>
                    <w:rPr>
                      <w:rFonts w:ascii="Times New Roman" w:hAnsi="Times New Roman"/>
                      <w:bCs/>
                      <w:color w:val="000000"/>
                      <w:sz w:val="21"/>
                      <w:szCs w:val="21"/>
                    </w:rPr>
                  </w:pPr>
                  <w:r>
                    <w:rPr>
                      <w:rFonts w:ascii="Times New Roman" w:hAnsi="Times New Roman"/>
                      <w:bCs/>
                      <w:sz w:val="21"/>
                      <w:szCs w:val="21"/>
                    </w:rPr>
                    <w:t>pH</w:t>
                  </w:r>
                </w:p>
              </w:tc>
              <w:tc>
                <w:tcPr>
                  <w:tcW w:w="701" w:type="pct"/>
                  <w:tcBorders>
                    <w:top w:val="single" w:color="000000" w:sz="2" w:space="0"/>
                    <w:left w:val="nil"/>
                    <w:bottom w:val="single" w:color="000000" w:sz="6" w:space="0"/>
                    <w:right w:val="single" w:color="000000" w:sz="6" w:space="0"/>
                  </w:tcBorders>
                  <w:noWrap w:val="0"/>
                  <w:vAlign w:val="center"/>
                </w:tcPr>
                <w:p>
                  <w:pPr>
                    <w:jc w:val="center"/>
                    <w:rPr>
                      <w:rFonts w:ascii="Times New Roman" w:hAnsi="Times New Roman"/>
                      <w:bCs/>
                      <w:color w:val="000000"/>
                      <w:sz w:val="21"/>
                      <w:szCs w:val="21"/>
                    </w:rPr>
                  </w:pPr>
                  <w:r>
                    <w:rPr>
                      <w:rFonts w:ascii="Times New Roman" w:hAnsi="宋体"/>
                      <w:bCs/>
                      <w:sz w:val="21"/>
                      <w:szCs w:val="21"/>
                    </w:rPr>
                    <w:t>氨氮</w:t>
                  </w:r>
                </w:p>
              </w:tc>
              <w:tc>
                <w:tcPr>
                  <w:tcW w:w="641" w:type="pct"/>
                  <w:tcBorders>
                    <w:top w:val="single" w:color="000000" w:sz="2" w:space="0"/>
                    <w:left w:val="nil"/>
                    <w:bottom w:val="single" w:color="000000" w:sz="6" w:space="0"/>
                    <w:right w:val="single" w:color="000000" w:sz="6" w:space="0"/>
                  </w:tcBorders>
                  <w:noWrap w:val="0"/>
                  <w:vAlign w:val="center"/>
                </w:tcPr>
                <w:p>
                  <w:pPr>
                    <w:jc w:val="center"/>
                    <w:rPr>
                      <w:rFonts w:hint="eastAsia" w:ascii="Times New Roman" w:hAnsi="Times New Roman" w:eastAsia="宋体"/>
                      <w:bCs/>
                      <w:color w:val="000000"/>
                      <w:sz w:val="21"/>
                      <w:szCs w:val="21"/>
                      <w:lang w:eastAsia="zh-CN"/>
                    </w:rPr>
                  </w:pPr>
                  <w:r>
                    <w:rPr>
                      <w:rFonts w:hint="eastAsia" w:ascii="Times New Roman" w:hAnsi="Times New Roman"/>
                      <w:bCs/>
                      <w:sz w:val="21"/>
                      <w:szCs w:val="21"/>
                      <w:lang w:eastAsia="zh-CN"/>
                    </w:rPr>
                    <w:t>溶解氧</w:t>
                  </w:r>
                </w:p>
              </w:tc>
              <w:tc>
                <w:tcPr>
                  <w:tcW w:w="539" w:type="pct"/>
                  <w:tcBorders>
                    <w:top w:val="single" w:color="000000" w:sz="2" w:space="0"/>
                    <w:left w:val="nil"/>
                    <w:bottom w:val="single" w:color="000000" w:sz="6" w:space="0"/>
                    <w:right w:val="single" w:color="000000" w:sz="6" w:space="0"/>
                  </w:tcBorders>
                  <w:noWrap w:val="0"/>
                  <w:vAlign w:val="center"/>
                </w:tcPr>
                <w:p>
                  <w:pPr>
                    <w:jc w:val="center"/>
                    <w:rPr>
                      <w:rFonts w:ascii="Times New Roman" w:hAnsi="Times New Roman"/>
                      <w:bCs/>
                      <w:color w:val="000000"/>
                      <w:sz w:val="21"/>
                      <w:szCs w:val="21"/>
                    </w:rPr>
                  </w:pPr>
                  <w:r>
                    <w:rPr>
                      <w:rFonts w:ascii="Times New Roman" w:hAnsi="Times New Roman"/>
                      <w:bCs/>
                      <w:sz w:val="21"/>
                      <w:szCs w:val="21"/>
                    </w:rPr>
                    <w:t>COD</w:t>
                  </w:r>
                </w:p>
              </w:tc>
              <w:tc>
                <w:tcPr>
                  <w:tcW w:w="738" w:type="pct"/>
                  <w:tcBorders>
                    <w:top w:val="single" w:color="000000" w:sz="2" w:space="0"/>
                    <w:left w:val="nil"/>
                    <w:bottom w:val="single" w:color="000000" w:sz="6" w:space="0"/>
                  </w:tcBorders>
                  <w:noWrap w:val="0"/>
                  <w:vAlign w:val="center"/>
                </w:tcPr>
                <w:p>
                  <w:pPr>
                    <w:jc w:val="center"/>
                    <w:rPr>
                      <w:rFonts w:ascii="Times New Roman" w:hAnsi="Times New Roman"/>
                      <w:bCs/>
                      <w:color w:val="000000"/>
                      <w:sz w:val="21"/>
                      <w:szCs w:val="21"/>
                    </w:rPr>
                  </w:pPr>
                  <w:r>
                    <w:rPr>
                      <w:rFonts w:ascii="Times New Roman" w:hAnsi="宋体"/>
                      <w:bCs/>
                      <w:sz w:val="21"/>
                      <w:szCs w:val="21"/>
                    </w:rPr>
                    <w:t>总体评价</w:t>
                  </w:r>
                </w:p>
              </w:tc>
            </w:tr>
            <w:tr>
              <w:tblPrEx>
                <w:tblBorders>
                  <w:top w:val="single" w:color="000000" w:sz="2" w:space="0"/>
                  <w:left w:val="none" w:color="auto" w:sz="0" w:space="0"/>
                  <w:bottom w:val="single" w:color="000000" w:sz="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867" w:type="pct"/>
                  <w:vMerge w:val="restart"/>
                  <w:tcBorders>
                    <w:top w:val="nil"/>
                    <w:bottom w:val="single" w:color="000000" w:sz="2" w:space="0"/>
                    <w:right w:val="single" w:color="000000" w:sz="6" w:space="0"/>
                  </w:tcBorders>
                  <w:noWrap w:val="0"/>
                  <w:vAlign w:val="center"/>
                </w:tcPr>
                <w:p>
                  <w:pPr>
                    <w:widowControl/>
                    <w:jc w:val="center"/>
                    <w:rPr>
                      <w:rFonts w:hint="eastAsia" w:ascii="Times New Roman" w:hAnsi="Times New Roman" w:eastAsia="宋体"/>
                      <w:bCs/>
                      <w:color w:val="000000"/>
                      <w:sz w:val="21"/>
                      <w:szCs w:val="21"/>
                      <w:lang w:eastAsia="zh-CN"/>
                    </w:rPr>
                  </w:pPr>
                  <w:r>
                    <w:rPr>
                      <w:rFonts w:hint="eastAsia" w:hAnsi="宋体"/>
                      <w:bCs/>
                      <w:sz w:val="21"/>
                      <w:szCs w:val="21"/>
                      <w:lang w:eastAsia="zh-CN"/>
                    </w:rPr>
                    <w:t>沙河舞阳马湾</w:t>
                  </w:r>
                </w:p>
              </w:tc>
              <w:tc>
                <w:tcPr>
                  <w:tcW w:w="860" w:type="pct"/>
                  <w:tcBorders>
                    <w:top w:val="single" w:color="000000" w:sz="6" w:space="0"/>
                    <w:left w:val="nil"/>
                    <w:bottom w:val="single" w:color="000000" w:sz="6" w:space="0"/>
                    <w:right w:val="single" w:color="000000" w:sz="6" w:space="0"/>
                  </w:tcBorders>
                  <w:noWrap w:val="0"/>
                  <w:vAlign w:val="center"/>
                </w:tcPr>
                <w:p>
                  <w:pPr>
                    <w:jc w:val="center"/>
                    <w:rPr>
                      <w:rFonts w:ascii="Times New Roman" w:hAnsi="Times New Roman"/>
                      <w:bCs/>
                      <w:color w:val="000000"/>
                      <w:sz w:val="21"/>
                      <w:szCs w:val="21"/>
                    </w:rPr>
                  </w:pPr>
                  <w:r>
                    <w:rPr>
                      <w:rFonts w:ascii="Times New Roman" w:hAnsi="宋体"/>
                      <w:bCs/>
                      <w:sz w:val="21"/>
                      <w:szCs w:val="21"/>
                    </w:rPr>
                    <w:t>年均值</w:t>
                  </w:r>
                </w:p>
              </w:tc>
              <w:tc>
                <w:tcPr>
                  <w:tcW w:w="649" w:type="pct"/>
                  <w:tcBorders>
                    <w:top w:val="single" w:color="000000" w:sz="6" w:space="0"/>
                    <w:left w:val="nil"/>
                    <w:bottom w:val="single" w:color="000000" w:sz="6" w:space="0"/>
                    <w:right w:val="single" w:color="000000" w:sz="6" w:space="0"/>
                  </w:tcBorders>
                  <w:noWrap w:val="0"/>
                  <w:vAlign w:val="center"/>
                </w:tcPr>
                <w:p>
                  <w:pPr>
                    <w:adjustRightInd w:val="0"/>
                    <w:jc w:val="center"/>
                    <w:rPr>
                      <w:rFonts w:hint="default" w:ascii="Times New Roman" w:hAnsi="Times New Roman" w:eastAsia="宋体"/>
                      <w:bCs/>
                      <w:color w:val="000000"/>
                      <w:sz w:val="21"/>
                      <w:szCs w:val="21"/>
                      <w:lang w:val="en-US" w:eastAsia="zh-CN"/>
                    </w:rPr>
                  </w:pPr>
                  <w:r>
                    <w:rPr>
                      <w:rFonts w:hint="eastAsia"/>
                      <w:bCs/>
                      <w:sz w:val="21"/>
                      <w:szCs w:val="21"/>
                      <w:lang w:val="en-US" w:eastAsia="zh-CN"/>
                    </w:rPr>
                    <w:t>7.81</w:t>
                  </w:r>
                </w:p>
              </w:tc>
              <w:tc>
                <w:tcPr>
                  <w:tcW w:w="701" w:type="pct"/>
                  <w:tcBorders>
                    <w:top w:val="single" w:color="000000" w:sz="6" w:space="0"/>
                    <w:left w:val="nil"/>
                    <w:bottom w:val="single" w:color="000000" w:sz="6" w:space="0"/>
                    <w:right w:val="single" w:color="000000" w:sz="6" w:space="0"/>
                  </w:tcBorders>
                  <w:noWrap w:val="0"/>
                  <w:vAlign w:val="center"/>
                </w:tcPr>
                <w:p>
                  <w:pPr>
                    <w:adjustRightInd w:val="0"/>
                    <w:jc w:val="center"/>
                    <w:rPr>
                      <w:rFonts w:hint="default" w:ascii="Times New Roman" w:hAnsi="Times New Roman" w:eastAsia="宋体"/>
                      <w:bCs/>
                      <w:color w:val="000000"/>
                      <w:sz w:val="21"/>
                      <w:szCs w:val="21"/>
                      <w:lang w:val="en-US" w:eastAsia="zh-CN"/>
                    </w:rPr>
                  </w:pPr>
                  <w:r>
                    <w:rPr>
                      <w:rFonts w:hint="eastAsia"/>
                      <w:bCs/>
                      <w:sz w:val="21"/>
                      <w:szCs w:val="21"/>
                      <w:lang w:val="en-US" w:eastAsia="zh-CN"/>
                    </w:rPr>
                    <w:t>0.25</w:t>
                  </w:r>
                </w:p>
              </w:tc>
              <w:tc>
                <w:tcPr>
                  <w:tcW w:w="641" w:type="pct"/>
                  <w:tcBorders>
                    <w:top w:val="single" w:color="000000" w:sz="6" w:space="0"/>
                    <w:left w:val="nil"/>
                    <w:bottom w:val="single" w:color="000000" w:sz="6" w:space="0"/>
                    <w:right w:val="single" w:color="000000" w:sz="6" w:space="0"/>
                  </w:tcBorders>
                  <w:noWrap w:val="0"/>
                  <w:vAlign w:val="center"/>
                </w:tcPr>
                <w:p>
                  <w:pPr>
                    <w:adjustRightInd w:val="0"/>
                    <w:jc w:val="center"/>
                    <w:rPr>
                      <w:rFonts w:hint="default" w:ascii="Times New Roman" w:hAnsi="Times New Roman" w:eastAsia="宋体"/>
                      <w:bCs/>
                      <w:color w:val="000000"/>
                      <w:sz w:val="21"/>
                      <w:szCs w:val="21"/>
                      <w:lang w:val="en-US" w:eastAsia="zh-CN"/>
                    </w:rPr>
                  </w:pPr>
                  <w:r>
                    <w:rPr>
                      <w:rFonts w:hint="eastAsia"/>
                      <w:bCs/>
                      <w:sz w:val="21"/>
                      <w:szCs w:val="21"/>
                      <w:lang w:val="en-US" w:eastAsia="zh-CN"/>
                    </w:rPr>
                    <w:t>10.02</w:t>
                  </w:r>
                </w:p>
              </w:tc>
              <w:tc>
                <w:tcPr>
                  <w:tcW w:w="539" w:type="pct"/>
                  <w:tcBorders>
                    <w:top w:val="single" w:color="000000" w:sz="6" w:space="0"/>
                    <w:left w:val="nil"/>
                    <w:bottom w:val="single" w:color="000000" w:sz="6" w:space="0"/>
                    <w:right w:val="single" w:color="000000" w:sz="6" w:space="0"/>
                  </w:tcBorders>
                  <w:noWrap w:val="0"/>
                  <w:vAlign w:val="center"/>
                </w:tcPr>
                <w:p>
                  <w:pPr>
                    <w:jc w:val="center"/>
                    <w:rPr>
                      <w:rFonts w:hint="default" w:ascii="Times New Roman" w:hAnsi="Times New Roman" w:eastAsia="宋体"/>
                      <w:bCs/>
                      <w:color w:val="000000"/>
                      <w:sz w:val="21"/>
                      <w:szCs w:val="21"/>
                      <w:lang w:val="en-US" w:eastAsia="zh-CN"/>
                    </w:rPr>
                  </w:pPr>
                  <w:r>
                    <w:rPr>
                      <w:rFonts w:hint="eastAsia"/>
                      <w:bCs/>
                      <w:sz w:val="21"/>
                      <w:szCs w:val="21"/>
                      <w:lang w:val="en-US" w:eastAsia="zh-CN"/>
                    </w:rPr>
                    <w:t>18</w:t>
                  </w:r>
                </w:p>
              </w:tc>
              <w:tc>
                <w:tcPr>
                  <w:tcW w:w="738" w:type="pct"/>
                  <w:vMerge w:val="restart"/>
                  <w:tcBorders>
                    <w:top w:val="nil"/>
                    <w:left w:val="nil"/>
                    <w:bottom w:val="single" w:color="000000" w:sz="2" w:space="0"/>
                  </w:tcBorders>
                  <w:noWrap w:val="0"/>
                  <w:vAlign w:val="center"/>
                </w:tcPr>
                <w:p>
                  <w:pPr>
                    <w:widowControl/>
                    <w:jc w:val="center"/>
                    <w:rPr>
                      <w:rFonts w:ascii="Times New Roman" w:hAnsi="Times New Roman"/>
                      <w:bCs/>
                      <w:color w:val="000000"/>
                      <w:sz w:val="21"/>
                      <w:szCs w:val="21"/>
                    </w:rPr>
                  </w:pPr>
                  <w:r>
                    <w:rPr>
                      <w:rFonts w:ascii="Times New Roman" w:hAnsi="Times New Roman"/>
                      <w:bCs/>
                      <w:sz w:val="21"/>
                      <w:szCs w:val="21"/>
                    </w:rPr>
                    <w:t>III</w:t>
                  </w:r>
                  <w:r>
                    <w:rPr>
                      <w:rFonts w:ascii="Times New Roman"/>
                      <w:sz w:val="21"/>
                      <w:szCs w:val="21"/>
                    </w:rPr>
                    <w:t>类</w:t>
                  </w:r>
                </w:p>
              </w:tc>
            </w:tr>
            <w:tr>
              <w:tblPrEx>
                <w:tblBorders>
                  <w:top w:val="single" w:color="000000" w:sz="2" w:space="0"/>
                  <w:left w:val="none" w:color="auto" w:sz="0" w:space="0"/>
                  <w:bottom w:val="single" w:color="000000" w:sz="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867" w:type="pct"/>
                  <w:vMerge w:val="continue"/>
                  <w:tcBorders>
                    <w:top w:val="nil"/>
                    <w:bottom w:val="single" w:color="000000" w:sz="2" w:space="0"/>
                    <w:right w:val="single" w:color="000000" w:sz="6" w:space="0"/>
                  </w:tcBorders>
                  <w:noWrap w:val="0"/>
                  <w:vAlign w:val="center"/>
                </w:tcPr>
                <w:p>
                  <w:pPr>
                    <w:widowControl/>
                    <w:jc w:val="left"/>
                    <w:rPr>
                      <w:rFonts w:ascii="Times New Roman" w:hAnsi="Times New Roman"/>
                      <w:bCs/>
                      <w:color w:val="000000"/>
                      <w:sz w:val="21"/>
                      <w:szCs w:val="21"/>
                    </w:rPr>
                  </w:pPr>
                </w:p>
              </w:tc>
              <w:tc>
                <w:tcPr>
                  <w:tcW w:w="860" w:type="pct"/>
                  <w:tcBorders>
                    <w:top w:val="single" w:color="000000" w:sz="6" w:space="0"/>
                    <w:left w:val="nil"/>
                    <w:bottom w:val="single" w:color="000000" w:sz="6" w:space="0"/>
                    <w:right w:val="single" w:color="000000" w:sz="6" w:space="0"/>
                  </w:tcBorders>
                  <w:noWrap w:val="0"/>
                  <w:vAlign w:val="center"/>
                </w:tcPr>
                <w:p>
                  <w:pPr>
                    <w:jc w:val="center"/>
                    <w:rPr>
                      <w:rFonts w:ascii="Times New Roman" w:hAnsi="Times New Roman"/>
                      <w:bCs/>
                      <w:color w:val="000000"/>
                      <w:sz w:val="21"/>
                      <w:szCs w:val="21"/>
                    </w:rPr>
                  </w:pPr>
                  <w:r>
                    <w:rPr>
                      <w:rFonts w:ascii="Times New Roman" w:hAnsi="宋体"/>
                      <w:bCs/>
                      <w:sz w:val="21"/>
                      <w:szCs w:val="21"/>
                    </w:rPr>
                    <w:t>标准</w:t>
                  </w:r>
                </w:p>
              </w:tc>
              <w:tc>
                <w:tcPr>
                  <w:tcW w:w="649" w:type="pct"/>
                  <w:tcBorders>
                    <w:top w:val="single" w:color="000000" w:sz="6" w:space="0"/>
                    <w:left w:val="nil"/>
                    <w:bottom w:val="single" w:color="000000" w:sz="6" w:space="0"/>
                    <w:right w:val="single" w:color="000000" w:sz="6" w:space="0"/>
                  </w:tcBorders>
                  <w:noWrap w:val="0"/>
                  <w:vAlign w:val="center"/>
                </w:tcPr>
                <w:p>
                  <w:pPr>
                    <w:adjustRightInd w:val="0"/>
                    <w:jc w:val="center"/>
                    <w:rPr>
                      <w:rFonts w:ascii="Times New Roman" w:hAnsi="Times New Roman"/>
                      <w:bCs/>
                      <w:color w:val="000000"/>
                      <w:sz w:val="21"/>
                      <w:szCs w:val="21"/>
                    </w:rPr>
                  </w:pPr>
                  <w:r>
                    <w:rPr>
                      <w:rFonts w:ascii="Times New Roman" w:hAnsi="Times New Roman"/>
                      <w:bCs/>
                      <w:sz w:val="21"/>
                      <w:szCs w:val="21"/>
                    </w:rPr>
                    <w:t>6~9</w:t>
                  </w:r>
                </w:p>
              </w:tc>
              <w:tc>
                <w:tcPr>
                  <w:tcW w:w="701" w:type="pct"/>
                  <w:tcBorders>
                    <w:top w:val="single" w:color="000000" w:sz="6" w:space="0"/>
                    <w:left w:val="nil"/>
                    <w:bottom w:val="single" w:color="000000" w:sz="6" w:space="0"/>
                    <w:right w:val="single" w:color="000000" w:sz="6" w:space="0"/>
                  </w:tcBorders>
                  <w:noWrap w:val="0"/>
                  <w:vAlign w:val="center"/>
                </w:tcPr>
                <w:p>
                  <w:pPr>
                    <w:adjustRightInd w:val="0"/>
                    <w:jc w:val="center"/>
                    <w:rPr>
                      <w:rFonts w:ascii="Times New Roman" w:hAnsi="Times New Roman"/>
                      <w:bCs/>
                      <w:color w:val="000000"/>
                      <w:sz w:val="21"/>
                      <w:szCs w:val="21"/>
                    </w:rPr>
                  </w:pPr>
                  <w:r>
                    <w:rPr>
                      <w:rFonts w:hint="eastAsia" w:ascii="Times New Roman" w:hAnsi="Times New Roman"/>
                      <w:bCs/>
                      <w:sz w:val="21"/>
                      <w:szCs w:val="21"/>
                      <w:lang w:eastAsia="zh-CN"/>
                    </w:rPr>
                    <w:t>≤</w:t>
                  </w:r>
                  <w:r>
                    <w:rPr>
                      <w:rFonts w:ascii="Times New Roman" w:hAnsi="Times New Roman"/>
                      <w:bCs/>
                      <w:sz w:val="21"/>
                      <w:szCs w:val="21"/>
                    </w:rPr>
                    <w:t>1.0</w:t>
                  </w:r>
                </w:p>
              </w:tc>
              <w:tc>
                <w:tcPr>
                  <w:tcW w:w="641" w:type="pct"/>
                  <w:tcBorders>
                    <w:top w:val="single" w:color="000000" w:sz="6" w:space="0"/>
                    <w:left w:val="nil"/>
                    <w:bottom w:val="single" w:color="000000" w:sz="6" w:space="0"/>
                    <w:right w:val="single" w:color="000000" w:sz="6" w:space="0"/>
                  </w:tcBorders>
                  <w:noWrap w:val="0"/>
                  <w:vAlign w:val="center"/>
                </w:tcPr>
                <w:p>
                  <w:pPr>
                    <w:adjustRightInd w:val="0"/>
                    <w:jc w:val="center"/>
                    <w:rPr>
                      <w:rFonts w:ascii="Times New Roman" w:hAnsi="Times New Roman"/>
                      <w:bCs/>
                      <w:color w:val="000000"/>
                      <w:sz w:val="21"/>
                      <w:szCs w:val="21"/>
                    </w:rPr>
                  </w:pPr>
                  <w:r>
                    <w:rPr>
                      <w:rFonts w:hint="eastAsia" w:ascii="Times New Roman" w:hAnsi="Times New Roman"/>
                      <w:bCs/>
                      <w:sz w:val="21"/>
                      <w:szCs w:val="21"/>
                      <w:lang w:eastAsia="zh-CN"/>
                    </w:rPr>
                    <w:t>≥</w:t>
                  </w:r>
                  <w:r>
                    <w:rPr>
                      <w:rFonts w:ascii="Times New Roman" w:hAnsi="Times New Roman"/>
                      <w:bCs/>
                      <w:sz w:val="21"/>
                      <w:szCs w:val="21"/>
                    </w:rPr>
                    <w:t>5</w:t>
                  </w:r>
                </w:p>
              </w:tc>
              <w:tc>
                <w:tcPr>
                  <w:tcW w:w="539" w:type="pct"/>
                  <w:tcBorders>
                    <w:top w:val="single" w:color="000000" w:sz="6" w:space="0"/>
                    <w:left w:val="nil"/>
                    <w:bottom w:val="single" w:color="000000" w:sz="6" w:space="0"/>
                    <w:right w:val="single" w:color="000000" w:sz="6" w:space="0"/>
                  </w:tcBorders>
                  <w:noWrap w:val="0"/>
                  <w:vAlign w:val="center"/>
                </w:tcPr>
                <w:p>
                  <w:pPr>
                    <w:jc w:val="center"/>
                    <w:rPr>
                      <w:rFonts w:ascii="Times New Roman" w:hAnsi="Times New Roman"/>
                      <w:bCs/>
                      <w:color w:val="000000"/>
                      <w:sz w:val="21"/>
                      <w:szCs w:val="21"/>
                    </w:rPr>
                  </w:pPr>
                  <w:r>
                    <w:rPr>
                      <w:rFonts w:hint="eastAsia" w:ascii="Times New Roman" w:hAnsi="Times New Roman"/>
                      <w:bCs/>
                      <w:sz w:val="21"/>
                      <w:szCs w:val="21"/>
                      <w:lang w:eastAsia="zh-CN"/>
                    </w:rPr>
                    <w:t>≤</w:t>
                  </w:r>
                  <w:r>
                    <w:rPr>
                      <w:rFonts w:ascii="Times New Roman" w:hAnsi="Times New Roman"/>
                      <w:bCs/>
                      <w:sz w:val="21"/>
                      <w:szCs w:val="21"/>
                    </w:rPr>
                    <w:t>20</w:t>
                  </w:r>
                </w:p>
              </w:tc>
              <w:tc>
                <w:tcPr>
                  <w:tcW w:w="738" w:type="pct"/>
                  <w:vMerge w:val="continue"/>
                  <w:tcBorders>
                    <w:top w:val="nil"/>
                    <w:left w:val="nil"/>
                    <w:bottom w:val="single" w:color="000000" w:sz="2" w:space="0"/>
                  </w:tcBorders>
                  <w:noWrap w:val="0"/>
                  <w:vAlign w:val="center"/>
                </w:tcPr>
                <w:p>
                  <w:pPr>
                    <w:widowControl/>
                    <w:jc w:val="left"/>
                    <w:rPr>
                      <w:rFonts w:ascii="Times New Roman" w:hAnsi="Times New Roman"/>
                      <w:bCs/>
                      <w:color w:val="000000"/>
                      <w:sz w:val="21"/>
                      <w:szCs w:val="21"/>
                    </w:rPr>
                  </w:pPr>
                </w:p>
              </w:tc>
            </w:tr>
            <w:tr>
              <w:tblPrEx>
                <w:tblBorders>
                  <w:top w:val="single" w:color="000000" w:sz="2" w:space="0"/>
                  <w:left w:val="none" w:color="auto" w:sz="0" w:space="0"/>
                  <w:bottom w:val="single" w:color="000000" w:sz="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867" w:type="pct"/>
                  <w:vMerge w:val="continue"/>
                  <w:tcBorders>
                    <w:top w:val="nil"/>
                    <w:bottom w:val="single" w:color="000000" w:sz="2" w:space="0"/>
                    <w:right w:val="single" w:color="000000" w:sz="6" w:space="0"/>
                  </w:tcBorders>
                  <w:noWrap w:val="0"/>
                  <w:vAlign w:val="center"/>
                </w:tcPr>
                <w:p>
                  <w:pPr>
                    <w:widowControl/>
                    <w:jc w:val="left"/>
                    <w:rPr>
                      <w:rFonts w:ascii="Times New Roman" w:hAnsi="Times New Roman"/>
                      <w:bCs/>
                      <w:color w:val="000000"/>
                      <w:sz w:val="21"/>
                      <w:szCs w:val="21"/>
                    </w:rPr>
                  </w:pPr>
                </w:p>
              </w:tc>
              <w:tc>
                <w:tcPr>
                  <w:tcW w:w="860" w:type="pct"/>
                  <w:tcBorders>
                    <w:top w:val="single" w:color="000000" w:sz="6" w:space="0"/>
                    <w:left w:val="nil"/>
                    <w:bottom w:val="single" w:color="000000" w:sz="6" w:space="0"/>
                    <w:right w:val="single" w:color="000000" w:sz="6" w:space="0"/>
                  </w:tcBorders>
                  <w:noWrap w:val="0"/>
                  <w:vAlign w:val="center"/>
                </w:tcPr>
                <w:p>
                  <w:pPr>
                    <w:jc w:val="center"/>
                    <w:rPr>
                      <w:rFonts w:ascii="Times New Roman" w:hAnsi="Times New Roman"/>
                      <w:bCs/>
                      <w:color w:val="000000"/>
                      <w:sz w:val="21"/>
                      <w:szCs w:val="21"/>
                    </w:rPr>
                  </w:pPr>
                  <w:r>
                    <w:rPr>
                      <w:rFonts w:ascii="Times New Roman" w:hAnsi="宋体"/>
                      <w:bCs/>
                      <w:sz w:val="21"/>
                      <w:szCs w:val="21"/>
                    </w:rPr>
                    <w:t>标准指数</w:t>
                  </w:r>
                </w:p>
              </w:tc>
              <w:tc>
                <w:tcPr>
                  <w:tcW w:w="649" w:type="pct"/>
                  <w:tcBorders>
                    <w:top w:val="single" w:color="000000" w:sz="6" w:space="0"/>
                    <w:left w:val="nil"/>
                    <w:bottom w:val="single" w:color="000000" w:sz="6" w:space="0"/>
                    <w:right w:val="single" w:color="000000" w:sz="6" w:space="0"/>
                  </w:tcBorders>
                  <w:noWrap w:val="0"/>
                  <w:vAlign w:val="center"/>
                </w:tcPr>
                <w:p>
                  <w:pPr>
                    <w:adjustRightInd w:val="0"/>
                    <w:jc w:val="center"/>
                    <w:rPr>
                      <w:rFonts w:hint="eastAsia" w:ascii="Times New Roman" w:hAnsi="Times New Roman" w:eastAsia="宋体"/>
                      <w:bCs/>
                      <w:color w:val="000000"/>
                      <w:sz w:val="21"/>
                      <w:szCs w:val="21"/>
                      <w:lang w:eastAsia="zh-CN"/>
                    </w:rPr>
                  </w:pPr>
                  <w:r>
                    <w:rPr>
                      <w:rFonts w:hint="eastAsia" w:ascii="Times New Roman" w:hAnsi="Times New Roman"/>
                      <w:bCs/>
                      <w:sz w:val="21"/>
                      <w:szCs w:val="21"/>
                      <w:lang w:val="en-US" w:eastAsia="zh-CN"/>
                    </w:rPr>
                    <w:t>/</w:t>
                  </w:r>
                </w:p>
              </w:tc>
              <w:tc>
                <w:tcPr>
                  <w:tcW w:w="701" w:type="pct"/>
                  <w:tcBorders>
                    <w:top w:val="single" w:color="000000" w:sz="6" w:space="0"/>
                    <w:left w:val="nil"/>
                    <w:bottom w:val="single" w:color="000000" w:sz="6" w:space="0"/>
                    <w:right w:val="single" w:color="000000" w:sz="6" w:space="0"/>
                  </w:tcBorders>
                  <w:noWrap w:val="0"/>
                  <w:vAlign w:val="center"/>
                </w:tcPr>
                <w:p>
                  <w:pPr>
                    <w:adjustRightInd w:val="0"/>
                    <w:jc w:val="center"/>
                    <w:rPr>
                      <w:rFonts w:ascii="Times New Roman" w:hAnsi="Times New Roman"/>
                      <w:bCs/>
                      <w:color w:val="000000"/>
                      <w:sz w:val="21"/>
                      <w:szCs w:val="21"/>
                    </w:rPr>
                  </w:pPr>
                  <w:r>
                    <w:rPr>
                      <w:rFonts w:ascii="Times New Roman" w:hAnsi="Times New Roman"/>
                      <w:bCs/>
                      <w:sz w:val="21"/>
                      <w:szCs w:val="21"/>
                    </w:rPr>
                    <w:t>0.</w:t>
                  </w:r>
                  <w:r>
                    <w:rPr>
                      <w:rFonts w:hint="eastAsia" w:ascii="Times New Roman" w:hAnsi="Times New Roman"/>
                      <w:bCs/>
                      <w:sz w:val="21"/>
                      <w:szCs w:val="21"/>
                      <w:lang w:val="en-US" w:eastAsia="zh-CN"/>
                    </w:rPr>
                    <w:t>8</w:t>
                  </w:r>
                  <w:r>
                    <w:rPr>
                      <w:rFonts w:ascii="Times New Roman" w:hAnsi="Times New Roman"/>
                      <w:bCs/>
                      <w:sz w:val="21"/>
                      <w:szCs w:val="21"/>
                    </w:rPr>
                    <w:t>5</w:t>
                  </w:r>
                </w:p>
              </w:tc>
              <w:tc>
                <w:tcPr>
                  <w:tcW w:w="641" w:type="pct"/>
                  <w:tcBorders>
                    <w:top w:val="single" w:color="000000" w:sz="6" w:space="0"/>
                    <w:left w:val="nil"/>
                    <w:bottom w:val="single" w:color="000000" w:sz="6" w:space="0"/>
                    <w:right w:val="single" w:color="000000" w:sz="6" w:space="0"/>
                  </w:tcBorders>
                  <w:noWrap w:val="0"/>
                  <w:vAlign w:val="center"/>
                </w:tcPr>
                <w:p>
                  <w:pPr>
                    <w:adjustRightInd w:val="0"/>
                    <w:jc w:val="center"/>
                    <w:rPr>
                      <w:rFonts w:ascii="Times New Roman" w:hAnsi="Times New Roman"/>
                      <w:bCs/>
                      <w:color w:val="000000"/>
                      <w:sz w:val="21"/>
                      <w:szCs w:val="21"/>
                    </w:rPr>
                  </w:pPr>
                  <w:r>
                    <w:rPr>
                      <w:rFonts w:ascii="Times New Roman" w:hAnsi="Times New Roman"/>
                      <w:bCs/>
                      <w:sz w:val="21"/>
                      <w:szCs w:val="21"/>
                    </w:rPr>
                    <w:t>/</w:t>
                  </w:r>
                </w:p>
              </w:tc>
              <w:tc>
                <w:tcPr>
                  <w:tcW w:w="539" w:type="pct"/>
                  <w:tcBorders>
                    <w:top w:val="single" w:color="000000" w:sz="6" w:space="0"/>
                    <w:left w:val="nil"/>
                    <w:bottom w:val="single" w:color="000000" w:sz="6" w:space="0"/>
                    <w:right w:val="single" w:color="000000" w:sz="6" w:space="0"/>
                  </w:tcBorders>
                  <w:noWrap w:val="0"/>
                  <w:vAlign w:val="center"/>
                </w:tcPr>
                <w:p>
                  <w:pPr>
                    <w:jc w:val="center"/>
                    <w:rPr>
                      <w:rFonts w:hint="eastAsia" w:ascii="Times New Roman" w:hAnsi="Times New Roman" w:eastAsia="宋体"/>
                      <w:bCs/>
                      <w:color w:val="000000"/>
                      <w:sz w:val="21"/>
                      <w:szCs w:val="21"/>
                      <w:lang w:eastAsia="zh-CN"/>
                    </w:rPr>
                  </w:pPr>
                  <w:r>
                    <w:rPr>
                      <w:rFonts w:ascii="Times New Roman" w:hAnsi="Times New Roman"/>
                      <w:bCs/>
                      <w:sz w:val="21"/>
                      <w:szCs w:val="21"/>
                    </w:rPr>
                    <w:t>0.9</w:t>
                  </w:r>
                  <w:r>
                    <w:rPr>
                      <w:rFonts w:hint="eastAsia" w:ascii="Times New Roman" w:hAnsi="Times New Roman"/>
                      <w:bCs/>
                      <w:sz w:val="21"/>
                      <w:szCs w:val="21"/>
                      <w:lang w:val="en-US" w:eastAsia="zh-CN"/>
                    </w:rPr>
                    <w:t>5</w:t>
                  </w:r>
                </w:p>
              </w:tc>
              <w:tc>
                <w:tcPr>
                  <w:tcW w:w="738" w:type="pct"/>
                  <w:vMerge w:val="continue"/>
                  <w:tcBorders>
                    <w:top w:val="nil"/>
                    <w:left w:val="nil"/>
                    <w:bottom w:val="single" w:color="000000" w:sz="2" w:space="0"/>
                  </w:tcBorders>
                  <w:noWrap w:val="0"/>
                  <w:vAlign w:val="center"/>
                </w:tcPr>
                <w:p>
                  <w:pPr>
                    <w:widowControl/>
                    <w:jc w:val="left"/>
                    <w:rPr>
                      <w:rFonts w:ascii="Times New Roman" w:hAnsi="Times New Roman"/>
                      <w:bCs/>
                      <w:color w:val="000000"/>
                      <w:sz w:val="21"/>
                      <w:szCs w:val="21"/>
                    </w:rPr>
                  </w:pPr>
                </w:p>
              </w:tc>
            </w:tr>
            <w:tr>
              <w:tblPrEx>
                <w:tblBorders>
                  <w:top w:val="single" w:color="000000" w:sz="2" w:space="0"/>
                  <w:left w:val="none" w:color="auto" w:sz="0" w:space="0"/>
                  <w:bottom w:val="single" w:color="000000" w:sz="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867" w:type="pct"/>
                  <w:vMerge w:val="continue"/>
                  <w:tcBorders>
                    <w:top w:val="nil"/>
                    <w:bottom w:val="single" w:color="000000" w:sz="2" w:space="0"/>
                    <w:right w:val="single" w:color="000000" w:sz="6" w:space="0"/>
                  </w:tcBorders>
                  <w:noWrap w:val="0"/>
                  <w:vAlign w:val="center"/>
                </w:tcPr>
                <w:p>
                  <w:pPr>
                    <w:widowControl/>
                    <w:jc w:val="left"/>
                    <w:rPr>
                      <w:rFonts w:ascii="Times New Roman" w:hAnsi="Times New Roman"/>
                      <w:bCs/>
                      <w:color w:val="000000"/>
                      <w:sz w:val="21"/>
                      <w:szCs w:val="21"/>
                    </w:rPr>
                  </w:pPr>
                </w:p>
              </w:tc>
              <w:tc>
                <w:tcPr>
                  <w:tcW w:w="860" w:type="pct"/>
                  <w:tcBorders>
                    <w:top w:val="single" w:color="000000" w:sz="6" w:space="0"/>
                    <w:left w:val="nil"/>
                    <w:bottom w:val="single" w:color="000000" w:sz="2" w:space="0"/>
                    <w:right w:val="single" w:color="000000" w:sz="6" w:space="0"/>
                  </w:tcBorders>
                  <w:noWrap w:val="0"/>
                  <w:vAlign w:val="center"/>
                </w:tcPr>
                <w:p>
                  <w:pPr>
                    <w:jc w:val="center"/>
                    <w:rPr>
                      <w:rFonts w:ascii="Times New Roman" w:hAnsi="Times New Roman"/>
                      <w:bCs/>
                      <w:color w:val="000000"/>
                      <w:sz w:val="21"/>
                      <w:szCs w:val="21"/>
                    </w:rPr>
                  </w:pPr>
                  <w:r>
                    <w:rPr>
                      <w:rFonts w:ascii="Times New Roman" w:hAnsi="宋体"/>
                      <w:bCs/>
                      <w:sz w:val="21"/>
                      <w:szCs w:val="21"/>
                    </w:rPr>
                    <w:t>评价结果</w:t>
                  </w:r>
                </w:p>
              </w:tc>
              <w:tc>
                <w:tcPr>
                  <w:tcW w:w="649" w:type="pct"/>
                  <w:tcBorders>
                    <w:top w:val="single" w:color="000000" w:sz="6" w:space="0"/>
                    <w:left w:val="nil"/>
                    <w:bottom w:val="single" w:color="000000" w:sz="2" w:space="0"/>
                    <w:right w:val="single" w:color="000000" w:sz="6" w:space="0"/>
                  </w:tcBorders>
                  <w:noWrap w:val="0"/>
                  <w:vAlign w:val="center"/>
                </w:tcPr>
                <w:p>
                  <w:pPr>
                    <w:adjustRightInd w:val="0"/>
                    <w:jc w:val="center"/>
                    <w:rPr>
                      <w:rFonts w:ascii="Times New Roman" w:hAnsi="Times New Roman"/>
                      <w:bCs/>
                      <w:color w:val="000000"/>
                      <w:sz w:val="21"/>
                      <w:szCs w:val="21"/>
                    </w:rPr>
                  </w:pPr>
                  <w:r>
                    <w:rPr>
                      <w:rFonts w:ascii="Times New Roman" w:hAnsi="宋体"/>
                      <w:bCs/>
                      <w:sz w:val="21"/>
                      <w:szCs w:val="21"/>
                    </w:rPr>
                    <w:t>达标</w:t>
                  </w:r>
                </w:p>
              </w:tc>
              <w:tc>
                <w:tcPr>
                  <w:tcW w:w="701" w:type="pct"/>
                  <w:tcBorders>
                    <w:top w:val="single" w:color="000000" w:sz="6" w:space="0"/>
                    <w:left w:val="nil"/>
                    <w:bottom w:val="single" w:color="000000" w:sz="2" w:space="0"/>
                    <w:right w:val="single" w:color="000000" w:sz="6" w:space="0"/>
                  </w:tcBorders>
                  <w:noWrap w:val="0"/>
                  <w:vAlign w:val="center"/>
                </w:tcPr>
                <w:p>
                  <w:pPr>
                    <w:adjustRightInd w:val="0"/>
                    <w:jc w:val="center"/>
                    <w:rPr>
                      <w:rFonts w:hint="eastAsia" w:ascii="Times New Roman" w:hAnsi="Times New Roman" w:eastAsia="宋体"/>
                      <w:bCs/>
                      <w:color w:val="000000"/>
                      <w:sz w:val="21"/>
                      <w:szCs w:val="21"/>
                      <w:lang w:eastAsia="zh-CN"/>
                    </w:rPr>
                  </w:pPr>
                  <w:r>
                    <w:rPr>
                      <w:rFonts w:hint="eastAsia" w:ascii="Times New Roman" w:hAnsi="宋体"/>
                      <w:bCs/>
                      <w:sz w:val="21"/>
                      <w:szCs w:val="21"/>
                      <w:lang w:eastAsia="zh-CN"/>
                    </w:rPr>
                    <w:t>超标</w:t>
                  </w:r>
                </w:p>
              </w:tc>
              <w:tc>
                <w:tcPr>
                  <w:tcW w:w="641" w:type="pct"/>
                  <w:tcBorders>
                    <w:top w:val="single" w:color="000000" w:sz="6" w:space="0"/>
                    <w:left w:val="nil"/>
                    <w:bottom w:val="single" w:color="000000" w:sz="2" w:space="0"/>
                    <w:right w:val="single" w:color="000000" w:sz="6" w:space="0"/>
                  </w:tcBorders>
                  <w:noWrap w:val="0"/>
                  <w:vAlign w:val="center"/>
                </w:tcPr>
                <w:p>
                  <w:pPr>
                    <w:adjustRightInd w:val="0"/>
                    <w:jc w:val="center"/>
                    <w:rPr>
                      <w:rFonts w:ascii="Times New Roman" w:hAnsi="Times New Roman"/>
                      <w:bCs/>
                      <w:color w:val="000000"/>
                      <w:sz w:val="21"/>
                      <w:szCs w:val="21"/>
                    </w:rPr>
                  </w:pPr>
                  <w:r>
                    <w:rPr>
                      <w:rFonts w:ascii="Times New Roman" w:hAnsi="宋体"/>
                      <w:bCs/>
                      <w:sz w:val="21"/>
                      <w:szCs w:val="21"/>
                    </w:rPr>
                    <w:t>达标</w:t>
                  </w:r>
                </w:p>
              </w:tc>
              <w:tc>
                <w:tcPr>
                  <w:tcW w:w="539" w:type="pct"/>
                  <w:tcBorders>
                    <w:top w:val="single" w:color="000000" w:sz="6" w:space="0"/>
                    <w:left w:val="nil"/>
                    <w:bottom w:val="single" w:color="000000" w:sz="2" w:space="0"/>
                    <w:right w:val="single" w:color="000000" w:sz="6" w:space="0"/>
                  </w:tcBorders>
                  <w:noWrap w:val="0"/>
                  <w:vAlign w:val="center"/>
                </w:tcPr>
                <w:p>
                  <w:pPr>
                    <w:jc w:val="center"/>
                    <w:rPr>
                      <w:rFonts w:ascii="Times New Roman" w:hAnsi="Times New Roman"/>
                      <w:bCs/>
                      <w:color w:val="000000"/>
                      <w:sz w:val="21"/>
                      <w:szCs w:val="21"/>
                    </w:rPr>
                  </w:pPr>
                  <w:r>
                    <w:rPr>
                      <w:rFonts w:ascii="Times New Roman" w:hAnsi="宋体"/>
                      <w:bCs/>
                      <w:sz w:val="21"/>
                      <w:szCs w:val="21"/>
                    </w:rPr>
                    <w:t>达标</w:t>
                  </w:r>
                </w:p>
              </w:tc>
              <w:tc>
                <w:tcPr>
                  <w:tcW w:w="738" w:type="pct"/>
                  <w:vMerge w:val="continue"/>
                  <w:tcBorders>
                    <w:top w:val="nil"/>
                    <w:left w:val="nil"/>
                    <w:bottom w:val="single" w:color="000000" w:sz="2" w:space="0"/>
                  </w:tcBorders>
                  <w:noWrap w:val="0"/>
                  <w:vAlign w:val="center"/>
                </w:tcPr>
                <w:p>
                  <w:pPr>
                    <w:widowControl/>
                    <w:jc w:val="left"/>
                    <w:rPr>
                      <w:rFonts w:ascii="Times New Roman" w:hAnsi="Times New Roman"/>
                      <w:bCs/>
                      <w:color w:val="000000"/>
                      <w:sz w:val="21"/>
                      <w:szCs w:val="21"/>
                    </w:rPr>
                  </w:pPr>
                </w:p>
              </w:tc>
            </w:tr>
          </w:tbl>
          <w:p>
            <w:pPr>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both"/>
              <w:textAlignment w:val="auto"/>
              <w:rPr>
                <w:rFonts w:ascii="Times New Roman" w:hAnsi="Times New Roman"/>
                <w:color w:val="000000"/>
                <w:kern w:val="0"/>
                <w:sz w:val="24"/>
                <w:szCs w:val="24"/>
              </w:rPr>
            </w:pPr>
            <w:r>
              <w:rPr>
                <w:rFonts w:ascii="Times New Roman" w:hAnsi="宋体"/>
                <w:color w:val="000000"/>
                <w:kern w:val="0"/>
                <w:sz w:val="24"/>
                <w:szCs w:val="24"/>
              </w:rPr>
              <w:t>由上表可知，</w:t>
            </w:r>
            <w:r>
              <w:rPr>
                <w:rFonts w:hint="eastAsia"/>
                <w:sz w:val="24"/>
                <w:lang w:eastAsia="zh-CN"/>
              </w:rPr>
              <w:t>沙河舞阳马湾</w:t>
            </w:r>
            <w:r>
              <w:rPr>
                <w:rFonts w:ascii="Times New Roman" w:hAnsi="宋体"/>
                <w:color w:val="000000"/>
                <w:kern w:val="0"/>
                <w:sz w:val="24"/>
                <w:szCs w:val="24"/>
              </w:rPr>
              <w:t>各项监测因子均满足《地表水环境质量标准》（</w:t>
            </w:r>
            <w:r>
              <w:rPr>
                <w:rFonts w:ascii="Times New Roman" w:hAnsi="Times New Roman"/>
                <w:color w:val="000000"/>
                <w:kern w:val="0"/>
                <w:sz w:val="24"/>
                <w:szCs w:val="24"/>
              </w:rPr>
              <w:t>GB3838-2002</w:t>
            </w:r>
            <w:r>
              <w:rPr>
                <w:rFonts w:ascii="Times New Roman" w:hAnsi="宋体"/>
                <w:color w:val="000000"/>
                <w:kern w:val="0"/>
                <w:sz w:val="24"/>
                <w:szCs w:val="24"/>
              </w:rPr>
              <w:t>）</w:t>
            </w:r>
            <w:r>
              <w:rPr>
                <w:rFonts w:ascii="Times New Roman" w:hAnsi="Times New Roman"/>
                <w:color w:val="000000"/>
                <w:kern w:val="0"/>
                <w:sz w:val="24"/>
                <w:szCs w:val="24"/>
              </w:rPr>
              <w:t>III</w:t>
            </w:r>
            <w:r>
              <w:rPr>
                <w:rFonts w:ascii="Times New Roman" w:hAnsi="宋体"/>
                <w:color w:val="000000"/>
                <w:kern w:val="0"/>
                <w:sz w:val="24"/>
                <w:szCs w:val="24"/>
              </w:rPr>
              <w:t>类标准。</w:t>
            </w:r>
          </w:p>
          <w:p>
            <w:pPr>
              <w:pStyle w:val="13"/>
              <w:spacing w:after="0" w:line="520" w:lineRule="exact"/>
              <w:ind w:left="0" w:leftChars="0" w:firstLine="482" w:firstLineChars="200"/>
              <w:rPr>
                <w:rFonts w:ascii="Times New Roman" w:hAnsi="Times New Roman"/>
                <w:b/>
                <w:sz w:val="24"/>
              </w:rPr>
            </w:pPr>
            <w:r>
              <w:rPr>
                <w:rFonts w:ascii="Times New Roman" w:hAnsi="Times New Roman"/>
                <w:b/>
                <w:sz w:val="24"/>
              </w:rPr>
              <w:t>3、地下水质量现状</w:t>
            </w:r>
          </w:p>
          <w:p>
            <w:pPr>
              <w:adjustRightInd w:val="0"/>
              <w:snapToGrid w:val="0"/>
              <w:spacing w:line="480" w:lineRule="exact"/>
              <w:ind w:firstLine="480" w:firstLineChars="200"/>
              <w:rPr>
                <w:rFonts w:hint="default" w:ascii="Times New Roman" w:hAnsi="Times New Roman" w:cs="Times New Roman"/>
                <w:sz w:val="24"/>
              </w:rPr>
            </w:pPr>
            <w:r>
              <w:rPr>
                <w:rFonts w:hint="default" w:ascii="Times New Roman" w:hAnsi="Times New Roman" w:cs="Times New Roman"/>
                <w:sz w:val="24"/>
              </w:rPr>
              <w:t>为了解本工程区域地下水情况，本次评估地下水环境质量采用201</w:t>
            </w:r>
            <w:r>
              <w:rPr>
                <w:rFonts w:hint="default" w:ascii="Times New Roman" w:hAnsi="Times New Roman" w:cs="Times New Roman"/>
                <w:sz w:val="24"/>
                <w:lang w:val="en-US" w:eastAsia="zh-CN"/>
              </w:rPr>
              <w:t>8</w:t>
            </w:r>
            <w:r>
              <w:rPr>
                <w:rFonts w:hint="default" w:ascii="Times New Roman" w:hAnsi="Times New Roman" w:cs="Times New Roman"/>
                <w:sz w:val="24"/>
              </w:rPr>
              <w:t>年平顶山市环境监测中心站对全市9个井位的地下水年平均监测数据，地下水环境质量现状监测结果统计见下表。</w:t>
            </w:r>
          </w:p>
          <w:p>
            <w:pPr>
              <w:pStyle w:val="7"/>
              <w:spacing w:beforeLines="50"/>
              <w:jc w:val="center"/>
              <w:rPr>
                <w:rFonts w:hint="default" w:ascii="Times New Roman" w:hAnsi="宋体" w:cs="Times New Roman"/>
                <w:b/>
                <w:bCs w:val="0"/>
                <w:sz w:val="24"/>
                <w:szCs w:val="24"/>
              </w:rPr>
            </w:pPr>
            <w:r>
              <w:rPr>
                <w:rFonts w:hint="default" w:ascii="Times New Roman" w:hAnsi="宋体" w:cs="Times New Roman"/>
                <w:b/>
                <w:bCs w:val="0"/>
                <w:sz w:val="24"/>
                <w:szCs w:val="24"/>
              </w:rPr>
              <w:t>表</w:t>
            </w:r>
            <w:r>
              <w:rPr>
                <w:rFonts w:hint="eastAsia" w:hAnsi="宋体" w:cs="Times New Roman"/>
                <w:b/>
                <w:bCs w:val="0"/>
                <w:sz w:val="24"/>
                <w:szCs w:val="24"/>
                <w:lang w:val="en-US" w:eastAsia="zh-CN"/>
              </w:rPr>
              <w:t>9</w:t>
            </w:r>
            <w:r>
              <w:rPr>
                <w:rFonts w:hint="eastAsia" w:ascii="Times New Roman" w:hAnsi="宋体" w:cs="Times New Roman"/>
                <w:b/>
                <w:bCs w:val="0"/>
                <w:sz w:val="24"/>
                <w:szCs w:val="24"/>
                <w:lang w:val="en-US" w:eastAsia="zh-CN"/>
              </w:rPr>
              <w:t xml:space="preserve"> </w:t>
            </w:r>
            <w:r>
              <w:rPr>
                <w:rFonts w:hint="default" w:ascii="Times New Roman" w:hAnsi="宋体" w:cs="Times New Roman"/>
                <w:b/>
                <w:bCs w:val="0"/>
                <w:sz w:val="24"/>
                <w:szCs w:val="24"/>
              </w:rPr>
              <w:t xml:space="preserve"> 地下水水质现状监测结果统计表  单位：mg/L</w:t>
            </w:r>
          </w:p>
          <w:tbl>
            <w:tblPr>
              <w:tblStyle w:val="23"/>
              <w:tblW w:w="4997" w:type="pct"/>
              <w:jc w:val="center"/>
              <w:tblBorders>
                <w:top w:val="single" w:color="auto" w:sz="2" w:space="0"/>
                <w:left w:val="none" w:color="auto" w:sz="0" w:space="0"/>
                <w:bottom w:val="single" w:color="auto" w:sz="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009"/>
              <w:gridCol w:w="1080"/>
              <w:gridCol w:w="900"/>
              <w:gridCol w:w="731"/>
              <w:gridCol w:w="800"/>
              <w:gridCol w:w="809"/>
              <w:gridCol w:w="1011"/>
              <w:gridCol w:w="965"/>
              <w:gridCol w:w="760"/>
            </w:tblGrid>
            <w:tr>
              <w:tblPrEx>
                <w:tblBorders>
                  <w:top w:val="single" w:color="auto" w:sz="2" w:space="0"/>
                  <w:left w:val="none" w:color="auto" w:sz="0" w:space="0"/>
                  <w:bottom w:val="sing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07" w:type="pct"/>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cs="Times New Roman" w:eastAsiaTheme="majorEastAsia"/>
                      <w:color w:val="000000"/>
                      <w:sz w:val="21"/>
                      <w:szCs w:val="21"/>
                    </w:rPr>
                  </w:pPr>
                  <w:r>
                    <w:rPr>
                      <w:rFonts w:hint="default" w:ascii="Times New Roman" w:hAnsi="Times New Roman" w:cs="Times New Roman" w:eastAsiaTheme="majorEastAsia"/>
                      <w:color w:val="000000"/>
                      <w:sz w:val="21"/>
                      <w:szCs w:val="21"/>
                    </w:rPr>
                    <w:t>监测断面</w:t>
                  </w:r>
                </w:p>
              </w:tc>
              <w:tc>
                <w:tcPr>
                  <w:tcW w:w="595" w:type="pct"/>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cs="Times New Roman" w:eastAsiaTheme="majorEastAsia"/>
                      <w:color w:val="000000"/>
                      <w:sz w:val="21"/>
                      <w:szCs w:val="21"/>
                    </w:rPr>
                  </w:pPr>
                  <w:r>
                    <w:rPr>
                      <w:rFonts w:hint="default" w:ascii="Times New Roman" w:hAnsi="Times New Roman" w:cs="Times New Roman" w:eastAsiaTheme="majorEastAsia"/>
                      <w:color w:val="000000"/>
                      <w:sz w:val="21"/>
                      <w:szCs w:val="21"/>
                    </w:rPr>
                    <w:t>项目</w:t>
                  </w:r>
                </w:p>
              </w:tc>
              <w:tc>
                <w:tcPr>
                  <w:tcW w:w="496" w:type="pct"/>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cs="Times New Roman" w:eastAsiaTheme="majorEastAsia"/>
                      <w:color w:val="000000"/>
                      <w:sz w:val="21"/>
                      <w:szCs w:val="21"/>
                    </w:rPr>
                  </w:pPr>
                  <w:r>
                    <w:rPr>
                      <w:rFonts w:hint="default" w:ascii="Times New Roman" w:hAnsi="Times New Roman" w:cs="Times New Roman" w:eastAsiaTheme="majorEastAsia"/>
                      <w:color w:val="000000"/>
                      <w:sz w:val="21"/>
                      <w:szCs w:val="21"/>
                    </w:rPr>
                    <w:t>总硬度</w:t>
                  </w:r>
                </w:p>
              </w:tc>
              <w:tc>
                <w:tcPr>
                  <w:tcW w:w="403" w:type="pct"/>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cs="Times New Roman" w:eastAsiaTheme="majorEastAsia"/>
                      <w:color w:val="000000"/>
                      <w:sz w:val="21"/>
                      <w:szCs w:val="21"/>
                    </w:rPr>
                  </w:pPr>
                  <w:r>
                    <w:rPr>
                      <w:rFonts w:hint="default" w:ascii="Times New Roman" w:hAnsi="Times New Roman" w:cs="Times New Roman" w:eastAsiaTheme="majorEastAsia"/>
                      <w:color w:val="000000"/>
                      <w:sz w:val="21"/>
                      <w:szCs w:val="21"/>
                    </w:rPr>
                    <w:t>氨氮</w:t>
                  </w:r>
                </w:p>
              </w:tc>
              <w:tc>
                <w:tcPr>
                  <w:tcW w:w="441" w:type="pct"/>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cs="Times New Roman" w:eastAsiaTheme="majorEastAsia"/>
                      <w:color w:val="000000"/>
                      <w:sz w:val="21"/>
                      <w:szCs w:val="21"/>
                    </w:rPr>
                  </w:pPr>
                  <w:r>
                    <w:rPr>
                      <w:rFonts w:hint="default" w:ascii="Times New Roman" w:hAnsi="Times New Roman" w:cs="Times New Roman" w:eastAsiaTheme="majorEastAsia"/>
                      <w:color w:val="000000"/>
                      <w:sz w:val="21"/>
                      <w:szCs w:val="21"/>
                    </w:rPr>
                    <w:t>硝酸盐</w:t>
                  </w:r>
                </w:p>
              </w:tc>
              <w:tc>
                <w:tcPr>
                  <w:tcW w:w="446" w:type="pct"/>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cs="Times New Roman" w:eastAsiaTheme="majorEastAsia"/>
                      <w:color w:val="000000"/>
                      <w:sz w:val="21"/>
                      <w:szCs w:val="21"/>
                    </w:rPr>
                  </w:pPr>
                  <w:r>
                    <w:rPr>
                      <w:rFonts w:hint="default" w:ascii="Times New Roman" w:hAnsi="Times New Roman" w:cs="Times New Roman" w:eastAsiaTheme="majorEastAsia"/>
                      <w:color w:val="000000"/>
                      <w:sz w:val="21"/>
                      <w:szCs w:val="21"/>
                    </w:rPr>
                    <w:t>氯化物</w:t>
                  </w:r>
                </w:p>
              </w:tc>
              <w:tc>
                <w:tcPr>
                  <w:tcW w:w="557" w:type="pct"/>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cs="Times New Roman" w:eastAsiaTheme="majorEastAsia"/>
                      <w:color w:val="000000"/>
                      <w:sz w:val="21"/>
                      <w:szCs w:val="21"/>
                    </w:rPr>
                  </w:pPr>
                  <w:r>
                    <w:rPr>
                      <w:rFonts w:hint="default" w:ascii="Times New Roman" w:hAnsi="Times New Roman" w:cs="Times New Roman" w:eastAsiaTheme="majorEastAsia"/>
                      <w:color w:val="000000"/>
                      <w:sz w:val="21"/>
                      <w:szCs w:val="21"/>
                    </w:rPr>
                    <w:t>高锰酸盐指数</w:t>
                  </w:r>
                </w:p>
              </w:tc>
              <w:tc>
                <w:tcPr>
                  <w:tcW w:w="532" w:type="pct"/>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cs="Times New Roman" w:eastAsiaTheme="majorEastAsia"/>
                      <w:color w:val="000000"/>
                      <w:sz w:val="21"/>
                      <w:szCs w:val="21"/>
                    </w:rPr>
                  </w:pPr>
                  <w:r>
                    <w:rPr>
                      <w:rFonts w:hint="default" w:ascii="Times New Roman" w:hAnsi="Times New Roman" w:cs="Times New Roman" w:eastAsiaTheme="majorEastAsia"/>
                      <w:color w:val="000000"/>
                      <w:sz w:val="21"/>
                      <w:szCs w:val="21"/>
                    </w:rPr>
                    <w:t>溶解性总固体</w:t>
                  </w:r>
                </w:p>
              </w:tc>
              <w:tc>
                <w:tcPr>
                  <w:tcW w:w="419" w:type="pct"/>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cs="Times New Roman" w:eastAsiaTheme="majorEastAsia"/>
                      <w:color w:val="000000"/>
                      <w:sz w:val="21"/>
                      <w:szCs w:val="21"/>
                    </w:rPr>
                  </w:pPr>
                  <w:r>
                    <w:rPr>
                      <w:rFonts w:hint="default" w:ascii="Times New Roman" w:hAnsi="Times New Roman" w:cs="Times New Roman" w:eastAsiaTheme="majorEastAsia"/>
                      <w:color w:val="000000"/>
                      <w:sz w:val="21"/>
                      <w:szCs w:val="21"/>
                    </w:rPr>
                    <w:t>硫酸盐</w:t>
                  </w:r>
                </w:p>
              </w:tc>
            </w:tr>
            <w:tr>
              <w:tblPrEx>
                <w:tblBorders>
                  <w:top w:val="single" w:color="auto" w:sz="2" w:space="0"/>
                  <w:left w:val="none" w:color="auto" w:sz="0" w:space="0"/>
                  <w:bottom w:val="sing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94" w:hRule="atLeast"/>
                <w:jc w:val="center"/>
              </w:trPr>
              <w:tc>
                <w:tcPr>
                  <w:tcW w:w="1107" w:type="pct"/>
                  <w:vMerge w:val="restart"/>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cs="Times New Roman" w:eastAsiaTheme="majorEastAsia"/>
                      <w:color w:val="000000"/>
                      <w:sz w:val="21"/>
                      <w:szCs w:val="21"/>
                    </w:rPr>
                  </w:pPr>
                  <w:r>
                    <w:rPr>
                      <w:rFonts w:hint="default" w:ascii="Times New Roman" w:hAnsi="Times New Roman" w:cs="Times New Roman" w:eastAsiaTheme="majorEastAsia"/>
                      <w:color w:val="000000"/>
                      <w:sz w:val="21"/>
                      <w:szCs w:val="21"/>
                    </w:rPr>
                    <w:t>遵化村、张村、小营、市造纸厂、胡杨楼、周庄水厂、光明路水厂、二矿水厂、姚孟村</w:t>
                  </w:r>
                </w:p>
              </w:tc>
              <w:tc>
                <w:tcPr>
                  <w:tcW w:w="595" w:type="pct"/>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cs="Times New Roman" w:eastAsiaTheme="majorEastAsia"/>
                      <w:color w:val="000000"/>
                      <w:sz w:val="21"/>
                      <w:szCs w:val="21"/>
                    </w:rPr>
                  </w:pPr>
                  <w:r>
                    <w:rPr>
                      <w:rFonts w:hint="default" w:ascii="Times New Roman" w:hAnsi="Times New Roman" w:cs="Times New Roman" w:eastAsiaTheme="majorEastAsia"/>
                      <w:color w:val="000000"/>
                      <w:sz w:val="21"/>
                      <w:szCs w:val="21"/>
                    </w:rPr>
                    <w:t>年均值</w:t>
                  </w:r>
                </w:p>
              </w:tc>
              <w:tc>
                <w:tcPr>
                  <w:tcW w:w="496" w:type="pct"/>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cs="Times New Roman" w:eastAsiaTheme="majorEastAsia"/>
                      <w:color w:val="000000"/>
                      <w:sz w:val="21"/>
                      <w:szCs w:val="21"/>
                      <w:lang w:val="en-US" w:eastAsia="zh-CN"/>
                    </w:rPr>
                  </w:pPr>
                  <w:r>
                    <w:rPr>
                      <w:rFonts w:hint="default" w:ascii="Times New Roman" w:hAnsi="Times New Roman" w:cs="Times New Roman" w:eastAsiaTheme="majorEastAsia"/>
                      <w:color w:val="000000"/>
                      <w:sz w:val="21"/>
                      <w:szCs w:val="21"/>
                      <w:lang w:val="en-US" w:eastAsia="zh-CN"/>
                    </w:rPr>
                    <w:t>382</w:t>
                  </w:r>
                </w:p>
              </w:tc>
              <w:tc>
                <w:tcPr>
                  <w:tcW w:w="403" w:type="pct"/>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cs="Times New Roman" w:eastAsiaTheme="majorEastAsia"/>
                      <w:color w:val="000000"/>
                      <w:sz w:val="21"/>
                      <w:szCs w:val="21"/>
                    </w:rPr>
                  </w:pPr>
                  <w:r>
                    <w:rPr>
                      <w:rFonts w:hint="default" w:ascii="Times New Roman" w:hAnsi="Times New Roman" w:cs="Times New Roman" w:eastAsiaTheme="majorEastAsia"/>
                      <w:color w:val="000000"/>
                      <w:sz w:val="21"/>
                      <w:szCs w:val="21"/>
                    </w:rPr>
                    <w:t>0.012</w:t>
                  </w:r>
                </w:p>
              </w:tc>
              <w:tc>
                <w:tcPr>
                  <w:tcW w:w="441" w:type="pct"/>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cs="Times New Roman" w:eastAsiaTheme="majorEastAsia"/>
                      <w:color w:val="000000"/>
                      <w:sz w:val="21"/>
                      <w:szCs w:val="21"/>
                      <w:lang w:val="en-US" w:eastAsia="zh-CN"/>
                    </w:rPr>
                  </w:pPr>
                  <w:r>
                    <w:rPr>
                      <w:rFonts w:hint="default" w:ascii="Times New Roman" w:hAnsi="Times New Roman" w:cs="Times New Roman" w:eastAsiaTheme="majorEastAsia"/>
                      <w:color w:val="000000"/>
                      <w:sz w:val="21"/>
                      <w:szCs w:val="21"/>
                      <w:lang w:val="en-US" w:eastAsia="zh-CN"/>
                    </w:rPr>
                    <w:t>7.69</w:t>
                  </w:r>
                </w:p>
              </w:tc>
              <w:tc>
                <w:tcPr>
                  <w:tcW w:w="446" w:type="pct"/>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cs="Times New Roman" w:eastAsiaTheme="majorEastAsia"/>
                      <w:color w:val="000000"/>
                      <w:sz w:val="21"/>
                      <w:szCs w:val="21"/>
                      <w:lang w:val="en-US" w:eastAsia="zh-CN"/>
                    </w:rPr>
                  </w:pPr>
                  <w:r>
                    <w:rPr>
                      <w:rFonts w:hint="default" w:ascii="Times New Roman" w:hAnsi="Times New Roman" w:cs="Times New Roman" w:eastAsiaTheme="majorEastAsia"/>
                      <w:color w:val="000000"/>
                      <w:sz w:val="21"/>
                      <w:szCs w:val="21"/>
                      <w:lang w:val="en-US" w:eastAsia="zh-CN"/>
                    </w:rPr>
                    <w:t>34</w:t>
                  </w:r>
                </w:p>
              </w:tc>
              <w:tc>
                <w:tcPr>
                  <w:tcW w:w="557" w:type="pct"/>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cs="Times New Roman" w:eastAsiaTheme="majorEastAsia"/>
                      <w:color w:val="000000"/>
                      <w:sz w:val="21"/>
                      <w:szCs w:val="21"/>
                      <w:lang w:val="en-US" w:eastAsia="zh-CN"/>
                    </w:rPr>
                  </w:pPr>
                  <w:r>
                    <w:rPr>
                      <w:rFonts w:hint="default" w:ascii="Times New Roman" w:hAnsi="Times New Roman" w:cs="Times New Roman" w:eastAsiaTheme="majorEastAsia"/>
                      <w:color w:val="000000"/>
                      <w:sz w:val="21"/>
                      <w:szCs w:val="21"/>
                      <w:lang w:val="en-US" w:eastAsia="zh-CN"/>
                    </w:rPr>
                    <w:t>0.7</w:t>
                  </w:r>
                </w:p>
              </w:tc>
              <w:tc>
                <w:tcPr>
                  <w:tcW w:w="532" w:type="pct"/>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cs="Times New Roman" w:eastAsiaTheme="majorEastAsia"/>
                      <w:color w:val="000000"/>
                      <w:sz w:val="21"/>
                      <w:szCs w:val="21"/>
                      <w:lang w:val="en-US" w:eastAsia="zh-CN"/>
                    </w:rPr>
                  </w:pPr>
                  <w:r>
                    <w:rPr>
                      <w:rFonts w:hint="default" w:ascii="Times New Roman" w:hAnsi="Times New Roman" w:cs="Times New Roman" w:eastAsiaTheme="majorEastAsia"/>
                      <w:color w:val="000000"/>
                      <w:sz w:val="21"/>
                      <w:szCs w:val="21"/>
                      <w:lang w:val="en-US" w:eastAsia="zh-CN"/>
                    </w:rPr>
                    <w:t>624</w:t>
                  </w:r>
                </w:p>
              </w:tc>
              <w:tc>
                <w:tcPr>
                  <w:tcW w:w="419" w:type="pct"/>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cs="Times New Roman" w:eastAsiaTheme="majorEastAsia"/>
                      <w:color w:val="000000"/>
                      <w:sz w:val="21"/>
                      <w:szCs w:val="21"/>
                      <w:lang w:val="en-US" w:eastAsia="zh-CN"/>
                    </w:rPr>
                  </w:pPr>
                  <w:r>
                    <w:rPr>
                      <w:rFonts w:hint="default" w:ascii="Times New Roman" w:hAnsi="Times New Roman" w:cs="Times New Roman" w:eastAsiaTheme="majorEastAsia"/>
                      <w:color w:val="000000"/>
                      <w:sz w:val="21"/>
                      <w:szCs w:val="21"/>
                      <w:lang w:val="en-US" w:eastAsia="zh-CN"/>
                    </w:rPr>
                    <w:t>55.4</w:t>
                  </w:r>
                </w:p>
              </w:tc>
            </w:tr>
            <w:tr>
              <w:tblPrEx>
                <w:tblBorders>
                  <w:top w:val="single" w:color="auto" w:sz="2" w:space="0"/>
                  <w:left w:val="none" w:color="auto" w:sz="0" w:space="0"/>
                  <w:bottom w:val="sing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58" w:hRule="atLeast"/>
                <w:jc w:val="center"/>
              </w:trPr>
              <w:tc>
                <w:tcPr>
                  <w:tcW w:w="1107" w:type="pct"/>
                  <w:vMerge w:val="continue"/>
                  <w:vAlign w:val="center"/>
                </w:tcPr>
                <w:p>
                  <w:pPr>
                    <w:keepNext w:val="0"/>
                    <w:keepLines w:val="0"/>
                    <w:pageBreakBefore w:val="0"/>
                    <w:widowControl/>
                    <w:kinsoku/>
                    <w:wordWrap/>
                    <w:overflowPunct/>
                    <w:topLinePunct w:val="0"/>
                    <w:autoSpaceDE/>
                    <w:autoSpaceDN/>
                    <w:bidi w:val="0"/>
                    <w:adjustRightInd w:val="0"/>
                    <w:snapToGrid w:val="0"/>
                    <w:spacing w:line="360" w:lineRule="exact"/>
                    <w:jc w:val="center"/>
                    <w:textAlignment w:val="auto"/>
                    <w:rPr>
                      <w:rFonts w:hint="default" w:ascii="Times New Roman" w:hAnsi="Times New Roman" w:cs="Times New Roman" w:eastAsiaTheme="majorEastAsia"/>
                      <w:color w:val="000000"/>
                      <w:sz w:val="21"/>
                      <w:szCs w:val="21"/>
                    </w:rPr>
                  </w:pPr>
                </w:p>
              </w:tc>
              <w:tc>
                <w:tcPr>
                  <w:tcW w:w="595" w:type="pct"/>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cs="Times New Roman" w:eastAsiaTheme="majorEastAsia"/>
                      <w:color w:val="000000"/>
                      <w:sz w:val="21"/>
                      <w:szCs w:val="21"/>
                    </w:rPr>
                  </w:pPr>
                  <w:r>
                    <w:rPr>
                      <w:rFonts w:hint="default" w:ascii="Times New Roman" w:hAnsi="Times New Roman" w:cs="Times New Roman" w:eastAsiaTheme="majorEastAsia"/>
                      <w:color w:val="000000"/>
                      <w:sz w:val="21"/>
                      <w:szCs w:val="21"/>
                    </w:rPr>
                    <w:t>标准限值</w:t>
                  </w:r>
                </w:p>
              </w:tc>
              <w:tc>
                <w:tcPr>
                  <w:tcW w:w="496" w:type="pct"/>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cs="Times New Roman" w:eastAsiaTheme="majorEastAsia"/>
                      <w:color w:val="000000"/>
                      <w:sz w:val="21"/>
                      <w:szCs w:val="21"/>
                    </w:rPr>
                  </w:pPr>
                  <w:r>
                    <w:rPr>
                      <w:rFonts w:hint="default" w:ascii="Times New Roman" w:hAnsi="Times New Roman" w:cs="Times New Roman" w:eastAsiaTheme="majorEastAsia"/>
                      <w:color w:val="000000"/>
                      <w:sz w:val="21"/>
                      <w:szCs w:val="21"/>
                    </w:rPr>
                    <w:t>450</w:t>
                  </w:r>
                </w:p>
              </w:tc>
              <w:tc>
                <w:tcPr>
                  <w:tcW w:w="403" w:type="pct"/>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cs="Times New Roman" w:eastAsiaTheme="majorEastAsia"/>
                      <w:color w:val="000000"/>
                      <w:sz w:val="21"/>
                      <w:szCs w:val="21"/>
                    </w:rPr>
                  </w:pPr>
                  <w:r>
                    <w:rPr>
                      <w:rFonts w:hint="default" w:ascii="Times New Roman" w:hAnsi="Times New Roman" w:cs="Times New Roman" w:eastAsiaTheme="majorEastAsia"/>
                      <w:color w:val="000000"/>
                      <w:sz w:val="21"/>
                      <w:szCs w:val="21"/>
                    </w:rPr>
                    <w:t>0.5</w:t>
                  </w:r>
                </w:p>
              </w:tc>
              <w:tc>
                <w:tcPr>
                  <w:tcW w:w="441" w:type="pct"/>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cs="Times New Roman" w:eastAsiaTheme="majorEastAsia"/>
                      <w:color w:val="000000"/>
                      <w:sz w:val="21"/>
                      <w:szCs w:val="21"/>
                    </w:rPr>
                  </w:pPr>
                  <w:r>
                    <w:rPr>
                      <w:rFonts w:hint="default" w:ascii="Times New Roman" w:hAnsi="Times New Roman" w:cs="Times New Roman" w:eastAsiaTheme="majorEastAsia"/>
                      <w:color w:val="000000"/>
                      <w:sz w:val="21"/>
                      <w:szCs w:val="21"/>
                    </w:rPr>
                    <w:t>30</w:t>
                  </w:r>
                </w:p>
              </w:tc>
              <w:tc>
                <w:tcPr>
                  <w:tcW w:w="446" w:type="pct"/>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cs="Times New Roman" w:eastAsiaTheme="majorEastAsia"/>
                      <w:color w:val="000000"/>
                      <w:sz w:val="21"/>
                      <w:szCs w:val="21"/>
                    </w:rPr>
                  </w:pPr>
                  <w:r>
                    <w:rPr>
                      <w:rFonts w:hint="default" w:ascii="Times New Roman" w:hAnsi="Times New Roman" w:cs="Times New Roman" w:eastAsiaTheme="majorEastAsia"/>
                      <w:color w:val="000000"/>
                      <w:sz w:val="21"/>
                      <w:szCs w:val="21"/>
                    </w:rPr>
                    <w:t>250</w:t>
                  </w:r>
                </w:p>
              </w:tc>
              <w:tc>
                <w:tcPr>
                  <w:tcW w:w="557" w:type="pct"/>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cs="Times New Roman" w:eastAsiaTheme="majorEastAsia"/>
                      <w:color w:val="000000"/>
                      <w:sz w:val="21"/>
                      <w:szCs w:val="21"/>
                    </w:rPr>
                  </w:pPr>
                  <w:r>
                    <w:rPr>
                      <w:rFonts w:hint="default" w:ascii="Times New Roman" w:hAnsi="Times New Roman" w:cs="Times New Roman" w:eastAsiaTheme="majorEastAsia"/>
                      <w:color w:val="000000"/>
                      <w:sz w:val="21"/>
                      <w:szCs w:val="21"/>
                    </w:rPr>
                    <w:t>10</w:t>
                  </w:r>
                </w:p>
              </w:tc>
              <w:tc>
                <w:tcPr>
                  <w:tcW w:w="532" w:type="pct"/>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cs="Times New Roman" w:eastAsiaTheme="majorEastAsia"/>
                      <w:color w:val="000000"/>
                      <w:sz w:val="21"/>
                      <w:szCs w:val="21"/>
                    </w:rPr>
                  </w:pPr>
                  <w:r>
                    <w:rPr>
                      <w:rFonts w:hint="default" w:ascii="Times New Roman" w:hAnsi="Times New Roman" w:cs="Times New Roman" w:eastAsiaTheme="majorEastAsia"/>
                      <w:color w:val="000000"/>
                      <w:sz w:val="21"/>
                      <w:szCs w:val="21"/>
                    </w:rPr>
                    <w:t>1000</w:t>
                  </w:r>
                </w:p>
              </w:tc>
              <w:tc>
                <w:tcPr>
                  <w:tcW w:w="419" w:type="pct"/>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cs="Times New Roman" w:eastAsiaTheme="majorEastAsia"/>
                      <w:color w:val="000000"/>
                      <w:sz w:val="21"/>
                      <w:szCs w:val="21"/>
                    </w:rPr>
                  </w:pPr>
                  <w:r>
                    <w:rPr>
                      <w:rFonts w:hint="default" w:ascii="Times New Roman" w:hAnsi="Times New Roman" w:cs="Times New Roman" w:eastAsiaTheme="majorEastAsia"/>
                      <w:color w:val="000000"/>
                      <w:sz w:val="21"/>
                      <w:szCs w:val="21"/>
                    </w:rPr>
                    <w:t>250</w:t>
                  </w:r>
                </w:p>
              </w:tc>
            </w:tr>
            <w:tr>
              <w:tblPrEx>
                <w:tblBorders>
                  <w:top w:val="single" w:color="auto" w:sz="2" w:space="0"/>
                  <w:left w:val="none" w:color="auto" w:sz="0" w:space="0"/>
                  <w:bottom w:val="sing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43" w:hRule="atLeast"/>
                <w:jc w:val="center"/>
              </w:trPr>
              <w:tc>
                <w:tcPr>
                  <w:tcW w:w="1107" w:type="pct"/>
                  <w:vMerge w:val="continue"/>
                  <w:vAlign w:val="center"/>
                </w:tcPr>
                <w:p>
                  <w:pPr>
                    <w:keepNext w:val="0"/>
                    <w:keepLines w:val="0"/>
                    <w:pageBreakBefore w:val="0"/>
                    <w:widowControl/>
                    <w:kinsoku/>
                    <w:wordWrap/>
                    <w:overflowPunct/>
                    <w:topLinePunct w:val="0"/>
                    <w:autoSpaceDE/>
                    <w:autoSpaceDN/>
                    <w:bidi w:val="0"/>
                    <w:adjustRightInd w:val="0"/>
                    <w:snapToGrid w:val="0"/>
                    <w:spacing w:line="360" w:lineRule="exact"/>
                    <w:jc w:val="center"/>
                    <w:textAlignment w:val="auto"/>
                    <w:rPr>
                      <w:rFonts w:hint="default" w:ascii="Times New Roman" w:hAnsi="Times New Roman" w:cs="Times New Roman" w:eastAsiaTheme="majorEastAsia"/>
                      <w:color w:val="000000"/>
                      <w:sz w:val="21"/>
                      <w:szCs w:val="21"/>
                    </w:rPr>
                  </w:pPr>
                </w:p>
              </w:tc>
              <w:tc>
                <w:tcPr>
                  <w:tcW w:w="595" w:type="pct"/>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cs="Times New Roman" w:eastAsiaTheme="majorEastAsia"/>
                      <w:color w:val="000000"/>
                      <w:sz w:val="21"/>
                      <w:szCs w:val="21"/>
                    </w:rPr>
                  </w:pPr>
                  <w:r>
                    <w:rPr>
                      <w:rFonts w:hint="default" w:ascii="Times New Roman" w:hAnsi="Times New Roman" w:cs="Times New Roman" w:eastAsiaTheme="majorEastAsia"/>
                      <w:color w:val="000000"/>
                      <w:sz w:val="21"/>
                      <w:szCs w:val="21"/>
                    </w:rPr>
                    <w:t>污染指数</w:t>
                  </w:r>
                </w:p>
              </w:tc>
              <w:tc>
                <w:tcPr>
                  <w:tcW w:w="496" w:type="pct"/>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cs="Times New Roman" w:eastAsiaTheme="majorEastAsia"/>
                      <w:color w:val="000000"/>
                      <w:sz w:val="21"/>
                      <w:szCs w:val="21"/>
                      <w:lang w:val="en-US" w:eastAsia="zh-CN"/>
                    </w:rPr>
                  </w:pPr>
                  <w:r>
                    <w:rPr>
                      <w:rFonts w:hint="default" w:ascii="Times New Roman" w:hAnsi="Times New Roman" w:cs="Times New Roman" w:eastAsiaTheme="majorEastAsia"/>
                      <w:color w:val="000000"/>
                      <w:sz w:val="21"/>
                      <w:szCs w:val="21"/>
                    </w:rPr>
                    <w:t>0.</w:t>
                  </w:r>
                  <w:r>
                    <w:rPr>
                      <w:rFonts w:hint="default" w:ascii="Times New Roman" w:hAnsi="Times New Roman" w:cs="Times New Roman" w:eastAsiaTheme="majorEastAsia"/>
                      <w:color w:val="000000"/>
                      <w:sz w:val="21"/>
                      <w:szCs w:val="21"/>
                      <w:lang w:val="en-US" w:eastAsia="zh-CN"/>
                    </w:rPr>
                    <w:t>85</w:t>
                  </w:r>
                </w:p>
              </w:tc>
              <w:tc>
                <w:tcPr>
                  <w:tcW w:w="403" w:type="pct"/>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cs="Times New Roman" w:eastAsiaTheme="majorEastAsia"/>
                      <w:color w:val="000000"/>
                      <w:sz w:val="21"/>
                      <w:szCs w:val="21"/>
                    </w:rPr>
                  </w:pPr>
                  <w:r>
                    <w:rPr>
                      <w:rFonts w:hint="default" w:ascii="Times New Roman" w:hAnsi="Times New Roman" w:cs="Times New Roman" w:eastAsiaTheme="majorEastAsia"/>
                      <w:color w:val="000000"/>
                      <w:sz w:val="21"/>
                      <w:szCs w:val="21"/>
                    </w:rPr>
                    <w:t>0.024</w:t>
                  </w:r>
                </w:p>
              </w:tc>
              <w:tc>
                <w:tcPr>
                  <w:tcW w:w="441" w:type="pct"/>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cs="Times New Roman" w:eastAsiaTheme="majorEastAsia"/>
                      <w:color w:val="000000"/>
                      <w:sz w:val="21"/>
                      <w:szCs w:val="21"/>
                      <w:lang w:val="en-US" w:eastAsia="zh-CN"/>
                    </w:rPr>
                  </w:pPr>
                  <w:r>
                    <w:rPr>
                      <w:rFonts w:hint="default" w:ascii="Times New Roman" w:hAnsi="Times New Roman" w:cs="Times New Roman" w:eastAsiaTheme="majorEastAsia"/>
                      <w:color w:val="000000"/>
                      <w:sz w:val="21"/>
                      <w:szCs w:val="21"/>
                    </w:rPr>
                    <w:t>0.</w:t>
                  </w:r>
                  <w:r>
                    <w:rPr>
                      <w:rFonts w:hint="default" w:ascii="Times New Roman" w:hAnsi="Times New Roman" w:cs="Times New Roman" w:eastAsiaTheme="majorEastAsia"/>
                      <w:color w:val="000000"/>
                      <w:sz w:val="21"/>
                      <w:szCs w:val="21"/>
                      <w:lang w:val="en-US" w:eastAsia="zh-CN"/>
                    </w:rPr>
                    <w:t>256</w:t>
                  </w:r>
                </w:p>
              </w:tc>
              <w:tc>
                <w:tcPr>
                  <w:tcW w:w="446" w:type="pct"/>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cs="Times New Roman" w:eastAsiaTheme="majorEastAsia"/>
                      <w:color w:val="000000"/>
                      <w:sz w:val="21"/>
                      <w:szCs w:val="21"/>
                      <w:lang w:val="en-US" w:eastAsia="zh-CN"/>
                    </w:rPr>
                  </w:pPr>
                  <w:r>
                    <w:rPr>
                      <w:rFonts w:hint="default" w:ascii="Times New Roman" w:hAnsi="Times New Roman" w:cs="Times New Roman" w:eastAsiaTheme="majorEastAsia"/>
                      <w:color w:val="000000"/>
                      <w:sz w:val="21"/>
                      <w:szCs w:val="21"/>
                    </w:rPr>
                    <w:t>0.</w:t>
                  </w:r>
                  <w:r>
                    <w:rPr>
                      <w:rFonts w:hint="default" w:ascii="Times New Roman" w:hAnsi="Times New Roman" w:cs="Times New Roman" w:eastAsiaTheme="majorEastAsia"/>
                      <w:color w:val="000000"/>
                      <w:sz w:val="21"/>
                      <w:szCs w:val="21"/>
                      <w:lang w:val="en-US" w:eastAsia="zh-CN"/>
                    </w:rPr>
                    <w:t>136</w:t>
                  </w:r>
                </w:p>
              </w:tc>
              <w:tc>
                <w:tcPr>
                  <w:tcW w:w="557" w:type="pct"/>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cs="Times New Roman" w:eastAsiaTheme="majorEastAsia"/>
                      <w:color w:val="000000"/>
                      <w:sz w:val="21"/>
                      <w:szCs w:val="21"/>
                      <w:lang w:val="en-US" w:eastAsia="zh-CN"/>
                    </w:rPr>
                  </w:pPr>
                  <w:r>
                    <w:rPr>
                      <w:rFonts w:hint="default" w:ascii="Times New Roman" w:hAnsi="Times New Roman" w:cs="Times New Roman" w:eastAsiaTheme="majorEastAsia"/>
                      <w:color w:val="000000"/>
                      <w:sz w:val="21"/>
                      <w:szCs w:val="21"/>
                    </w:rPr>
                    <w:t>0.</w:t>
                  </w:r>
                  <w:r>
                    <w:rPr>
                      <w:rFonts w:hint="default" w:ascii="Times New Roman" w:hAnsi="Times New Roman" w:cs="Times New Roman" w:eastAsiaTheme="majorEastAsia"/>
                      <w:color w:val="000000"/>
                      <w:sz w:val="21"/>
                      <w:szCs w:val="21"/>
                      <w:lang w:val="en-US" w:eastAsia="zh-CN"/>
                    </w:rPr>
                    <w:t>07</w:t>
                  </w:r>
                </w:p>
              </w:tc>
              <w:tc>
                <w:tcPr>
                  <w:tcW w:w="532" w:type="pct"/>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cs="Times New Roman" w:eastAsiaTheme="majorEastAsia"/>
                      <w:color w:val="000000"/>
                      <w:sz w:val="21"/>
                      <w:szCs w:val="21"/>
                      <w:lang w:val="en-US" w:eastAsia="zh-CN"/>
                    </w:rPr>
                  </w:pPr>
                  <w:r>
                    <w:rPr>
                      <w:rFonts w:hint="default" w:ascii="Times New Roman" w:hAnsi="Times New Roman" w:cs="Times New Roman" w:eastAsiaTheme="majorEastAsia"/>
                      <w:color w:val="000000"/>
                      <w:sz w:val="21"/>
                      <w:szCs w:val="21"/>
                    </w:rPr>
                    <w:t>0.6</w:t>
                  </w:r>
                  <w:r>
                    <w:rPr>
                      <w:rFonts w:hint="default" w:ascii="Times New Roman" w:hAnsi="Times New Roman" w:cs="Times New Roman" w:eastAsiaTheme="majorEastAsia"/>
                      <w:color w:val="000000"/>
                      <w:sz w:val="21"/>
                      <w:szCs w:val="21"/>
                      <w:lang w:val="en-US" w:eastAsia="zh-CN"/>
                    </w:rPr>
                    <w:t>24</w:t>
                  </w:r>
                </w:p>
              </w:tc>
              <w:tc>
                <w:tcPr>
                  <w:tcW w:w="419" w:type="pct"/>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cs="Times New Roman" w:eastAsiaTheme="majorEastAsia"/>
                      <w:color w:val="000000"/>
                      <w:sz w:val="21"/>
                      <w:szCs w:val="21"/>
                      <w:lang w:val="en-US" w:eastAsia="zh-CN"/>
                    </w:rPr>
                  </w:pPr>
                  <w:r>
                    <w:rPr>
                      <w:rFonts w:hint="default" w:ascii="Times New Roman" w:hAnsi="Times New Roman" w:cs="Times New Roman" w:eastAsiaTheme="majorEastAsia"/>
                      <w:color w:val="000000"/>
                      <w:sz w:val="21"/>
                      <w:szCs w:val="21"/>
                    </w:rPr>
                    <w:t>0.</w:t>
                  </w:r>
                  <w:r>
                    <w:rPr>
                      <w:rFonts w:hint="default" w:ascii="Times New Roman" w:hAnsi="Times New Roman" w:cs="Times New Roman" w:eastAsiaTheme="majorEastAsia"/>
                      <w:color w:val="000000"/>
                      <w:sz w:val="21"/>
                      <w:szCs w:val="21"/>
                      <w:lang w:val="en-US" w:eastAsia="zh-CN"/>
                    </w:rPr>
                    <w:t>222</w:t>
                  </w:r>
                </w:p>
              </w:tc>
            </w:tr>
            <w:tr>
              <w:tblPrEx>
                <w:tblBorders>
                  <w:top w:val="single" w:color="auto" w:sz="2" w:space="0"/>
                  <w:left w:val="none" w:color="auto" w:sz="0" w:space="0"/>
                  <w:bottom w:val="single" w:color="auto" w:sz="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07" w:type="pct"/>
                  <w:vMerge w:val="continue"/>
                  <w:vAlign w:val="center"/>
                </w:tcPr>
                <w:p>
                  <w:pPr>
                    <w:keepNext w:val="0"/>
                    <w:keepLines w:val="0"/>
                    <w:pageBreakBefore w:val="0"/>
                    <w:widowControl/>
                    <w:kinsoku/>
                    <w:wordWrap/>
                    <w:overflowPunct/>
                    <w:topLinePunct w:val="0"/>
                    <w:autoSpaceDE/>
                    <w:autoSpaceDN/>
                    <w:bidi w:val="0"/>
                    <w:adjustRightInd w:val="0"/>
                    <w:snapToGrid w:val="0"/>
                    <w:spacing w:line="360" w:lineRule="exact"/>
                    <w:jc w:val="center"/>
                    <w:textAlignment w:val="auto"/>
                    <w:rPr>
                      <w:rFonts w:hint="default" w:ascii="Times New Roman" w:hAnsi="Times New Roman" w:cs="Times New Roman" w:eastAsiaTheme="majorEastAsia"/>
                      <w:color w:val="000000"/>
                      <w:sz w:val="21"/>
                      <w:szCs w:val="21"/>
                    </w:rPr>
                  </w:pPr>
                </w:p>
              </w:tc>
              <w:tc>
                <w:tcPr>
                  <w:tcW w:w="595" w:type="pct"/>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cs="Times New Roman" w:eastAsiaTheme="majorEastAsia"/>
                      <w:sz w:val="21"/>
                      <w:szCs w:val="21"/>
                    </w:rPr>
                  </w:pPr>
                  <w:r>
                    <w:rPr>
                      <w:rFonts w:hint="default" w:ascii="Times New Roman" w:hAnsi="Times New Roman" w:cs="Times New Roman" w:eastAsiaTheme="majorEastAsia"/>
                      <w:sz w:val="21"/>
                      <w:szCs w:val="21"/>
                    </w:rPr>
                    <w:t>评价结果</w:t>
                  </w:r>
                </w:p>
              </w:tc>
              <w:tc>
                <w:tcPr>
                  <w:tcW w:w="496" w:type="pct"/>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cs="Times New Roman" w:eastAsiaTheme="majorEastAsia"/>
                      <w:sz w:val="21"/>
                      <w:szCs w:val="21"/>
                    </w:rPr>
                  </w:pPr>
                  <w:r>
                    <w:rPr>
                      <w:rFonts w:hint="default" w:ascii="Times New Roman" w:hAnsi="Times New Roman" w:cs="Times New Roman" w:eastAsiaTheme="majorEastAsia"/>
                      <w:sz w:val="21"/>
                      <w:szCs w:val="21"/>
                    </w:rPr>
                    <w:t>达标</w:t>
                  </w:r>
                </w:p>
              </w:tc>
              <w:tc>
                <w:tcPr>
                  <w:tcW w:w="403" w:type="pct"/>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cs="Times New Roman" w:eastAsiaTheme="majorEastAsia"/>
                      <w:sz w:val="21"/>
                      <w:szCs w:val="21"/>
                    </w:rPr>
                  </w:pPr>
                  <w:r>
                    <w:rPr>
                      <w:rFonts w:hint="default" w:ascii="Times New Roman" w:hAnsi="Times New Roman" w:cs="Times New Roman" w:eastAsiaTheme="majorEastAsia"/>
                      <w:sz w:val="21"/>
                      <w:szCs w:val="21"/>
                    </w:rPr>
                    <w:t>达标</w:t>
                  </w:r>
                </w:p>
              </w:tc>
              <w:tc>
                <w:tcPr>
                  <w:tcW w:w="441" w:type="pct"/>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cs="Times New Roman" w:eastAsiaTheme="majorEastAsia"/>
                      <w:sz w:val="21"/>
                      <w:szCs w:val="21"/>
                    </w:rPr>
                  </w:pPr>
                  <w:r>
                    <w:rPr>
                      <w:rFonts w:hint="default" w:ascii="Times New Roman" w:hAnsi="Times New Roman" w:cs="Times New Roman" w:eastAsiaTheme="majorEastAsia"/>
                      <w:sz w:val="21"/>
                      <w:szCs w:val="21"/>
                    </w:rPr>
                    <w:t>达标</w:t>
                  </w:r>
                </w:p>
              </w:tc>
              <w:tc>
                <w:tcPr>
                  <w:tcW w:w="446" w:type="pct"/>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cs="Times New Roman" w:eastAsiaTheme="majorEastAsia"/>
                      <w:sz w:val="21"/>
                      <w:szCs w:val="21"/>
                    </w:rPr>
                  </w:pPr>
                  <w:r>
                    <w:rPr>
                      <w:rFonts w:hint="default" w:ascii="Times New Roman" w:hAnsi="Times New Roman" w:cs="Times New Roman" w:eastAsiaTheme="majorEastAsia"/>
                      <w:sz w:val="21"/>
                      <w:szCs w:val="21"/>
                    </w:rPr>
                    <w:t>达标</w:t>
                  </w:r>
                </w:p>
              </w:tc>
              <w:tc>
                <w:tcPr>
                  <w:tcW w:w="557" w:type="pct"/>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cs="Times New Roman" w:eastAsiaTheme="majorEastAsia"/>
                      <w:sz w:val="21"/>
                      <w:szCs w:val="21"/>
                    </w:rPr>
                  </w:pPr>
                  <w:r>
                    <w:rPr>
                      <w:rFonts w:hint="default" w:ascii="Times New Roman" w:hAnsi="Times New Roman" w:cs="Times New Roman" w:eastAsiaTheme="majorEastAsia"/>
                      <w:sz w:val="21"/>
                      <w:szCs w:val="21"/>
                    </w:rPr>
                    <w:t>达标</w:t>
                  </w:r>
                </w:p>
              </w:tc>
              <w:tc>
                <w:tcPr>
                  <w:tcW w:w="532" w:type="pct"/>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cs="Times New Roman" w:eastAsiaTheme="majorEastAsia"/>
                      <w:sz w:val="21"/>
                      <w:szCs w:val="21"/>
                    </w:rPr>
                  </w:pPr>
                  <w:r>
                    <w:rPr>
                      <w:rFonts w:hint="default" w:ascii="Times New Roman" w:hAnsi="Times New Roman" w:cs="Times New Roman" w:eastAsiaTheme="majorEastAsia"/>
                      <w:sz w:val="21"/>
                      <w:szCs w:val="21"/>
                    </w:rPr>
                    <w:t>达标</w:t>
                  </w:r>
                </w:p>
              </w:tc>
              <w:tc>
                <w:tcPr>
                  <w:tcW w:w="419" w:type="pct"/>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cs="Times New Roman" w:eastAsiaTheme="majorEastAsia"/>
                      <w:sz w:val="21"/>
                      <w:szCs w:val="21"/>
                    </w:rPr>
                  </w:pPr>
                  <w:r>
                    <w:rPr>
                      <w:rFonts w:hint="default" w:ascii="Times New Roman" w:hAnsi="Times New Roman" w:cs="Times New Roman" w:eastAsiaTheme="majorEastAsia"/>
                      <w:sz w:val="21"/>
                      <w:szCs w:val="21"/>
                    </w:rPr>
                    <w:t>达标</w:t>
                  </w:r>
                </w:p>
              </w:tc>
            </w:tr>
          </w:tbl>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sz w:val="24"/>
              </w:rPr>
            </w:pPr>
            <w:r>
              <w:rPr>
                <w:rFonts w:hint="default" w:ascii="Times New Roman" w:hAnsi="Times New Roman" w:cs="Times New Roman"/>
                <w:sz w:val="24"/>
              </w:rPr>
              <w:t>由上表可知：平顶山市市区地下水各监测因子年均值均能满足《地下水质量标准》（GB/T14848-</w:t>
            </w:r>
            <w:r>
              <w:rPr>
                <w:rFonts w:hint="eastAsia" w:cs="Times New Roman"/>
                <w:sz w:val="24"/>
                <w:lang w:val="en-US" w:eastAsia="zh-CN"/>
              </w:rPr>
              <w:t>2017</w:t>
            </w:r>
            <w:r>
              <w:rPr>
                <w:rFonts w:hint="default" w:ascii="Times New Roman" w:hAnsi="Times New Roman" w:cs="Times New Roman"/>
                <w:sz w:val="24"/>
              </w:rPr>
              <w:t>）Ⅲ类标准要求，由此可知，该区域水环境较好。</w:t>
            </w:r>
          </w:p>
          <w:p>
            <w:pPr>
              <w:pStyle w:val="13"/>
              <w:spacing w:after="0" w:line="520" w:lineRule="exact"/>
              <w:ind w:left="0" w:leftChars="0" w:firstLine="482" w:firstLineChars="200"/>
              <w:rPr>
                <w:rFonts w:ascii="Times New Roman" w:hAnsi="Times New Roman"/>
                <w:b/>
                <w:sz w:val="24"/>
              </w:rPr>
            </w:pPr>
            <w:r>
              <w:rPr>
                <w:rFonts w:ascii="Times New Roman" w:hAnsi="Times New Roman"/>
                <w:b/>
                <w:sz w:val="24"/>
              </w:rPr>
              <w:t>4、声环境质量现状</w:t>
            </w:r>
          </w:p>
          <w:p>
            <w:pPr>
              <w:keepNext w:val="0"/>
              <w:keepLines w:val="0"/>
              <w:pageBreakBefore w:val="0"/>
              <w:widowControl w:val="0"/>
              <w:kinsoku/>
              <w:wordWrap/>
              <w:overflowPunct/>
              <w:topLinePunct w:val="0"/>
              <w:autoSpaceDE/>
              <w:autoSpaceDN/>
              <w:bidi w:val="0"/>
              <w:adjustRightInd/>
              <w:snapToGrid w:val="0"/>
              <w:spacing w:line="480" w:lineRule="exact"/>
              <w:ind w:firstLine="480" w:firstLineChars="200"/>
              <w:textAlignment w:val="auto"/>
              <w:rPr>
                <w:bCs/>
                <w:sz w:val="24"/>
              </w:rPr>
            </w:pPr>
            <w:r>
              <w:rPr>
                <w:rFonts w:ascii="Times New Roman" w:hAnsi="Times New Roman"/>
                <w:sz w:val="24"/>
              </w:rPr>
              <w:t>本项目厂址位于</w:t>
            </w:r>
            <w:r>
              <w:rPr>
                <w:rFonts w:hint="eastAsia" w:ascii="Times New Roman" w:hAnsi="Times New Roman" w:eastAsia="宋体"/>
                <w:sz w:val="24"/>
                <w:lang w:eastAsia="zh-CN"/>
              </w:rPr>
              <w:t>平顶山市卫东区矿工路59号院</w:t>
            </w:r>
            <w:r>
              <w:rPr>
                <w:rFonts w:hint="eastAsia" w:ascii="Times New Roman" w:hAnsi="Times New Roman"/>
                <w:sz w:val="24"/>
              </w:rPr>
              <w:t>，</w:t>
            </w:r>
            <w:r>
              <w:rPr>
                <w:rFonts w:hint="eastAsia"/>
                <w:color w:val="000000" w:themeColor="text1"/>
                <w:sz w:val="24"/>
                <w:lang w:eastAsia="zh-CN"/>
              </w:rPr>
              <w:t>豫中地质勘查工程公司平顶山第四工程处厂房</w:t>
            </w:r>
            <w:r>
              <w:rPr>
                <w:rFonts w:hint="eastAsia" w:ascii="Times New Roman" w:hAnsi="Times New Roman"/>
                <w:sz w:val="24"/>
              </w:rPr>
              <w:t>内，厂界执行</w:t>
            </w:r>
            <w:r>
              <w:rPr>
                <w:rFonts w:ascii="Times New Roman" w:hAnsi="Times New Roman"/>
                <w:sz w:val="24"/>
              </w:rPr>
              <w:t>《声环境质量标准》（GB3096-2008</w:t>
            </w:r>
            <w:r>
              <w:rPr>
                <w:rFonts w:ascii="Times New Roman" w:hAnsi="Times New Roman"/>
                <w:color w:val="000000" w:themeColor="text1"/>
                <w:sz w:val="24"/>
              </w:rPr>
              <w:t>）修改单</w:t>
            </w:r>
            <w:r>
              <w:rPr>
                <w:rFonts w:hint="eastAsia"/>
                <w:color w:val="000000" w:themeColor="text1"/>
                <w:sz w:val="24"/>
                <w:lang w:eastAsia="zh-CN"/>
              </w:rPr>
              <w:t>（公告2018年第29号）</w:t>
            </w:r>
            <w:r>
              <w:rPr>
                <w:rFonts w:hint="eastAsia" w:ascii="Times New Roman" w:hAnsi="Times New Roman"/>
                <w:color w:val="000000" w:themeColor="text1"/>
                <w:sz w:val="24"/>
              </w:rPr>
              <w:t>中</w:t>
            </w:r>
            <w:r>
              <w:rPr>
                <w:rFonts w:hint="eastAsia"/>
                <w:color w:val="000000" w:themeColor="text1"/>
                <w:sz w:val="24"/>
                <w:lang w:val="en-US" w:eastAsia="zh-CN"/>
              </w:rPr>
              <w:t>2</w:t>
            </w:r>
            <w:r>
              <w:rPr>
                <w:rFonts w:ascii="Times New Roman" w:hAnsi="Times New Roman"/>
                <w:color w:val="000000" w:themeColor="text1"/>
                <w:sz w:val="24"/>
              </w:rPr>
              <w:t>类标准。</w:t>
            </w:r>
            <w:r>
              <w:rPr>
                <w:bCs/>
                <w:sz w:val="24"/>
              </w:rPr>
              <w:t>本次声环境质量现状</w:t>
            </w:r>
            <w:r>
              <w:rPr>
                <w:rFonts w:hint="eastAsia" w:cs="Times New Roman"/>
                <w:bCs/>
                <w:sz w:val="24"/>
                <w:szCs w:val="24"/>
                <w:lang w:eastAsia="zh-CN"/>
              </w:rPr>
              <w:t>采用企业委托漯河市宏安检测评价服务有限公司</w:t>
            </w:r>
            <w:r>
              <w:rPr>
                <w:rFonts w:hint="eastAsia" w:cs="Times New Roman"/>
                <w:bCs/>
                <w:sz w:val="24"/>
                <w:szCs w:val="24"/>
                <w:lang w:val="en-US" w:eastAsia="zh-CN"/>
              </w:rPr>
              <w:t>2020年11月20~21日监测数据</w:t>
            </w:r>
            <w:r>
              <w:rPr>
                <w:bCs/>
                <w:sz w:val="24"/>
              </w:rPr>
              <w:t>，昼夜各1次，监测点位为项目东、南、西、北四边界</w:t>
            </w:r>
            <w:r>
              <w:rPr>
                <w:rFonts w:hint="eastAsia"/>
                <w:bCs/>
                <w:sz w:val="24"/>
                <w:lang w:eastAsia="zh-CN"/>
              </w:rPr>
              <w:t>及东、南、北侧张庄敏感点</w:t>
            </w:r>
            <w:r>
              <w:rPr>
                <w:rFonts w:hint="eastAsia"/>
                <w:sz w:val="24"/>
                <w:lang w:eastAsia="zh-CN"/>
              </w:rPr>
              <w:t>，</w:t>
            </w:r>
            <w:r>
              <w:rPr>
                <w:bCs/>
                <w:sz w:val="24"/>
              </w:rPr>
              <w:t>监测结果见表</w:t>
            </w:r>
            <w:r>
              <w:rPr>
                <w:rFonts w:hint="eastAsia"/>
                <w:bCs/>
                <w:sz w:val="24"/>
                <w:lang w:val="en-US" w:eastAsia="zh-CN"/>
              </w:rPr>
              <w:t>10</w:t>
            </w:r>
            <w:r>
              <w:rPr>
                <w:bCs/>
                <w:sz w:val="24"/>
              </w:rPr>
              <w:t>。</w:t>
            </w:r>
          </w:p>
          <w:p>
            <w:pPr>
              <w:pStyle w:val="7"/>
              <w:spacing w:beforeLines="50"/>
              <w:jc w:val="center"/>
              <w:rPr>
                <w:rFonts w:hint="eastAsia" w:ascii="Times New Roman" w:hAnsi="宋体" w:cs="Times New Roman"/>
                <w:b/>
                <w:bCs w:val="0"/>
                <w:sz w:val="24"/>
                <w:szCs w:val="24"/>
              </w:rPr>
            </w:pPr>
            <w:r>
              <w:rPr>
                <w:rFonts w:hint="eastAsia" w:ascii="Times New Roman" w:hAnsi="宋体" w:cs="Times New Roman"/>
                <w:b/>
                <w:bCs w:val="0"/>
                <w:sz w:val="24"/>
                <w:szCs w:val="24"/>
              </w:rPr>
              <w:t>表</w:t>
            </w:r>
            <w:r>
              <w:rPr>
                <w:rFonts w:hint="eastAsia" w:hAnsi="宋体" w:cs="Times New Roman"/>
                <w:b/>
                <w:bCs w:val="0"/>
                <w:sz w:val="24"/>
                <w:szCs w:val="24"/>
                <w:lang w:val="en-US" w:eastAsia="zh-CN"/>
              </w:rPr>
              <w:t>10</w:t>
            </w:r>
            <w:r>
              <w:rPr>
                <w:rFonts w:hint="eastAsia" w:ascii="Times New Roman" w:hAnsi="宋体" w:cs="Times New Roman"/>
                <w:b/>
                <w:bCs w:val="0"/>
                <w:sz w:val="24"/>
                <w:szCs w:val="24"/>
              </w:rPr>
              <w:t xml:space="preserve">  声环境质量现状监测结果</w:t>
            </w:r>
          </w:p>
          <w:tbl>
            <w:tblPr>
              <w:tblStyle w:val="23"/>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276"/>
              <w:gridCol w:w="2780"/>
              <w:gridCol w:w="1166"/>
              <w:gridCol w:w="1281"/>
              <w:gridCol w:w="1281"/>
              <w:gridCol w:w="128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3" w:hRule="atLeast"/>
                <w:tblHeader/>
                <w:jc w:val="center"/>
              </w:trPr>
              <w:tc>
                <w:tcPr>
                  <w:tcW w:w="70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检测</w:t>
                  </w:r>
                  <w:r>
                    <w:rPr>
                      <w:rFonts w:hint="default" w:ascii="Times New Roman" w:hAnsi="Times New Roman" w:eastAsia="宋体" w:cs="Times New Roman"/>
                      <w:b/>
                      <w:bCs/>
                      <w:color w:val="auto"/>
                      <w:sz w:val="21"/>
                      <w:szCs w:val="21"/>
                      <w:lang w:eastAsia="zh-CN"/>
                    </w:rPr>
                    <w:t>日期</w:t>
                  </w:r>
                </w:p>
              </w:tc>
              <w:tc>
                <w:tcPr>
                  <w:tcW w:w="15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测点位置</w:t>
                  </w:r>
                </w:p>
              </w:tc>
              <w:tc>
                <w:tcPr>
                  <w:tcW w:w="6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b/>
                      <w:bCs/>
                      <w:color w:val="auto"/>
                      <w:sz w:val="21"/>
                      <w:szCs w:val="21"/>
                      <w:lang w:eastAsia="zh-CN"/>
                    </w:rPr>
                    <w:t>样品编号</w:t>
                  </w: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检测时段</w:t>
                  </w: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检测时间</w:t>
                  </w: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Leq[dB(A)]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70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2020.11.</w:t>
                  </w:r>
                  <w:r>
                    <w:rPr>
                      <w:rFonts w:hint="eastAsia" w:ascii="Times New Roman" w:hAnsi="Times New Roman" w:eastAsia="宋体" w:cs="Times New Roman"/>
                      <w:color w:val="auto"/>
                      <w:sz w:val="21"/>
                      <w:szCs w:val="21"/>
                      <w:highlight w:val="none"/>
                      <w:lang w:val="en-US" w:eastAsia="zh-CN"/>
                    </w:rPr>
                    <w:t>20</w:t>
                  </w:r>
                </w:p>
              </w:tc>
              <w:tc>
                <w:tcPr>
                  <w:tcW w:w="15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lang w:val="en-US" w:eastAsia="zh-CN"/>
                    </w:rPr>
                    <w:t>平顶山五环实业有限公司</w:t>
                  </w:r>
                  <w:r>
                    <w:rPr>
                      <w:rFonts w:hint="default" w:ascii="Times New Roman" w:hAnsi="Times New Roman" w:eastAsia="宋体" w:cs="Times New Roman"/>
                      <w:color w:val="auto"/>
                      <w:sz w:val="21"/>
                      <w:szCs w:val="21"/>
                      <w:lang w:val="en-US" w:eastAsia="zh-CN"/>
                    </w:rPr>
                    <w:t>（东）</w:t>
                  </w:r>
                </w:p>
              </w:tc>
              <w:tc>
                <w:tcPr>
                  <w:tcW w:w="6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ZS001</w:t>
                  </w:r>
                </w:p>
              </w:tc>
              <w:tc>
                <w:tcPr>
                  <w:tcW w:w="706"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昼间</w:t>
                  </w: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09</w:t>
                  </w:r>
                  <w:r>
                    <w:rPr>
                      <w:rFonts w:hint="default" w:ascii="Times New Roman" w:hAnsi="Times New Roman" w:eastAsia="宋体" w:cs="Times New Roman"/>
                      <w:color w:val="auto"/>
                      <w:sz w:val="21"/>
                      <w:szCs w:val="21"/>
                      <w:lang w:val="en-US" w:eastAsia="zh-CN" w:bidi="ar-SA"/>
                    </w:rPr>
                    <w:t>:0</w:t>
                  </w:r>
                  <w:r>
                    <w:rPr>
                      <w:rFonts w:hint="eastAsia" w:ascii="Times New Roman" w:hAnsi="Times New Roman" w:eastAsia="宋体" w:cs="Times New Roman"/>
                      <w:color w:val="auto"/>
                      <w:sz w:val="21"/>
                      <w:szCs w:val="21"/>
                      <w:lang w:val="en-US" w:eastAsia="zh-CN" w:bidi="ar-SA"/>
                    </w:rPr>
                    <w:t>8</w:t>
                  </w: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54.3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70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val="0"/>
                      <w:bCs w:val="0"/>
                      <w:color w:val="auto"/>
                      <w:sz w:val="21"/>
                      <w:szCs w:val="21"/>
                      <w:lang w:val="en-US" w:eastAsia="zh-CN"/>
                    </w:rPr>
                  </w:pPr>
                </w:p>
              </w:tc>
              <w:tc>
                <w:tcPr>
                  <w:tcW w:w="15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平顶山五环实业有限公司</w:t>
                  </w:r>
                  <w:r>
                    <w:rPr>
                      <w:rFonts w:hint="default" w:ascii="Times New Roman" w:hAnsi="Times New Roman" w:eastAsia="宋体" w:cs="Times New Roman"/>
                      <w:color w:val="auto"/>
                      <w:sz w:val="21"/>
                      <w:szCs w:val="21"/>
                      <w:lang w:val="en-US" w:eastAsia="zh-CN"/>
                    </w:rPr>
                    <w:t>（南）</w:t>
                  </w:r>
                </w:p>
              </w:tc>
              <w:tc>
                <w:tcPr>
                  <w:tcW w:w="6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ZS002</w:t>
                  </w:r>
                </w:p>
              </w:tc>
              <w:tc>
                <w:tcPr>
                  <w:tcW w:w="70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09</w:t>
                  </w:r>
                  <w:r>
                    <w:rPr>
                      <w:rFonts w:hint="default" w:ascii="Times New Roman" w:hAnsi="Times New Roman" w:eastAsia="宋体" w:cs="Times New Roman"/>
                      <w:color w:val="auto"/>
                      <w:sz w:val="21"/>
                      <w:szCs w:val="21"/>
                      <w:lang w:val="en-US" w:eastAsia="zh-CN" w:bidi="ar-SA"/>
                    </w:rPr>
                    <w:t>:</w:t>
                  </w:r>
                  <w:r>
                    <w:rPr>
                      <w:rFonts w:hint="eastAsia" w:ascii="Times New Roman" w:hAnsi="Times New Roman" w:eastAsia="宋体" w:cs="Times New Roman"/>
                      <w:color w:val="auto"/>
                      <w:sz w:val="21"/>
                      <w:szCs w:val="21"/>
                      <w:lang w:val="en-US" w:eastAsia="zh-CN" w:bidi="ar-SA"/>
                    </w:rPr>
                    <w:t>15</w:t>
                  </w: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52.7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70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val="0"/>
                      <w:bCs w:val="0"/>
                      <w:color w:val="auto"/>
                      <w:sz w:val="21"/>
                      <w:szCs w:val="21"/>
                      <w:lang w:val="en-US" w:eastAsia="zh-CN" w:bidi="ar-SA"/>
                    </w:rPr>
                  </w:pPr>
                </w:p>
              </w:tc>
              <w:tc>
                <w:tcPr>
                  <w:tcW w:w="15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lang w:val="en-US" w:eastAsia="zh-CN"/>
                    </w:rPr>
                    <w:t>平顶山五环实业有限公司</w:t>
                  </w:r>
                  <w:r>
                    <w:rPr>
                      <w:rFonts w:hint="default" w:ascii="Times New Roman" w:hAnsi="Times New Roman" w:eastAsia="宋体" w:cs="Times New Roman"/>
                      <w:color w:val="auto"/>
                      <w:sz w:val="21"/>
                      <w:szCs w:val="21"/>
                      <w:lang w:val="en-US" w:eastAsia="zh-CN"/>
                    </w:rPr>
                    <w:t>（西）</w:t>
                  </w:r>
                </w:p>
              </w:tc>
              <w:tc>
                <w:tcPr>
                  <w:tcW w:w="6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ZS003</w:t>
                  </w:r>
                </w:p>
              </w:tc>
              <w:tc>
                <w:tcPr>
                  <w:tcW w:w="70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09</w:t>
                  </w:r>
                  <w:r>
                    <w:rPr>
                      <w:rFonts w:hint="default" w:ascii="Times New Roman" w:hAnsi="Times New Roman" w:eastAsia="宋体" w:cs="Times New Roman"/>
                      <w:color w:val="auto"/>
                      <w:sz w:val="21"/>
                      <w:szCs w:val="21"/>
                      <w:lang w:val="en-US" w:eastAsia="zh-CN" w:bidi="ar-SA"/>
                    </w:rPr>
                    <w:t>:</w:t>
                  </w:r>
                  <w:r>
                    <w:rPr>
                      <w:rFonts w:hint="eastAsia" w:ascii="Times New Roman" w:hAnsi="Times New Roman" w:eastAsia="宋体" w:cs="Times New Roman"/>
                      <w:color w:val="auto"/>
                      <w:sz w:val="21"/>
                      <w:szCs w:val="21"/>
                      <w:lang w:val="en-US" w:eastAsia="zh-CN" w:bidi="ar-SA"/>
                    </w:rPr>
                    <w:t>22</w:t>
                  </w: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52.8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70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val="0"/>
                      <w:bCs w:val="0"/>
                      <w:color w:val="auto"/>
                      <w:sz w:val="21"/>
                      <w:szCs w:val="21"/>
                      <w:lang w:val="en-US" w:eastAsia="zh-CN" w:bidi="ar-SA"/>
                    </w:rPr>
                  </w:pPr>
                </w:p>
              </w:tc>
              <w:tc>
                <w:tcPr>
                  <w:tcW w:w="15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平顶山五环实业有限公司</w:t>
                  </w:r>
                  <w:r>
                    <w:rPr>
                      <w:rFonts w:hint="default" w:ascii="Times New Roman" w:hAnsi="Times New Roman" w:eastAsia="宋体" w:cs="Times New Roman"/>
                      <w:color w:val="auto"/>
                      <w:sz w:val="21"/>
                      <w:szCs w:val="21"/>
                      <w:lang w:val="en-US" w:eastAsia="zh-CN"/>
                    </w:rPr>
                    <w:t>（北）</w:t>
                  </w:r>
                </w:p>
              </w:tc>
              <w:tc>
                <w:tcPr>
                  <w:tcW w:w="6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ZS004</w:t>
                  </w:r>
                </w:p>
              </w:tc>
              <w:tc>
                <w:tcPr>
                  <w:tcW w:w="70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09</w:t>
                  </w:r>
                  <w:r>
                    <w:rPr>
                      <w:rFonts w:hint="default" w:ascii="Times New Roman" w:hAnsi="Times New Roman" w:eastAsia="宋体" w:cs="Times New Roman"/>
                      <w:color w:val="auto"/>
                      <w:sz w:val="21"/>
                      <w:szCs w:val="21"/>
                      <w:lang w:val="en-US" w:eastAsia="zh-CN" w:bidi="ar-SA"/>
                    </w:rPr>
                    <w:t>:</w:t>
                  </w:r>
                  <w:r>
                    <w:rPr>
                      <w:rFonts w:hint="eastAsia" w:ascii="Times New Roman" w:hAnsi="Times New Roman" w:eastAsia="宋体" w:cs="Times New Roman"/>
                      <w:color w:val="auto"/>
                      <w:sz w:val="21"/>
                      <w:szCs w:val="21"/>
                      <w:lang w:val="en-US" w:eastAsia="zh-CN" w:bidi="ar-SA"/>
                    </w:rPr>
                    <w:t>29</w:t>
                  </w: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54.8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70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val="0"/>
                      <w:bCs w:val="0"/>
                      <w:color w:val="auto"/>
                      <w:sz w:val="21"/>
                      <w:szCs w:val="21"/>
                      <w:lang w:val="en-US" w:eastAsia="zh-CN" w:bidi="ar-SA"/>
                    </w:rPr>
                  </w:pPr>
                </w:p>
              </w:tc>
              <w:tc>
                <w:tcPr>
                  <w:tcW w:w="15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张庄东</w:t>
                  </w:r>
                </w:p>
              </w:tc>
              <w:tc>
                <w:tcPr>
                  <w:tcW w:w="6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ZS005</w:t>
                  </w:r>
                </w:p>
              </w:tc>
              <w:tc>
                <w:tcPr>
                  <w:tcW w:w="70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09</w:t>
                  </w:r>
                  <w:r>
                    <w:rPr>
                      <w:rFonts w:hint="default" w:ascii="Times New Roman" w:hAnsi="Times New Roman" w:eastAsia="宋体" w:cs="Times New Roman"/>
                      <w:color w:val="auto"/>
                      <w:sz w:val="21"/>
                      <w:szCs w:val="21"/>
                      <w:lang w:val="en-US" w:eastAsia="zh-CN" w:bidi="ar-SA"/>
                    </w:rPr>
                    <w:t>:</w:t>
                  </w:r>
                  <w:r>
                    <w:rPr>
                      <w:rFonts w:hint="eastAsia" w:ascii="Times New Roman" w:hAnsi="Times New Roman" w:eastAsia="宋体" w:cs="Times New Roman"/>
                      <w:color w:val="auto"/>
                      <w:sz w:val="21"/>
                      <w:szCs w:val="21"/>
                      <w:lang w:val="en-US" w:eastAsia="zh-CN" w:bidi="ar-SA"/>
                    </w:rPr>
                    <w:t>38</w:t>
                  </w: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53.4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70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val="0"/>
                      <w:bCs w:val="0"/>
                      <w:color w:val="auto"/>
                      <w:sz w:val="21"/>
                      <w:szCs w:val="21"/>
                      <w:lang w:val="en-US" w:eastAsia="zh-CN" w:bidi="ar-SA"/>
                    </w:rPr>
                  </w:pPr>
                </w:p>
              </w:tc>
              <w:tc>
                <w:tcPr>
                  <w:tcW w:w="15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张庄南</w:t>
                  </w:r>
                </w:p>
              </w:tc>
              <w:tc>
                <w:tcPr>
                  <w:tcW w:w="6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ZS006</w:t>
                  </w:r>
                </w:p>
              </w:tc>
              <w:tc>
                <w:tcPr>
                  <w:tcW w:w="70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09</w:t>
                  </w:r>
                  <w:r>
                    <w:rPr>
                      <w:rFonts w:hint="default" w:ascii="Times New Roman" w:hAnsi="Times New Roman" w:eastAsia="宋体" w:cs="Times New Roman"/>
                      <w:color w:val="auto"/>
                      <w:sz w:val="21"/>
                      <w:szCs w:val="21"/>
                      <w:lang w:val="en-US" w:eastAsia="zh-CN" w:bidi="ar-SA"/>
                    </w:rPr>
                    <w:t>:</w:t>
                  </w:r>
                  <w:r>
                    <w:rPr>
                      <w:rFonts w:hint="eastAsia" w:ascii="Times New Roman" w:hAnsi="Times New Roman" w:eastAsia="宋体" w:cs="Times New Roman"/>
                      <w:color w:val="auto"/>
                      <w:sz w:val="21"/>
                      <w:szCs w:val="21"/>
                      <w:lang w:val="en-US" w:eastAsia="zh-CN" w:bidi="ar-SA"/>
                    </w:rPr>
                    <w:t>49</w:t>
                  </w: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54.0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70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val="0"/>
                      <w:bCs w:val="0"/>
                      <w:color w:val="auto"/>
                      <w:sz w:val="21"/>
                      <w:szCs w:val="21"/>
                      <w:lang w:val="en-US" w:eastAsia="zh-CN" w:bidi="ar-SA"/>
                    </w:rPr>
                  </w:pPr>
                </w:p>
              </w:tc>
              <w:tc>
                <w:tcPr>
                  <w:tcW w:w="15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张庄北</w:t>
                  </w:r>
                </w:p>
              </w:tc>
              <w:tc>
                <w:tcPr>
                  <w:tcW w:w="6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ZS007</w:t>
                  </w:r>
                </w:p>
              </w:tc>
              <w:tc>
                <w:tcPr>
                  <w:tcW w:w="70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09</w:t>
                  </w:r>
                  <w:r>
                    <w:rPr>
                      <w:rFonts w:hint="default" w:ascii="Times New Roman" w:hAnsi="Times New Roman" w:eastAsia="宋体" w:cs="Times New Roman"/>
                      <w:color w:val="auto"/>
                      <w:sz w:val="21"/>
                      <w:szCs w:val="21"/>
                      <w:lang w:val="en-US" w:eastAsia="zh-CN" w:bidi="ar-SA"/>
                    </w:rPr>
                    <w:t>:</w:t>
                  </w:r>
                  <w:r>
                    <w:rPr>
                      <w:rFonts w:hint="eastAsia" w:ascii="Times New Roman" w:hAnsi="Times New Roman" w:eastAsia="宋体" w:cs="Times New Roman"/>
                      <w:color w:val="auto"/>
                      <w:sz w:val="21"/>
                      <w:szCs w:val="21"/>
                      <w:lang w:val="en-US" w:eastAsia="zh-CN" w:bidi="ar-SA"/>
                    </w:rPr>
                    <w:t>57</w:t>
                  </w: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52.4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70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2020.11.</w:t>
                  </w:r>
                  <w:r>
                    <w:rPr>
                      <w:rFonts w:hint="eastAsia" w:ascii="Times New Roman" w:hAnsi="Times New Roman" w:eastAsia="宋体" w:cs="Times New Roman"/>
                      <w:color w:val="auto"/>
                      <w:sz w:val="21"/>
                      <w:szCs w:val="21"/>
                      <w:highlight w:val="none"/>
                      <w:lang w:val="en-US" w:eastAsia="zh-CN"/>
                    </w:rPr>
                    <w:t>20</w:t>
                  </w:r>
                </w:p>
              </w:tc>
              <w:tc>
                <w:tcPr>
                  <w:tcW w:w="15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平顶山五环实业有限公司</w:t>
                  </w:r>
                  <w:r>
                    <w:rPr>
                      <w:rFonts w:hint="default" w:ascii="Times New Roman" w:hAnsi="Times New Roman" w:eastAsia="宋体" w:cs="Times New Roman"/>
                      <w:color w:val="auto"/>
                      <w:sz w:val="21"/>
                      <w:szCs w:val="21"/>
                      <w:lang w:val="en-US" w:eastAsia="zh-CN"/>
                    </w:rPr>
                    <w:t>（东）</w:t>
                  </w:r>
                </w:p>
              </w:tc>
              <w:tc>
                <w:tcPr>
                  <w:tcW w:w="6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ZS008</w:t>
                  </w:r>
                </w:p>
              </w:tc>
              <w:tc>
                <w:tcPr>
                  <w:tcW w:w="706"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rPr>
                    <w:t>夜间</w:t>
                  </w: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22:</w:t>
                  </w:r>
                  <w:r>
                    <w:rPr>
                      <w:rFonts w:hint="eastAsia" w:ascii="Times New Roman" w:hAnsi="Times New Roman" w:eastAsia="宋体" w:cs="Times New Roman"/>
                      <w:color w:val="auto"/>
                      <w:sz w:val="21"/>
                      <w:szCs w:val="21"/>
                      <w:lang w:val="en-US" w:eastAsia="zh-CN" w:bidi="ar-SA"/>
                    </w:rPr>
                    <w:t>03</w:t>
                  </w: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43.3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70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rPr>
                  </w:pPr>
                </w:p>
              </w:tc>
              <w:tc>
                <w:tcPr>
                  <w:tcW w:w="15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lang w:val="en-US" w:eastAsia="zh-CN"/>
                    </w:rPr>
                    <w:t>平顶山五环实业有限公司</w:t>
                  </w:r>
                  <w:r>
                    <w:rPr>
                      <w:rFonts w:hint="default" w:ascii="Times New Roman" w:hAnsi="Times New Roman" w:eastAsia="宋体" w:cs="Times New Roman"/>
                      <w:color w:val="auto"/>
                      <w:sz w:val="21"/>
                      <w:szCs w:val="21"/>
                      <w:lang w:val="en-US" w:eastAsia="zh-CN"/>
                    </w:rPr>
                    <w:t>（南）</w:t>
                  </w:r>
                </w:p>
              </w:tc>
              <w:tc>
                <w:tcPr>
                  <w:tcW w:w="6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ZS009</w:t>
                  </w:r>
                </w:p>
              </w:tc>
              <w:tc>
                <w:tcPr>
                  <w:tcW w:w="70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22:</w:t>
                  </w:r>
                  <w:r>
                    <w:rPr>
                      <w:rFonts w:hint="eastAsia" w:ascii="Times New Roman" w:hAnsi="Times New Roman" w:eastAsia="宋体" w:cs="Times New Roman"/>
                      <w:color w:val="auto"/>
                      <w:sz w:val="21"/>
                      <w:szCs w:val="21"/>
                      <w:lang w:val="en-US" w:eastAsia="zh-CN" w:bidi="ar-SA"/>
                    </w:rPr>
                    <w:t>10</w:t>
                  </w: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42.2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70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p>
              </w:tc>
              <w:tc>
                <w:tcPr>
                  <w:tcW w:w="15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lang w:val="en-US" w:eastAsia="zh-CN"/>
                    </w:rPr>
                    <w:t>平顶山五环实业有限公司</w:t>
                  </w:r>
                  <w:r>
                    <w:rPr>
                      <w:rFonts w:hint="default" w:ascii="Times New Roman" w:hAnsi="Times New Roman" w:eastAsia="宋体" w:cs="Times New Roman"/>
                      <w:color w:val="auto"/>
                      <w:sz w:val="21"/>
                      <w:szCs w:val="21"/>
                      <w:lang w:val="en-US" w:eastAsia="zh-CN"/>
                    </w:rPr>
                    <w:t>（西）</w:t>
                  </w:r>
                </w:p>
              </w:tc>
              <w:tc>
                <w:tcPr>
                  <w:tcW w:w="6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ZS010</w:t>
                  </w:r>
                </w:p>
              </w:tc>
              <w:tc>
                <w:tcPr>
                  <w:tcW w:w="70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rPr>
                  </w:pP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22:</w:t>
                  </w:r>
                  <w:r>
                    <w:rPr>
                      <w:rFonts w:hint="eastAsia" w:ascii="Times New Roman" w:hAnsi="Times New Roman" w:eastAsia="宋体" w:cs="Times New Roman"/>
                      <w:color w:val="auto"/>
                      <w:sz w:val="21"/>
                      <w:szCs w:val="21"/>
                      <w:lang w:val="en-US" w:eastAsia="zh-CN" w:bidi="ar-SA"/>
                    </w:rPr>
                    <w:t>16</w:t>
                  </w: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43.4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70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p>
              </w:tc>
              <w:tc>
                <w:tcPr>
                  <w:tcW w:w="15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lang w:val="en-US" w:eastAsia="zh-CN"/>
                    </w:rPr>
                    <w:t>平顶山五环实业有限公司</w:t>
                  </w:r>
                  <w:r>
                    <w:rPr>
                      <w:rFonts w:hint="default" w:ascii="Times New Roman" w:hAnsi="Times New Roman" w:eastAsia="宋体" w:cs="Times New Roman"/>
                      <w:color w:val="auto"/>
                      <w:sz w:val="21"/>
                      <w:szCs w:val="21"/>
                      <w:lang w:val="en-US" w:eastAsia="zh-CN"/>
                    </w:rPr>
                    <w:t>（北）</w:t>
                  </w:r>
                </w:p>
              </w:tc>
              <w:tc>
                <w:tcPr>
                  <w:tcW w:w="6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ZS011</w:t>
                  </w:r>
                </w:p>
              </w:tc>
              <w:tc>
                <w:tcPr>
                  <w:tcW w:w="70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rPr>
                  </w:pP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22:</w:t>
                  </w:r>
                  <w:r>
                    <w:rPr>
                      <w:rFonts w:hint="eastAsia" w:ascii="Times New Roman" w:hAnsi="Times New Roman" w:eastAsia="宋体" w:cs="Times New Roman"/>
                      <w:color w:val="auto"/>
                      <w:sz w:val="21"/>
                      <w:szCs w:val="21"/>
                      <w:lang w:val="en-US" w:eastAsia="zh-CN" w:bidi="ar-SA"/>
                    </w:rPr>
                    <w:t>22</w:t>
                  </w: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43.1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70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p>
              </w:tc>
              <w:tc>
                <w:tcPr>
                  <w:tcW w:w="15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张庄东</w:t>
                  </w:r>
                </w:p>
              </w:tc>
              <w:tc>
                <w:tcPr>
                  <w:tcW w:w="6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ZS012</w:t>
                  </w:r>
                </w:p>
              </w:tc>
              <w:tc>
                <w:tcPr>
                  <w:tcW w:w="70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rPr>
                  </w:pP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22:</w:t>
                  </w:r>
                  <w:r>
                    <w:rPr>
                      <w:rFonts w:hint="eastAsia" w:ascii="Times New Roman" w:hAnsi="Times New Roman" w:eastAsia="宋体" w:cs="Times New Roman"/>
                      <w:color w:val="auto"/>
                      <w:sz w:val="21"/>
                      <w:szCs w:val="21"/>
                      <w:lang w:val="en-US" w:eastAsia="zh-CN" w:bidi="ar-SA"/>
                    </w:rPr>
                    <w:t>33</w:t>
                  </w: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41.9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70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p>
              </w:tc>
              <w:tc>
                <w:tcPr>
                  <w:tcW w:w="15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张庄南</w:t>
                  </w:r>
                </w:p>
              </w:tc>
              <w:tc>
                <w:tcPr>
                  <w:tcW w:w="6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ZS013</w:t>
                  </w:r>
                </w:p>
              </w:tc>
              <w:tc>
                <w:tcPr>
                  <w:tcW w:w="70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rPr>
                  </w:pP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22:</w:t>
                  </w:r>
                  <w:r>
                    <w:rPr>
                      <w:rFonts w:hint="eastAsia" w:ascii="Times New Roman" w:hAnsi="Times New Roman" w:eastAsia="宋体" w:cs="Times New Roman"/>
                      <w:color w:val="auto"/>
                      <w:sz w:val="21"/>
                      <w:szCs w:val="21"/>
                      <w:lang w:val="en-US" w:eastAsia="zh-CN" w:bidi="ar-SA"/>
                    </w:rPr>
                    <w:t>44</w:t>
                  </w: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42.8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70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p>
              </w:tc>
              <w:tc>
                <w:tcPr>
                  <w:tcW w:w="15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张庄北</w:t>
                  </w:r>
                </w:p>
              </w:tc>
              <w:tc>
                <w:tcPr>
                  <w:tcW w:w="6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ZS014</w:t>
                  </w:r>
                </w:p>
              </w:tc>
              <w:tc>
                <w:tcPr>
                  <w:tcW w:w="70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rPr>
                  </w:pP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22:</w:t>
                  </w:r>
                  <w:r>
                    <w:rPr>
                      <w:rFonts w:hint="eastAsia" w:ascii="Times New Roman" w:hAnsi="Times New Roman" w:eastAsia="宋体" w:cs="Times New Roman"/>
                      <w:color w:val="auto"/>
                      <w:sz w:val="21"/>
                      <w:szCs w:val="21"/>
                      <w:lang w:val="en-US" w:eastAsia="zh-CN" w:bidi="ar-SA"/>
                    </w:rPr>
                    <w:t>54</w:t>
                  </w: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43.1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70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2020.11.</w:t>
                  </w:r>
                  <w:r>
                    <w:rPr>
                      <w:rFonts w:hint="eastAsia" w:ascii="Times New Roman" w:hAnsi="Times New Roman" w:eastAsia="宋体" w:cs="Times New Roman"/>
                      <w:color w:val="auto"/>
                      <w:sz w:val="21"/>
                      <w:szCs w:val="21"/>
                      <w:highlight w:val="none"/>
                      <w:lang w:val="en-US" w:eastAsia="zh-CN"/>
                    </w:rPr>
                    <w:t>21</w:t>
                  </w:r>
                </w:p>
              </w:tc>
              <w:tc>
                <w:tcPr>
                  <w:tcW w:w="15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rPr>
                    <w:t>平顶山五环实业有限公司</w:t>
                  </w:r>
                  <w:r>
                    <w:rPr>
                      <w:rFonts w:hint="default" w:ascii="Times New Roman" w:hAnsi="Times New Roman" w:eastAsia="宋体" w:cs="Times New Roman"/>
                      <w:color w:val="auto"/>
                      <w:sz w:val="21"/>
                      <w:szCs w:val="21"/>
                      <w:lang w:val="en-US" w:eastAsia="zh-CN"/>
                    </w:rPr>
                    <w:t>（东）</w:t>
                  </w:r>
                </w:p>
              </w:tc>
              <w:tc>
                <w:tcPr>
                  <w:tcW w:w="6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ZS015</w:t>
                  </w:r>
                </w:p>
              </w:tc>
              <w:tc>
                <w:tcPr>
                  <w:tcW w:w="706"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昼间</w:t>
                  </w: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09</w:t>
                  </w:r>
                  <w:r>
                    <w:rPr>
                      <w:rFonts w:hint="default" w:ascii="Times New Roman" w:hAnsi="Times New Roman" w:eastAsia="宋体" w:cs="Times New Roman"/>
                      <w:color w:val="auto"/>
                      <w:sz w:val="21"/>
                      <w:szCs w:val="21"/>
                      <w:lang w:val="en-US" w:eastAsia="zh-CN" w:bidi="ar-SA"/>
                    </w:rPr>
                    <w:t>:02</w:t>
                  </w: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55.3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70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p>
              </w:tc>
              <w:tc>
                <w:tcPr>
                  <w:tcW w:w="15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lang w:val="en-US" w:eastAsia="zh-CN"/>
                    </w:rPr>
                    <w:t>平顶山五环实业有限公司</w:t>
                  </w:r>
                  <w:r>
                    <w:rPr>
                      <w:rFonts w:hint="default" w:ascii="Times New Roman" w:hAnsi="Times New Roman" w:eastAsia="宋体" w:cs="Times New Roman"/>
                      <w:color w:val="auto"/>
                      <w:sz w:val="21"/>
                      <w:szCs w:val="21"/>
                      <w:lang w:val="en-US" w:eastAsia="zh-CN"/>
                    </w:rPr>
                    <w:t>（南）</w:t>
                  </w:r>
                </w:p>
              </w:tc>
              <w:tc>
                <w:tcPr>
                  <w:tcW w:w="6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ZS016</w:t>
                  </w:r>
                </w:p>
              </w:tc>
              <w:tc>
                <w:tcPr>
                  <w:tcW w:w="70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rPr>
                  </w:pP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09</w:t>
                  </w:r>
                  <w:r>
                    <w:rPr>
                      <w:rFonts w:hint="default" w:ascii="Times New Roman" w:hAnsi="Times New Roman" w:eastAsia="宋体" w:cs="Times New Roman"/>
                      <w:color w:val="auto"/>
                      <w:sz w:val="21"/>
                      <w:szCs w:val="21"/>
                      <w:lang w:val="en-US" w:eastAsia="zh-CN" w:bidi="ar-SA"/>
                    </w:rPr>
                    <w:t>:0</w:t>
                  </w:r>
                  <w:r>
                    <w:rPr>
                      <w:rFonts w:hint="eastAsia" w:ascii="Times New Roman" w:hAnsi="Times New Roman" w:eastAsia="宋体" w:cs="Times New Roman"/>
                      <w:color w:val="auto"/>
                      <w:sz w:val="21"/>
                      <w:szCs w:val="21"/>
                      <w:lang w:val="en-US" w:eastAsia="zh-CN" w:bidi="ar-SA"/>
                    </w:rPr>
                    <w:t>9</w:t>
                  </w: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52.5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70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p>
              </w:tc>
              <w:tc>
                <w:tcPr>
                  <w:tcW w:w="15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lang w:val="en-US" w:eastAsia="zh-CN"/>
                    </w:rPr>
                    <w:t>平顶山五环实业有限公司</w:t>
                  </w:r>
                  <w:r>
                    <w:rPr>
                      <w:rFonts w:hint="default" w:ascii="Times New Roman" w:hAnsi="Times New Roman" w:eastAsia="宋体" w:cs="Times New Roman"/>
                      <w:color w:val="auto"/>
                      <w:sz w:val="21"/>
                      <w:szCs w:val="21"/>
                      <w:lang w:val="en-US" w:eastAsia="zh-CN"/>
                    </w:rPr>
                    <w:t>（西）</w:t>
                  </w:r>
                </w:p>
              </w:tc>
              <w:tc>
                <w:tcPr>
                  <w:tcW w:w="6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ZS017</w:t>
                  </w:r>
                </w:p>
              </w:tc>
              <w:tc>
                <w:tcPr>
                  <w:tcW w:w="70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rPr>
                  </w:pP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09</w:t>
                  </w:r>
                  <w:r>
                    <w:rPr>
                      <w:rFonts w:hint="default" w:ascii="Times New Roman" w:hAnsi="Times New Roman" w:eastAsia="宋体" w:cs="Times New Roman"/>
                      <w:color w:val="auto"/>
                      <w:sz w:val="21"/>
                      <w:szCs w:val="21"/>
                      <w:lang w:val="en-US" w:eastAsia="zh-CN" w:bidi="ar-SA"/>
                    </w:rPr>
                    <w:t>:</w:t>
                  </w:r>
                  <w:r>
                    <w:rPr>
                      <w:rFonts w:hint="eastAsia" w:ascii="Times New Roman" w:hAnsi="Times New Roman" w:eastAsia="宋体" w:cs="Times New Roman"/>
                      <w:color w:val="auto"/>
                      <w:sz w:val="21"/>
                      <w:szCs w:val="21"/>
                      <w:lang w:val="en-US" w:eastAsia="zh-CN" w:bidi="ar-SA"/>
                    </w:rPr>
                    <w:t>16</w:t>
                  </w: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52.9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70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p>
              </w:tc>
              <w:tc>
                <w:tcPr>
                  <w:tcW w:w="15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lang w:val="en-US" w:eastAsia="zh-CN"/>
                    </w:rPr>
                    <w:t>平顶山五环实业有限公司</w:t>
                  </w:r>
                  <w:r>
                    <w:rPr>
                      <w:rFonts w:hint="default" w:ascii="Times New Roman" w:hAnsi="Times New Roman" w:eastAsia="宋体" w:cs="Times New Roman"/>
                      <w:color w:val="auto"/>
                      <w:sz w:val="21"/>
                      <w:szCs w:val="21"/>
                      <w:lang w:val="en-US" w:eastAsia="zh-CN"/>
                    </w:rPr>
                    <w:t>（北）</w:t>
                  </w:r>
                </w:p>
              </w:tc>
              <w:tc>
                <w:tcPr>
                  <w:tcW w:w="6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ZS018</w:t>
                  </w:r>
                </w:p>
              </w:tc>
              <w:tc>
                <w:tcPr>
                  <w:tcW w:w="70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rPr>
                  </w:pP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09</w:t>
                  </w:r>
                  <w:r>
                    <w:rPr>
                      <w:rFonts w:hint="default" w:ascii="Times New Roman" w:hAnsi="Times New Roman" w:eastAsia="宋体" w:cs="Times New Roman"/>
                      <w:color w:val="auto"/>
                      <w:sz w:val="21"/>
                      <w:szCs w:val="21"/>
                      <w:lang w:val="en-US" w:eastAsia="zh-CN" w:bidi="ar-SA"/>
                    </w:rPr>
                    <w:t>:</w:t>
                  </w:r>
                  <w:r>
                    <w:rPr>
                      <w:rFonts w:hint="eastAsia" w:ascii="Times New Roman" w:hAnsi="Times New Roman" w:eastAsia="宋体" w:cs="Times New Roman"/>
                      <w:color w:val="auto"/>
                      <w:sz w:val="21"/>
                      <w:szCs w:val="21"/>
                      <w:lang w:val="en-US" w:eastAsia="zh-CN" w:bidi="ar-SA"/>
                    </w:rPr>
                    <w:t>23</w:t>
                  </w: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52.7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70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p>
              </w:tc>
              <w:tc>
                <w:tcPr>
                  <w:tcW w:w="15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张庄东</w:t>
                  </w:r>
                </w:p>
              </w:tc>
              <w:tc>
                <w:tcPr>
                  <w:tcW w:w="6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ZS019</w:t>
                  </w:r>
                </w:p>
              </w:tc>
              <w:tc>
                <w:tcPr>
                  <w:tcW w:w="70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rPr>
                  </w:pP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09</w:t>
                  </w:r>
                  <w:r>
                    <w:rPr>
                      <w:rFonts w:hint="default" w:ascii="Times New Roman" w:hAnsi="Times New Roman" w:eastAsia="宋体" w:cs="Times New Roman"/>
                      <w:color w:val="auto"/>
                      <w:sz w:val="21"/>
                      <w:szCs w:val="21"/>
                      <w:lang w:val="en-US" w:eastAsia="zh-CN" w:bidi="ar-SA"/>
                    </w:rPr>
                    <w:t>:</w:t>
                  </w:r>
                  <w:r>
                    <w:rPr>
                      <w:rFonts w:hint="eastAsia" w:ascii="Times New Roman" w:hAnsi="Times New Roman" w:eastAsia="宋体" w:cs="Times New Roman"/>
                      <w:color w:val="auto"/>
                      <w:sz w:val="21"/>
                      <w:szCs w:val="21"/>
                      <w:lang w:val="en-US" w:eastAsia="zh-CN" w:bidi="ar-SA"/>
                    </w:rPr>
                    <w:t>33</w:t>
                  </w: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52.4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70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p>
              </w:tc>
              <w:tc>
                <w:tcPr>
                  <w:tcW w:w="15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张庄南</w:t>
                  </w:r>
                </w:p>
              </w:tc>
              <w:tc>
                <w:tcPr>
                  <w:tcW w:w="6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ZS020</w:t>
                  </w:r>
                </w:p>
              </w:tc>
              <w:tc>
                <w:tcPr>
                  <w:tcW w:w="70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rPr>
                  </w:pP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09</w:t>
                  </w:r>
                  <w:r>
                    <w:rPr>
                      <w:rFonts w:hint="default" w:ascii="Times New Roman" w:hAnsi="Times New Roman" w:eastAsia="宋体" w:cs="Times New Roman"/>
                      <w:color w:val="auto"/>
                      <w:sz w:val="21"/>
                      <w:szCs w:val="21"/>
                      <w:lang w:val="en-US" w:eastAsia="zh-CN" w:bidi="ar-SA"/>
                    </w:rPr>
                    <w:t>:</w:t>
                  </w:r>
                  <w:r>
                    <w:rPr>
                      <w:rFonts w:hint="eastAsia" w:ascii="Times New Roman" w:hAnsi="Times New Roman" w:eastAsia="宋体" w:cs="Times New Roman"/>
                      <w:color w:val="auto"/>
                      <w:sz w:val="21"/>
                      <w:szCs w:val="21"/>
                      <w:lang w:val="en-US" w:eastAsia="zh-CN" w:bidi="ar-SA"/>
                    </w:rPr>
                    <w:t>44</w:t>
                  </w: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52.5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70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p>
              </w:tc>
              <w:tc>
                <w:tcPr>
                  <w:tcW w:w="15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张庄北</w:t>
                  </w:r>
                </w:p>
              </w:tc>
              <w:tc>
                <w:tcPr>
                  <w:tcW w:w="6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ZS021</w:t>
                  </w:r>
                </w:p>
              </w:tc>
              <w:tc>
                <w:tcPr>
                  <w:tcW w:w="70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rPr>
                  </w:pP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09</w:t>
                  </w:r>
                  <w:r>
                    <w:rPr>
                      <w:rFonts w:hint="default" w:ascii="Times New Roman" w:hAnsi="Times New Roman" w:eastAsia="宋体" w:cs="Times New Roman"/>
                      <w:color w:val="auto"/>
                      <w:sz w:val="21"/>
                      <w:szCs w:val="21"/>
                      <w:lang w:val="en-US" w:eastAsia="zh-CN" w:bidi="ar-SA"/>
                    </w:rPr>
                    <w:t>:</w:t>
                  </w:r>
                  <w:r>
                    <w:rPr>
                      <w:rFonts w:hint="eastAsia" w:ascii="Times New Roman" w:hAnsi="Times New Roman" w:eastAsia="宋体" w:cs="Times New Roman"/>
                      <w:color w:val="auto"/>
                      <w:sz w:val="21"/>
                      <w:szCs w:val="21"/>
                      <w:lang w:val="en-US" w:eastAsia="zh-CN" w:bidi="ar-SA"/>
                    </w:rPr>
                    <w:t>55</w:t>
                  </w: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53.7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70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2020.11.</w:t>
                  </w:r>
                  <w:r>
                    <w:rPr>
                      <w:rFonts w:hint="eastAsia" w:ascii="Times New Roman" w:hAnsi="Times New Roman" w:eastAsia="宋体" w:cs="Times New Roman"/>
                      <w:color w:val="auto"/>
                      <w:sz w:val="21"/>
                      <w:szCs w:val="21"/>
                      <w:highlight w:val="none"/>
                      <w:lang w:val="en-US" w:eastAsia="zh-CN"/>
                    </w:rPr>
                    <w:t>21</w:t>
                  </w:r>
                </w:p>
              </w:tc>
              <w:tc>
                <w:tcPr>
                  <w:tcW w:w="15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rPr>
                    <w:t>平顶山五环实业有限公司</w:t>
                  </w:r>
                  <w:r>
                    <w:rPr>
                      <w:rFonts w:hint="default" w:ascii="Times New Roman" w:hAnsi="Times New Roman" w:eastAsia="宋体" w:cs="Times New Roman"/>
                      <w:color w:val="auto"/>
                      <w:sz w:val="21"/>
                      <w:szCs w:val="21"/>
                      <w:lang w:val="en-US" w:eastAsia="zh-CN"/>
                    </w:rPr>
                    <w:t>（东）</w:t>
                  </w:r>
                </w:p>
              </w:tc>
              <w:tc>
                <w:tcPr>
                  <w:tcW w:w="6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ZS022</w:t>
                  </w:r>
                </w:p>
              </w:tc>
              <w:tc>
                <w:tcPr>
                  <w:tcW w:w="706"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夜间</w:t>
                  </w: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22:</w:t>
                  </w:r>
                  <w:r>
                    <w:rPr>
                      <w:rFonts w:hint="eastAsia" w:ascii="Times New Roman" w:hAnsi="Times New Roman" w:eastAsia="宋体" w:cs="Times New Roman"/>
                      <w:color w:val="auto"/>
                      <w:sz w:val="21"/>
                      <w:szCs w:val="21"/>
                      <w:lang w:val="en-US" w:eastAsia="zh-CN" w:bidi="ar-SA"/>
                    </w:rPr>
                    <w:t>06</w:t>
                  </w: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41.5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70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p>
              </w:tc>
              <w:tc>
                <w:tcPr>
                  <w:tcW w:w="15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lang w:val="en-US" w:eastAsia="zh-CN"/>
                    </w:rPr>
                    <w:t>平顶山五环实业有限公司</w:t>
                  </w:r>
                  <w:r>
                    <w:rPr>
                      <w:rFonts w:hint="default" w:ascii="Times New Roman" w:hAnsi="Times New Roman" w:eastAsia="宋体" w:cs="Times New Roman"/>
                      <w:color w:val="auto"/>
                      <w:sz w:val="21"/>
                      <w:szCs w:val="21"/>
                      <w:lang w:val="en-US" w:eastAsia="zh-CN"/>
                    </w:rPr>
                    <w:t>（南）</w:t>
                  </w:r>
                </w:p>
              </w:tc>
              <w:tc>
                <w:tcPr>
                  <w:tcW w:w="6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ZS023</w:t>
                  </w:r>
                </w:p>
              </w:tc>
              <w:tc>
                <w:tcPr>
                  <w:tcW w:w="70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rPr>
                  </w:pP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22:</w:t>
                  </w:r>
                  <w:r>
                    <w:rPr>
                      <w:rFonts w:hint="eastAsia" w:ascii="Times New Roman" w:hAnsi="Times New Roman" w:eastAsia="宋体" w:cs="Times New Roman"/>
                      <w:color w:val="auto"/>
                      <w:sz w:val="21"/>
                      <w:szCs w:val="21"/>
                      <w:lang w:val="en-US" w:eastAsia="zh-CN" w:bidi="ar-SA"/>
                    </w:rPr>
                    <w:t>13</w:t>
                  </w: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45.5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70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p>
              </w:tc>
              <w:tc>
                <w:tcPr>
                  <w:tcW w:w="15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lang w:val="en-US" w:eastAsia="zh-CN"/>
                    </w:rPr>
                    <w:t>平顶山五环实业有限公司</w:t>
                  </w:r>
                  <w:r>
                    <w:rPr>
                      <w:rFonts w:hint="default" w:ascii="Times New Roman" w:hAnsi="Times New Roman" w:eastAsia="宋体" w:cs="Times New Roman"/>
                      <w:color w:val="auto"/>
                      <w:sz w:val="21"/>
                      <w:szCs w:val="21"/>
                      <w:lang w:val="en-US" w:eastAsia="zh-CN"/>
                    </w:rPr>
                    <w:t>（西）</w:t>
                  </w:r>
                </w:p>
              </w:tc>
              <w:tc>
                <w:tcPr>
                  <w:tcW w:w="6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ZS024</w:t>
                  </w:r>
                </w:p>
              </w:tc>
              <w:tc>
                <w:tcPr>
                  <w:tcW w:w="70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rPr>
                  </w:pP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22:1</w:t>
                  </w:r>
                  <w:r>
                    <w:rPr>
                      <w:rFonts w:hint="eastAsia" w:ascii="Times New Roman" w:hAnsi="Times New Roman" w:eastAsia="宋体" w:cs="Times New Roman"/>
                      <w:color w:val="auto"/>
                      <w:sz w:val="21"/>
                      <w:szCs w:val="21"/>
                      <w:lang w:val="en-US" w:eastAsia="zh-CN" w:bidi="ar-SA"/>
                    </w:rPr>
                    <w:t>9</w:t>
                  </w: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42.5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70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p>
              </w:tc>
              <w:tc>
                <w:tcPr>
                  <w:tcW w:w="15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lang w:val="en-US" w:eastAsia="zh-CN"/>
                    </w:rPr>
                    <w:t>平顶山五环实业有限公司</w:t>
                  </w:r>
                  <w:r>
                    <w:rPr>
                      <w:rFonts w:hint="default" w:ascii="Times New Roman" w:hAnsi="Times New Roman" w:eastAsia="宋体" w:cs="Times New Roman"/>
                      <w:color w:val="auto"/>
                      <w:sz w:val="21"/>
                      <w:szCs w:val="21"/>
                      <w:lang w:val="en-US" w:eastAsia="zh-CN"/>
                    </w:rPr>
                    <w:t>（北）</w:t>
                  </w:r>
                </w:p>
              </w:tc>
              <w:tc>
                <w:tcPr>
                  <w:tcW w:w="6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ZS025</w:t>
                  </w:r>
                </w:p>
              </w:tc>
              <w:tc>
                <w:tcPr>
                  <w:tcW w:w="70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rPr>
                  </w:pP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22:2</w:t>
                  </w:r>
                  <w:r>
                    <w:rPr>
                      <w:rFonts w:hint="eastAsia" w:ascii="Times New Roman" w:hAnsi="Times New Roman" w:eastAsia="宋体" w:cs="Times New Roman"/>
                      <w:color w:val="auto"/>
                      <w:sz w:val="21"/>
                      <w:szCs w:val="21"/>
                      <w:lang w:val="en-US" w:eastAsia="zh-CN" w:bidi="ar-SA"/>
                    </w:rPr>
                    <w:t>5</w:t>
                  </w: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42.2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70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p>
              </w:tc>
              <w:tc>
                <w:tcPr>
                  <w:tcW w:w="15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张庄东</w:t>
                  </w:r>
                </w:p>
              </w:tc>
              <w:tc>
                <w:tcPr>
                  <w:tcW w:w="6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ZS026</w:t>
                  </w:r>
                </w:p>
              </w:tc>
              <w:tc>
                <w:tcPr>
                  <w:tcW w:w="70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rPr>
                  </w:pP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22:</w:t>
                  </w:r>
                  <w:r>
                    <w:rPr>
                      <w:rFonts w:hint="eastAsia" w:ascii="Times New Roman" w:hAnsi="Times New Roman" w:eastAsia="宋体" w:cs="Times New Roman"/>
                      <w:color w:val="auto"/>
                      <w:sz w:val="21"/>
                      <w:szCs w:val="21"/>
                      <w:lang w:val="en-US" w:eastAsia="zh-CN" w:bidi="ar-SA"/>
                    </w:rPr>
                    <w:t>35</w:t>
                  </w: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42.0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70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p>
              </w:tc>
              <w:tc>
                <w:tcPr>
                  <w:tcW w:w="15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张庄南</w:t>
                  </w:r>
                </w:p>
              </w:tc>
              <w:tc>
                <w:tcPr>
                  <w:tcW w:w="6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ZS027</w:t>
                  </w:r>
                </w:p>
              </w:tc>
              <w:tc>
                <w:tcPr>
                  <w:tcW w:w="70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rPr>
                  </w:pP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22:</w:t>
                  </w:r>
                  <w:r>
                    <w:rPr>
                      <w:rFonts w:hint="eastAsia" w:ascii="Times New Roman" w:hAnsi="Times New Roman" w:eastAsia="宋体" w:cs="Times New Roman"/>
                      <w:color w:val="auto"/>
                      <w:sz w:val="21"/>
                      <w:szCs w:val="21"/>
                      <w:lang w:val="en-US" w:eastAsia="zh-CN" w:bidi="ar-SA"/>
                    </w:rPr>
                    <w:t>45</w:t>
                  </w: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42.7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70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p>
              </w:tc>
              <w:tc>
                <w:tcPr>
                  <w:tcW w:w="15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张庄北</w:t>
                  </w:r>
                </w:p>
              </w:tc>
              <w:tc>
                <w:tcPr>
                  <w:tcW w:w="6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ZS028</w:t>
                  </w:r>
                </w:p>
              </w:tc>
              <w:tc>
                <w:tcPr>
                  <w:tcW w:w="70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rPr>
                  </w:pP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22:</w:t>
                  </w:r>
                  <w:r>
                    <w:rPr>
                      <w:rFonts w:hint="eastAsia" w:ascii="Times New Roman" w:hAnsi="Times New Roman" w:eastAsia="宋体" w:cs="Times New Roman"/>
                      <w:color w:val="auto"/>
                      <w:sz w:val="21"/>
                      <w:szCs w:val="21"/>
                      <w:lang w:val="en-US" w:eastAsia="zh-CN" w:bidi="ar-SA"/>
                    </w:rPr>
                    <w:t>55</w:t>
                  </w:r>
                </w:p>
              </w:tc>
              <w:tc>
                <w:tcPr>
                  <w:tcW w:w="7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42.1</w:t>
                  </w:r>
                </w:p>
              </w:tc>
            </w:tr>
          </w:tbl>
          <w:p>
            <w:pPr>
              <w:adjustRightInd w:val="0"/>
              <w:snapToGrid w:val="0"/>
              <w:spacing w:line="480" w:lineRule="exact"/>
              <w:ind w:firstLine="480" w:firstLineChars="200"/>
              <w:rPr>
                <w:rFonts w:hint="default" w:ascii="Times New Roman" w:hAnsi="Times New Roman" w:eastAsia="宋体" w:cs="Times New Roman"/>
                <w:color w:val="000000"/>
                <w:sz w:val="24"/>
                <w:lang w:eastAsia="zh-CN"/>
              </w:rPr>
            </w:pPr>
            <w:r>
              <w:rPr>
                <w:rFonts w:hint="default" w:ascii="Times New Roman" w:hAnsi="Times New Roman" w:cs="Times New Roman"/>
                <w:color w:val="000000"/>
                <w:sz w:val="24"/>
              </w:rPr>
              <w:t>由上表可知，项目各</w:t>
            </w:r>
            <w:r>
              <w:rPr>
                <w:rFonts w:hint="eastAsia" w:cs="Times New Roman"/>
                <w:color w:val="000000"/>
                <w:sz w:val="24"/>
                <w:lang w:eastAsia="zh-CN"/>
              </w:rPr>
              <w:t>边</w:t>
            </w:r>
            <w:r>
              <w:rPr>
                <w:rFonts w:hint="default" w:ascii="Times New Roman" w:hAnsi="Times New Roman" w:cs="Times New Roman"/>
                <w:color w:val="000000"/>
                <w:sz w:val="24"/>
              </w:rPr>
              <w:t>界</w:t>
            </w:r>
            <w:r>
              <w:rPr>
                <w:rFonts w:hint="eastAsia" w:cs="Times New Roman"/>
                <w:color w:val="000000"/>
                <w:sz w:val="24"/>
                <w:lang w:eastAsia="zh-CN"/>
              </w:rPr>
              <w:t>及附近敏感点</w:t>
            </w:r>
            <w:r>
              <w:rPr>
                <w:rFonts w:hint="default" w:ascii="Times New Roman" w:hAnsi="Times New Roman" w:cs="Times New Roman"/>
                <w:color w:val="000000"/>
                <w:sz w:val="24"/>
              </w:rPr>
              <w:t>昼</w:t>
            </w:r>
            <w:r>
              <w:rPr>
                <w:rFonts w:hint="default" w:ascii="Times New Roman" w:hAnsi="Times New Roman" w:cs="Times New Roman"/>
                <w:color w:val="000000"/>
                <w:sz w:val="24"/>
                <w:lang w:eastAsia="zh-CN"/>
              </w:rPr>
              <w:t>、</w:t>
            </w:r>
            <w:r>
              <w:rPr>
                <w:rFonts w:hint="default" w:ascii="Times New Roman" w:hAnsi="Times New Roman" w:cs="Times New Roman"/>
                <w:color w:val="000000"/>
                <w:sz w:val="24"/>
              </w:rPr>
              <w:t>夜间</w:t>
            </w:r>
            <w:r>
              <w:rPr>
                <w:rFonts w:hint="default" w:ascii="Times New Roman" w:hAnsi="Times New Roman" w:cs="Times New Roman"/>
                <w:color w:val="000000"/>
                <w:sz w:val="24"/>
                <w:lang w:eastAsia="zh-CN"/>
              </w:rPr>
              <w:t>声环境质量现状</w:t>
            </w:r>
            <w:r>
              <w:rPr>
                <w:rFonts w:hint="default" w:ascii="Times New Roman" w:hAnsi="Times New Roman" w:cs="Times New Roman"/>
                <w:color w:val="000000"/>
                <w:sz w:val="24"/>
              </w:rPr>
              <w:t>均能满足《声环境质量标准》（GB3096-2008）</w:t>
            </w:r>
            <w:r>
              <w:rPr>
                <w:rFonts w:hint="eastAsia" w:ascii="Times New Roman" w:hAnsi="Times New Roman" w:cs="Times New Roman"/>
                <w:color w:val="000000"/>
                <w:sz w:val="24"/>
                <w:lang w:val="en-US" w:eastAsia="zh-CN"/>
              </w:rPr>
              <w:t>2</w:t>
            </w:r>
            <w:r>
              <w:rPr>
                <w:rFonts w:hint="default" w:ascii="Times New Roman" w:hAnsi="Times New Roman" w:cs="Times New Roman"/>
                <w:color w:val="000000"/>
                <w:sz w:val="24"/>
              </w:rPr>
              <w:t>类标准的要求</w:t>
            </w:r>
            <w:r>
              <w:rPr>
                <w:rFonts w:hint="eastAsia" w:ascii="Times New Roman" w:hAnsi="Times New Roman" w:cs="Times New Roman"/>
                <w:color w:val="000000"/>
                <w:sz w:val="24"/>
                <w:lang w:eastAsia="zh-CN"/>
              </w:rPr>
              <w:t>，</w:t>
            </w:r>
            <w:r>
              <w:rPr>
                <w:rFonts w:hint="default" w:ascii="Times New Roman" w:hAnsi="Times New Roman" w:cs="Times New Roman"/>
                <w:color w:val="000000"/>
                <w:sz w:val="24"/>
              </w:rPr>
              <w:t>表明项目</w:t>
            </w:r>
            <w:r>
              <w:rPr>
                <w:rFonts w:hint="default" w:ascii="Times New Roman" w:hAnsi="Times New Roman" w:cs="Times New Roman"/>
                <w:color w:val="000000"/>
                <w:sz w:val="24"/>
                <w:lang w:eastAsia="zh-CN"/>
              </w:rPr>
              <w:t>所在区域</w:t>
            </w:r>
            <w:r>
              <w:rPr>
                <w:rFonts w:hint="default" w:ascii="Times New Roman" w:hAnsi="Times New Roman" w:cs="Times New Roman"/>
                <w:color w:val="000000"/>
                <w:sz w:val="24"/>
              </w:rPr>
              <w:t>声环境总体质量较好。</w:t>
            </w:r>
          </w:p>
          <w:p>
            <w:pPr>
              <w:spacing w:line="520" w:lineRule="exact"/>
              <w:ind w:firstLine="482" w:firstLineChars="200"/>
              <w:rPr>
                <w:rFonts w:ascii="Times New Roman" w:hAnsi="Times New Roman"/>
                <w:b/>
                <w:bCs/>
                <w:sz w:val="24"/>
              </w:rPr>
            </w:pPr>
            <w:r>
              <w:rPr>
                <w:rFonts w:ascii="Times New Roman" w:hAnsi="Times New Roman"/>
                <w:b/>
                <w:bCs/>
                <w:sz w:val="24"/>
              </w:rPr>
              <w:t>5、土壤环境质量现状</w:t>
            </w:r>
          </w:p>
          <w:p>
            <w:pPr>
              <w:pStyle w:val="22"/>
              <w:adjustRightInd w:val="0"/>
              <w:snapToGrid w:val="0"/>
              <w:spacing w:line="360" w:lineRule="auto"/>
              <w:ind w:left="0" w:leftChars="0" w:firstLine="480" w:firstLineChars="200"/>
              <w:rPr>
                <w:rFonts w:ascii="Times New Roman" w:hAnsi="Times New Roman"/>
                <w:sz w:val="24"/>
                <w:szCs w:val="24"/>
              </w:rPr>
            </w:pPr>
            <w:r>
              <w:rPr>
                <w:rFonts w:hint="eastAsia" w:ascii="Times New Roman" w:hAnsi="Times New Roman"/>
                <w:sz w:val="24"/>
                <w:szCs w:val="24"/>
                <w:lang w:eastAsia="zh-CN"/>
              </w:rPr>
              <w:t>土壤检测结果引用项目西南侧</w:t>
            </w:r>
            <w:r>
              <w:rPr>
                <w:rFonts w:hint="eastAsia" w:ascii="Times New Roman" w:hAnsi="Times New Roman"/>
                <w:sz w:val="24"/>
                <w:szCs w:val="24"/>
                <w:lang w:val="en-US" w:eastAsia="zh-CN"/>
              </w:rPr>
              <w:t>1.05km平顶山日欣机械制造有限公司采掘分厂升级改造项目的</w:t>
            </w:r>
            <w:r>
              <w:rPr>
                <w:rFonts w:ascii="Times New Roman" w:hAnsi="Times New Roman"/>
                <w:sz w:val="24"/>
                <w:szCs w:val="24"/>
              </w:rPr>
              <w:t>土壤</w:t>
            </w:r>
            <w:r>
              <w:rPr>
                <w:rFonts w:hint="eastAsia" w:ascii="Times New Roman" w:hAnsi="Times New Roman"/>
                <w:sz w:val="24"/>
                <w:szCs w:val="24"/>
                <w:lang w:eastAsia="zh-CN"/>
              </w:rPr>
              <w:t>检测结果</w:t>
            </w:r>
            <w:r>
              <w:rPr>
                <w:rFonts w:ascii="Times New Roman" w:hAnsi="Times New Roman"/>
                <w:sz w:val="24"/>
                <w:szCs w:val="24"/>
              </w:rPr>
              <w:t>。</w:t>
            </w:r>
            <w:r>
              <w:rPr>
                <w:rFonts w:hint="eastAsia" w:ascii="Times New Roman" w:hAnsi="Times New Roman"/>
                <w:sz w:val="24"/>
                <w:szCs w:val="24"/>
                <w:lang w:eastAsia="zh-CN"/>
              </w:rPr>
              <w:t>检</w:t>
            </w:r>
            <w:r>
              <w:rPr>
                <w:rFonts w:hint="eastAsia" w:ascii="Times New Roman" w:hAnsi="Times New Roman"/>
                <w:sz w:val="24"/>
                <w:szCs w:val="24"/>
              </w:rPr>
              <w:t>测结果见表</w:t>
            </w:r>
            <w:r>
              <w:rPr>
                <w:rFonts w:hint="eastAsia" w:ascii="Times New Roman" w:hAnsi="Times New Roman"/>
                <w:sz w:val="24"/>
                <w:szCs w:val="24"/>
                <w:lang w:val="en-US" w:eastAsia="zh-CN"/>
              </w:rPr>
              <w:t>11</w:t>
            </w:r>
            <w:r>
              <w:rPr>
                <w:rFonts w:hint="eastAsia" w:ascii="Times New Roman" w:hAnsi="Times New Roman"/>
                <w:sz w:val="24"/>
                <w:szCs w:val="24"/>
              </w:rPr>
              <w:t>。</w:t>
            </w:r>
          </w:p>
          <w:p>
            <w:pPr>
              <w:pStyle w:val="7"/>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宋体" w:cs="Times New Roman"/>
                <w:b/>
                <w:bCs w:val="0"/>
                <w:sz w:val="24"/>
                <w:szCs w:val="24"/>
              </w:rPr>
            </w:pPr>
            <w:r>
              <w:rPr>
                <w:rFonts w:hint="default" w:ascii="Times New Roman" w:hAnsi="宋体" w:cs="Times New Roman"/>
                <w:b/>
                <w:bCs w:val="0"/>
                <w:sz w:val="24"/>
                <w:szCs w:val="24"/>
              </w:rPr>
              <w:t>表</w:t>
            </w:r>
            <w:r>
              <w:rPr>
                <w:rFonts w:hint="eastAsia" w:ascii="Times New Roman" w:hAnsi="宋体" w:cs="Times New Roman"/>
                <w:b/>
                <w:bCs w:val="0"/>
                <w:sz w:val="24"/>
                <w:szCs w:val="24"/>
                <w:lang w:val="en-US" w:eastAsia="zh-CN"/>
              </w:rPr>
              <w:t>1</w:t>
            </w:r>
            <w:r>
              <w:rPr>
                <w:rFonts w:hint="eastAsia" w:hAnsi="宋体" w:cs="Times New Roman"/>
                <w:b/>
                <w:bCs w:val="0"/>
                <w:sz w:val="24"/>
                <w:szCs w:val="24"/>
                <w:lang w:val="en-US" w:eastAsia="zh-CN"/>
              </w:rPr>
              <w:t>1</w:t>
            </w:r>
            <w:r>
              <w:rPr>
                <w:rFonts w:hint="eastAsia" w:ascii="Times New Roman" w:hAnsi="宋体" w:cs="Times New Roman"/>
                <w:b/>
                <w:bCs w:val="0"/>
                <w:sz w:val="24"/>
                <w:szCs w:val="24"/>
                <w:lang w:val="en-US" w:eastAsia="zh-CN"/>
              </w:rPr>
              <w:t xml:space="preserve">  </w:t>
            </w:r>
            <w:r>
              <w:rPr>
                <w:rFonts w:hint="eastAsia" w:ascii="Times New Roman" w:hAnsi="宋体" w:cs="Times New Roman"/>
                <w:b/>
                <w:bCs w:val="0"/>
                <w:sz w:val="24"/>
                <w:szCs w:val="24"/>
                <w:lang w:eastAsia="zh-CN"/>
              </w:rPr>
              <w:t>项目</w:t>
            </w:r>
            <w:r>
              <w:rPr>
                <w:rFonts w:hint="default" w:ascii="Times New Roman" w:hAnsi="宋体" w:cs="Times New Roman"/>
                <w:b/>
                <w:bCs w:val="0"/>
                <w:sz w:val="24"/>
                <w:szCs w:val="24"/>
              </w:rPr>
              <w:t>土壤环境现状</w:t>
            </w:r>
            <w:r>
              <w:rPr>
                <w:rFonts w:hint="eastAsia" w:ascii="Times New Roman" w:hAnsi="宋体" w:cs="Times New Roman"/>
                <w:b/>
                <w:bCs w:val="0"/>
                <w:sz w:val="24"/>
                <w:szCs w:val="24"/>
                <w:lang w:eastAsia="zh-CN"/>
              </w:rPr>
              <w:t>检</w:t>
            </w:r>
            <w:r>
              <w:rPr>
                <w:rFonts w:hint="default" w:ascii="Times New Roman" w:hAnsi="宋体" w:cs="Times New Roman"/>
                <w:b/>
                <w:bCs w:val="0"/>
                <w:sz w:val="24"/>
                <w:szCs w:val="24"/>
              </w:rPr>
              <w:t>测统计及评价结果表  单位：mg/kg</w:t>
            </w:r>
          </w:p>
          <w:tbl>
            <w:tblPr>
              <w:tblStyle w:val="2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05"/>
              <w:gridCol w:w="1205"/>
              <w:gridCol w:w="1171"/>
              <w:gridCol w:w="1097"/>
              <w:gridCol w:w="1097"/>
              <w:gridCol w:w="1097"/>
              <w:gridCol w:w="1097"/>
              <w:gridCol w:w="109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noWrap w:val="0"/>
                  <w:vAlign w:val="center"/>
                </w:tcPr>
                <w:p>
                  <w:pPr>
                    <w:adjustRightInd w:val="0"/>
                    <w:snapToGrid w:val="0"/>
                    <w:jc w:val="center"/>
                    <w:rPr>
                      <w:rFonts w:hint="default" w:ascii="Times New Roman" w:hAnsi="Times New Roman" w:eastAsia="宋体" w:cs="Times New Roman"/>
                      <w:bCs/>
                      <w:sz w:val="21"/>
                      <w:szCs w:val="21"/>
                    </w:rPr>
                  </w:pPr>
                  <w:r>
                    <w:rPr>
                      <w:rFonts w:hint="default" w:ascii="Times New Roman" w:hAnsi="Times New Roman" w:eastAsia="宋体" w:cs="Times New Roman"/>
                      <w:color w:val="000000"/>
                      <w:sz w:val="21"/>
                      <w:szCs w:val="21"/>
                    </w:rPr>
                    <w:t>检测</w:t>
                  </w:r>
                  <w:r>
                    <w:rPr>
                      <w:rFonts w:hint="default" w:ascii="Times New Roman" w:hAnsi="Times New Roman" w:eastAsia="宋体" w:cs="Times New Roman"/>
                      <w:bCs/>
                      <w:sz w:val="21"/>
                      <w:szCs w:val="21"/>
                    </w:rPr>
                    <w:t>点位</w:t>
                  </w:r>
                </w:p>
              </w:tc>
              <w:tc>
                <w:tcPr>
                  <w:tcW w:w="664" w:type="pct"/>
                  <w:noWrap w:val="0"/>
                  <w:vAlign w:val="center"/>
                </w:tcPr>
                <w:p>
                  <w:pPr>
                    <w:adjustRightInd w:val="0"/>
                    <w:snapToGrid w:val="0"/>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lang w:eastAsia="zh-CN"/>
                    </w:rPr>
                    <w:t>检测</w:t>
                  </w:r>
                  <w:r>
                    <w:rPr>
                      <w:rFonts w:hint="default" w:ascii="Times New Roman" w:hAnsi="Times New Roman" w:eastAsia="宋体" w:cs="Times New Roman"/>
                      <w:bCs/>
                      <w:sz w:val="21"/>
                      <w:szCs w:val="21"/>
                    </w:rPr>
                    <w:t>因子</w:t>
                  </w:r>
                </w:p>
              </w:tc>
              <w:tc>
                <w:tcPr>
                  <w:tcW w:w="645"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eastAsia="zh-CN"/>
                    </w:rPr>
                    <w:t>检测</w:t>
                  </w:r>
                  <w:r>
                    <w:rPr>
                      <w:rFonts w:hint="default" w:ascii="Times New Roman" w:hAnsi="Times New Roman" w:eastAsia="宋体" w:cs="Times New Roman"/>
                      <w:sz w:val="21"/>
                      <w:szCs w:val="21"/>
                    </w:rPr>
                    <w:t>值</w:t>
                  </w:r>
                </w:p>
              </w:tc>
              <w:tc>
                <w:tcPr>
                  <w:tcW w:w="604" w:type="pct"/>
                  <w:noWrap w:val="0"/>
                  <w:vAlign w:val="center"/>
                </w:tcPr>
                <w:p>
                  <w:pPr>
                    <w:adjustRightInd w:val="0"/>
                    <w:snapToGrid w:val="0"/>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标准值</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标准指数</w:t>
                  </w:r>
                </w:p>
              </w:tc>
              <w:tc>
                <w:tcPr>
                  <w:tcW w:w="604" w:type="pct"/>
                  <w:noWrap w:val="0"/>
                  <w:vAlign w:val="center"/>
                </w:tcPr>
                <w:p>
                  <w:pPr>
                    <w:pStyle w:val="84"/>
                    <w:rPr>
                      <w:rFonts w:hint="default" w:ascii="Times New Roman" w:hAnsi="Times New Roman" w:eastAsia="宋体" w:cs="Times New Roman"/>
                      <w:bCs/>
                      <w:sz w:val="21"/>
                      <w:szCs w:val="21"/>
                    </w:rPr>
                  </w:pPr>
                  <w:r>
                    <w:rPr>
                      <w:rFonts w:hint="default" w:ascii="Times New Roman" w:hAnsi="Times New Roman" w:eastAsia="宋体" w:cs="Times New Roman"/>
                      <w:sz w:val="21"/>
                      <w:szCs w:val="21"/>
                    </w:rPr>
                    <w:t>超标率（%）</w:t>
                  </w:r>
                </w:p>
              </w:tc>
              <w:tc>
                <w:tcPr>
                  <w:tcW w:w="604" w:type="pct"/>
                  <w:noWrap w:val="0"/>
                  <w:vAlign w:val="center"/>
                </w:tcPr>
                <w:p>
                  <w:pPr>
                    <w:pStyle w:val="84"/>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最大超标倍数</w:t>
                  </w:r>
                </w:p>
              </w:tc>
              <w:tc>
                <w:tcPr>
                  <w:tcW w:w="604" w:type="pct"/>
                  <w:noWrap w:val="0"/>
                  <w:vAlign w:val="center"/>
                </w:tcPr>
                <w:p>
                  <w:pPr>
                    <w:adjustRightInd w:val="0"/>
                    <w:snapToGrid w:val="0"/>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是否达标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restart"/>
                  <w:noWrap w:val="0"/>
                  <w:vAlign w:val="center"/>
                </w:tcPr>
                <w:p>
                  <w:pPr>
                    <w:adjustRightInd w:val="0"/>
                    <w:snapToGrid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1#掘进机维修车间附近</w:t>
                  </w: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砷</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4.56</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60</w:t>
                  </w:r>
                </w:p>
              </w:tc>
              <w:tc>
                <w:tcPr>
                  <w:tcW w:w="604" w:type="pct"/>
                  <w:noWrap w:val="0"/>
                  <w:vAlign w:val="center"/>
                </w:tcPr>
                <w:p>
                  <w:pPr>
                    <w:adjustRightInd w:val="0"/>
                    <w:snapToGrid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0.076</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镉</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0.159</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65</w:t>
                  </w:r>
                </w:p>
              </w:tc>
              <w:tc>
                <w:tcPr>
                  <w:tcW w:w="604" w:type="pct"/>
                  <w:noWrap w:val="0"/>
                  <w:vAlign w:val="center"/>
                </w:tcPr>
                <w:p>
                  <w:pPr>
                    <w:adjustRightInd w:val="0"/>
                    <w:snapToGrid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0.0024</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六价铬</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5.7</w:t>
                  </w:r>
                </w:p>
              </w:tc>
              <w:tc>
                <w:tcPr>
                  <w:tcW w:w="604" w:type="pct"/>
                  <w:noWrap w:val="0"/>
                  <w:vAlign w:val="center"/>
                </w:tcPr>
                <w:p>
                  <w:pPr>
                    <w:adjustRightInd w:val="0"/>
                    <w:snapToGrid w:val="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铜</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95</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18000</w:t>
                  </w:r>
                </w:p>
              </w:tc>
              <w:tc>
                <w:tcPr>
                  <w:tcW w:w="604" w:type="pct"/>
                  <w:noWrap w:val="0"/>
                  <w:vAlign w:val="center"/>
                </w:tcPr>
                <w:p>
                  <w:pPr>
                    <w:adjustRightInd w:val="0"/>
                    <w:snapToGrid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0.0053</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铅</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62</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800</w:t>
                  </w:r>
                </w:p>
              </w:tc>
              <w:tc>
                <w:tcPr>
                  <w:tcW w:w="604" w:type="pct"/>
                  <w:noWrap w:val="0"/>
                  <w:vAlign w:val="center"/>
                </w:tcPr>
                <w:p>
                  <w:pPr>
                    <w:adjustRightInd w:val="0"/>
                    <w:snapToGrid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0.0775</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汞</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38</w:t>
                  </w:r>
                </w:p>
              </w:tc>
              <w:tc>
                <w:tcPr>
                  <w:tcW w:w="604" w:type="pct"/>
                  <w:noWrap w:val="0"/>
                  <w:vAlign w:val="center"/>
                </w:tcPr>
                <w:p>
                  <w:pPr>
                    <w:adjustRightInd w:val="0"/>
                    <w:snapToGrid w:val="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镍</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34</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900</w:t>
                  </w:r>
                </w:p>
              </w:tc>
              <w:tc>
                <w:tcPr>
                  <w:tcW w:w="604" w:type="pct"/>
                  <w:noWrap w:val="0"/>
                  <w:vAlign w:val="center"/>
                </w:tcPr>
                <w:p>
                  <w:pPr>
                    <w:adjustRightInd w:val="0"/>
                    <w:snapToGrid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0.0378</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四氯化碳</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2.8</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氯仿</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0.9</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氯甲烷</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37</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1，1-二氯乙烷</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sz w:val="21"/>
                      <w:szCs w:val="21"/>
                    </w:rPr>
                    <w:t>9</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1，2-二氯乙烷</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sz w:val="21"/>
                      <w:szCs w:val="21"/>
                    </w:rPr>
                    <w:t>5</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1，1-二氯乙烯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66</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顺-1，2-二氯乙烯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596</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反-1，2-二氯乙烯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54</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二氯甲烷</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616</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1，2-二氯丙烷</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5</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1，1，1，2-四氯乙烷</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10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1，1，2，2-四氯乙烷</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6.8</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四氯乙烯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53</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1，1，1-三氯乙烷</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840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1，1，2-三氯乙烷</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2.8</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三氯乙烯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2.8</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1，2，3-三氯丙烷</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0.5</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氯乙烯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0.43</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氯苯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270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1，2-二氯苯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560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1，4-二氯苯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乙苯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28</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苯乙烯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1290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甲苯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1200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间（对）二甲苯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570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邻二甲苯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640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硝基苯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76</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苯胺</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260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2-氯酚</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2256</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苯并［a］蒽</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15</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苯并［a］芘</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1.5</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苯并［b］荧蒽</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15</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苯并［k］荧蒽</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151</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䓛</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1293</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二苯［a，h］蒽</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1.5</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茚并［1，2，3-cd］芘</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15</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萘</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氟化物</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pStyle w:val="31"/>
                    <w:snapToGrid w:val="0"/>
                    <w:jc w:val="center"/>
                    <w:rPr>
                      <w:rFonts w:hint="default" w:ascii="Times New Roman" w:hAnsi="Times New Roman" w:eastAsia="宋体" w:cs="Times New Roman"/>
                      <w:color w:val="auto"/>
                      <w:sz w:val="21"/>
                      <w:szCs w:val="21"/>
                    </w:rPr>
                  </w:pPr>
                </w:p>
              </w:tc>
              <w:tc>
                <w:tcPr>
                  <w:tcW w:w="664" w:type="pct"/>
                  <w:noWrap w:val="0"/>
                  <w:vAlign w:val="center"/>
                </w:tcPr>
                <w:p>
                  <w:pPr>
                    <w:pStyle w:val="31"/>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石油烃</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394</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4500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0.0876</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noWrap w:val="0"/>
                  <w:vAlign w:val="center"/>
                </w:tcPr>
                <w:p>
                  <w:pPr>
                    <w:adjustRightInd w:val="0"/>
                    <w:snapToGrid w:val="0"/>
                    <w:jc w:val="center"/>
                    <w:rPr>
                      <w:rFonts w:hint="default" w:ascii="Times New Roman" w:hAnsi="Times New Roman" w:eastAsia="宋体" w:cs="Times New Roman"/>
                      <w:bCs/>
                      <w:sz w:val="21"/>
                      <w:szCs w:val="21"/>
                    </w:rPr>
                  </w:pPr>
                  <w:r>
                    <w:rPr>
                      <w:rFonts w:hint="default" w:ascii="Times New Roman" w:hAnsi="Times New Roman" w:eastAsia="宋体" w:cs="Times New Roman"/>
                      <w:color w:val="000000"/>
                      <w:sz w:val="21"/>
                      <w:szCs w:val="21"/>
                    </w:rPr>
                    <w:t>检测</w:t>
                  </w:r>
                  <w:r>
                    <w:rPr>
                      <w:rFonts w:hint="default" w:ascii="Times New Roman" w:hAnsi="Times New Roman" w:eastAsia="宋体" w:cs="Times New Roman"/>
                      <w:bCs/>
                      <w:sz w:val="21"/>
                      <w:szCs w:val="21"/>
                    </w:rPr>
                    <w:t>点位</w:t>
                  </w:r>
                </w:p>
              </w:tc>
              <w:tc>
                <w:tcPr>
                  <w:tcW w:w="664" w:type="pct"/>
                  <w:noWrap w:val="0"/>
                  <w:vAlign w:val="center"/>
                </w:tcPr>
                <w:p>
                  <w:pPr>
                    <w:adjustRightInd w:val="0"/>
                    <w:snapToGrid w:val="0"/>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lang w:eastAsia="zh-CN"/>
                    </w:rPr>
                    <w:t>检测</w:t>
                  </w:r>
                  <w:r>
                    <w:rPr>
                      <w:rFonts w:hint="default" w:ascii="Times New Roman" w:hAnsi="Times New Roman" w:eastAsia="宋体" w:cs="Times New Roman"/>
                      <w:bCs/>
                      <w:sz w:val="21"/>
                      <w:szCs w:val="21"/>
                    </w:rPr>
                    <w:t>因子</w:t>
                  </w:r>
                </w:p>
              </w:tc>
              <w:tc>
                <w:tcPr>
                  <w:tcW w:w="645"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bCs/>
                      <w:sz w:val="21"/>
                      <w:szCs w:val="21"/>
                      <w:lang w:eastAsia="zh-CN"/>
                    </w:rPr>
                    <w:t>检测</w:t>
                  </w:r>
                  <w:r>
                    <w:rPr>
                      <w:rFonts w:hint="default" w:ascii="Times New Roman" w:hAnsi="Times New Roman" w:eastAsia="宋体" w:cs="Times New Roman"/>
                      <w:sz w:val="21"/>
                      <w:szCs w:val="21"/>
                    </w:rPr>
                    <w:t>值</w:t>
                  </w:r>
                </w:p>
              </w:tc>
              <w:tc>
                <w:tcPr>
                  <w:tcW w:w="604" w:type="pct"/>
                  <w:noWrap w:val="0"/>
                  <w:vAlign w:val="center"/>
                </w:tcPr>
                <w:p>
                  <w:pPr>
                    <w:adjustRightInd w:val="0"/>
                    <w:snapToGrid w:val="0"/>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标准值</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标准指数</w:t>
                  </w:r>
                </w:p>
              </w:tc>
              <w:tc>
                <w:tcPr>
                  <w:tcW w:w="604" w:type="pct"/>
                  <w:noWrap w:val="0"/>
                  <w:vAlign w:val="center"/>
                </w:tcPr>
                <w:p>
                  <w:pPr>
                    <w:pStyle w:val="84"/>
                    <w:rPr>
                      <w:rFonts w:hint="default" w:ascii="Times New Roman" w:hAnsi="Times New Roman" w:eastAsia="宋体" w:cs="Times New Roman"/>
                      <w:bCs/>
                      <w:sz w:val="21"/>
                      <w:szCs w:val="21"/>
                    </w:rPr>
                  </w:pPr>
                  <w:r>
                    <w:rPr>
                      <w:rFonts w:hint="default" w:ascii="Times New Roman" w:hAnsi="Times New Roman" w:eastAsia="宋体" w:cs="Times New Roman"/>
                      <w:sz w:val="21"/>
                      <w:szCs w:val="21"/>
                    </w:rPr>
                    <w:t>超标率（%）</w:t>
                  </w:r>
                </w:p>
              </w:tc>
              <w:tc>
                <w:tcPr>
                  <w:tcW w:w="604" w:type="pct"/>
                  <w:noWrap w:val="0"/>
                  <w:vAlign w:val="center"/>
                </w:tcPr>
                <w:p>
                  <w:pPr>
                    <w:pStyle w:val="84"/>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最大超标倍数</w:t>
                  </w:r>
                </w:p>
              </w:tc>
              <w:tc>
                <w:tcPr>
                  <w:tcW w:w="604" w:type="pct"/>
                  <w:noWrap w:val="0"/>
                  <w:vAlign w:val="center"/>
                </w:tcPr>
                <w:p>
                  <w:pPr>
                    <w:adjustRightInd w:val="0"/>
                    <w:snapToGrid w:val="0"/>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是否达标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restart"/>
                  <w:noWrap w:val="0"/>
                  <w:vAlign w:val="center"/>
                </w:tcPr>
                <w:p>
                  <w:pPr>
                    <w:adjustRightInd w:val="0"/>
                    <w:snapToGrid w:val="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2#</w:t>
                  </w:r>
                  <w:r>
                    <w:rPr>
                      <w:rFonts w:hint="default" w:ascii="Times New Roman" w:hAnsi="Times New Roman" w:eastAsia="宋体" w:cs="Times New Roman"/>
                      <w:sz w:val="21"/>
                      <w:szCs w:val="21"/>
                      <w:lang w:eastAsia="zh-CN"/>
                    </w:rPr>
                    <w:t>掘进机维修车间外清洗废水沉淀池附近</w:t>
                  </w: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砷</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4.55</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60</w:t>
                  </w:r>
                </w:p>
              </w:tc>
              <w:tc>
                <w:tcPr>
                  <w:tcW w:w="604" w:type="pct"/>
                  <w:noWrap w:val="0"/>
                  <w:vAlign w:val="center"/>
                </w:tcPr>
                <w:p>
                  <w:pPr>
                    <w:adjustRightInd w:val="0"/>
                    <w:snapToGrid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0.0758</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镉</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0.205</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65</w:t>
                  </w:r>
                </w:p>
              </w:tc>
              <w:tc>
                <w:tcPr>
                  <w:tcW w:w="604" w:type="pct"/>
                  <w:noWrap w:val="0"/>
                  <w:vAlign w:val="center"/>
                </w:tcPr>
                <w:p>
                  <w:pPr>
                    <w:adjustRightInd w:val="0"/>
                    <w:snapToGrid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0.0032</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六价铬</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5.7</w:t>
                  </w:r>
                </w:p>
              </w:tc>
              <w:tc>
                <w:tcPr>
                  <w:tcW w:w="60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铜</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34</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18000</w:t>
                  </w:r>
                </w:p>
              </w:tc>
              <w:tc>
                <w:tcPr>
                  <w:tcW w:w="604" w:type="pct"/>
                  <w:noWrap w:val="0"/>
                  <w:vAlign w:val="center"/>
                </w:tcPr>
                <w:p>
                  <w:pPr>
                    <w:adjustRightInd w:val="0"/>
                    <w:snapToGrid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0.0019</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铅</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45</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800</w:t>
                  </w:r>
                </w:p>
              </w:tc>
              <w:tc>
                <w:tcPr>
                  <w:tcW w:w="604" w:type="pct"/>
                  <w:noWrap w:val="0"/>
                  <w:vAlign w:val="center"/>
                </w:tcPr>
                <w:p>
                  <w:pPr>
                    <w:adjustRightInd w:val="0"/>
                    <w:snapToGrid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0.05625</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汞</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0.076</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38</w:t>
                  </w:r>
                </w:p>
              </w:tc>
              <w:tc>
                <w:tcPr>
                  <w:tcW w:w="604" w:type="pct"/>
                  <w:noWrap w:val="0"/>
                  <w:vAlign w:val="center"/>
                </w:tcPr>
                <w:p>
                  <w:pPr>
                    <w:adjustRightInd w:val="0"/>
                    <w:snapToGrid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0.002</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镍</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48</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900</w:t>
                  </w:r>
                </w:p>
              </w:tc>
              <w:tc>
                <w:tcPr>
                  <w:tcW w:w="604" w:type="pct"/>
                  <w:noWrap w:val="0"/>
                  <w:vAlign w:val="center"/>
                </w:tcPr>
                <w:p>
                  <w:pPr>
                    <w:adjustRightInd w:val="0"/>
                    <w:snapToGrid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0.0533</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四氯化碳</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2.8</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氯仿</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0.9</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氯甲烷</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37</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1，1-二氯乙烷</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sz w:val="21"/>
                      <w:szCs w:val="21"/>
                    </w:rPr>
                    <w:t>9</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1，2-二氯乙烷</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sz w:val="21"/>
                      <w:szCs w:val="21"/>
                    </w:rPr>
                    <w:t>5</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1，1-二氯乙烯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66</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顺-1，2-二氯乙烯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596</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反-1，2-二氯乙烯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54</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二氯甲烷</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616</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1，2-二氯丙烷</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5</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1，1，1，2-四氯乙烷</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10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1，1，2，2-四氯乙烷</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6.8</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四氯乙烯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53</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1，1，1-三氯乙烷</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840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1，1，2-三氯乙烷</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2.8</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三氯乙烯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2.8</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1，2，3-三氯丙烷</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0.5</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氯乙烯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0.43</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氯苯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270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1，2-二氯苯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560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1，4-二氯苯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乙苯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28</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苯乙烯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1290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甲苯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1200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间（对）二甲苯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570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邻二甲苯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640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硝基苯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76</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苯胺</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260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2-氯酚</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2256</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苯并［a］蒽</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15</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苯并［a］芘</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1.5</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苯并［b］荧蒽</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15</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苯并［k］荧蒽</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151</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䓛</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1293</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二苯［a，h］蒽</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1.5</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茚并［1，2，3-cd］芘</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15</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萘</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pStyle w:val="31"/>
                    <w:snapToGrid w:val="0"/>
                    <w:jc w:val="center"/>
                    <w:rPr>
                      <w:rFonts w:hint="default" w:ascii="Times New Roman" w:hAnsi="Times New Roman" w:eastAsia="宋体" w:cs="Times New Roman"/>
                      <w:color w:val="auto"/>
                      <w:sz w:val="21"/>
                      <w:szCs w:val="21"/>
                    </w:rPr>
                  </w:pPr>
                </w:p>
              </w:tc>
              <w:tc>
                <w:tcPr>
                  <w:tcW w:w="664" w:type="pct"/>
                  <w:noWrap w:val="0"/>
                  <w:vAlign w:val="center"/>
                </w:tcPr>
                <w:p>
                  <w:pPr>
                    <w:pStyle w:val="31"/>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石油烃</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343</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4500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0.0762</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noWrap w:val="0"/>
                  <w:vAlign w:val="center"/>
                </w:tcPr>
                <w:p>
                  <w:pPr>
                    <w:adjustRightInd w:val="0"/>
                    <w:snapToGrid w:val="0"/>
                    <w:jc w:val="center"/>
                    <w:rPr>
                      <w:rFonts w:hint="default" w:ascii="Times New Roman" w:hAnsi="Times New Roman" w:eastAsia="宋体" w:cs="Times New Roman"/>
                      <w:bCs/>
                      <w:sz w:val="21"/>
                      <w:szCs w:val="21"/>
                    </w:rPr>
                  </w:pPr>
                  <w:r>
                    <w:rPr>
                      <w:rFonts w:hint="default" w:ascii="Times New Roman" w:hAnsi="Times New Roman" w:eastAsia="宋体" w:cs="Times New Roman"/>
                      <w:color w:val="000000"/>
                      <w:sz w:val="21"/>
                      <w:szCs w:val="21"/>
                    </w:rPr>
                    <w:t>检测</w:t>
                  </w:r>
                  <w:r>
                    <w:rPr>
                      <w:rFonts w:hint="default" w:ascii="Times New Roman" w:hAnsi="Times New Roman" w:eastAsia="宋体" w:cs="Times New Roman"/>
                      <w:bCs/>
                      <w:sz w:val="21"/>
                      <w:szCs w:val="21"/>
                    </w:rPr>
                    <w:t>点位</w:t>
                  </w:r>
                </w:p>
              </w:tc>
              <w:tc>
                <w:tcPr>
                  <w:tcW w:w="664" w:type="pct"/>
                  <w:noWrap w:val="0"/>
                  <w:vAlign w:val="center"/>
                </w:tcPr>
                <w:p>
                  <w:pPr>
                    <w:adjustRightInd w:val="0"/>
                    <w:snapToGrid w:val="0"/>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lang w:eastAsia="zh-CN"/>
                    </w:rPr>
                    <w:t>检测</w:t>
                  </w:r>
                  <w:r>
                    <w:rPr>
                      <w:rFonts w:hint="default" w:ascii="Times New Roman" w:hAnsi="Times New Roman" w:eastAsia="宋体" w:cs="Times New Roman"/>
                      <w:bCs/>
                      <w:sz w:val="21"/>
                      <w:szCs w:val="21"/>
                    </w:rPr>
                    <w:t>因子</w:t>
                  </w:r>
                </w:p>
              </w:tc>
              <w:tc>
                <w:tcPr>
                  <w:tcW w:w="645"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bCs/>
                      <w:sz w:val="21"/>
                      <w:szCs w:val="21"/>
                      <w:lang w:eastAsia="zh-CN"/>
                    </w:rPr>
                    <w:t>检测</w:t>
                  </w:r>
                  <w:r>
                    <w:rPr>
                      <w:rFonts w:hint="default" w:ascii="Times New Roman" w:hAnsi="Times New Roman" w:eastAsia="宋体" w:cs="Times New Roman"/>
                      <w:sz w:val="21"/>
                      <w:szCs w:val="21"/>
                    </w:rPr>
                    <w:t>值</w:t>
                  </w:r>
                </w:p>
              </w:tc>
              <w:tc>
                <w:tcPr>
                  <w:tcW w:w="604" w:type="pct"/>
                  <w:noWrap w:val="0"/>
                  <w:vAlign w:val="center"/>
                </w:tcPr>
                <w:p>
                  <w:pPr>
                    <w:adjustRightInd w:val="0"/>
                    <w:snapToGrid w:val="0"/>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标准值</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标准指数</w:t>
                  </w:r>
                </w:p>
              </w:tc>
              <w:tc>
                <w:tcPr>
                  <w:tcW w:w="604" w:type="pct"/>
                  <w:noWrap w:val="0"/>
                  <w:vAlign w:val="center"/>
                </w:tcPr>
                <w:p>
                  <w:pPr>
                    <w:pStyle w:val="84"/>
                    <w:rPr>
                      <w:rFonts w:hint="default" w:ascii="Times New Roman" w:hAnsi="Times New Roman" w:eastAsia="宋体" w:cs="Times New Roman"/>
                      <w:bCs/>
                      <w:sz w:val="21"/>
                      <w:szCs w:val="21"/>
                    </w:rPr>
                  </w:pPr>
                  <w:r>
                    <w:rPr>
                      <w:rFonts w:hint="default" w:ascii="Times New Roman" w:hAnsi="Times New Roman" w:eastAsia="宋体" w:cs="Times New Roman"/>
                      <w:sz w:val="21"/>
                      <w:szCs w:val="21"/>
                    </w:rPr>
                    <w:t>超标率（%）</w:t>
                  </w:r>
                </w:p>
              </w:tc>
              <w:tc>
                <w:tcPr>
                  <w:tcW w:w="604" w:type="pct"/>
                  <w:noWrap w:val="0"/>
                  <w:vAlign w:val="center"/>
                </w:tcPr>
                <w:p>
                  <w:pPr>
                    <w:pStyle w:val="84"/>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最大超标倍数</w:t>
                  </w:r>
                </w:p>
              </w:tc>
              <w:tc>
                <w:tcPr>
                  <w:tcW w:w="604" w:type="pct"/>
                  <w:noWrap w:val="0"/>
                  <w:vAlign w:val="center"/>
                </w:tcPr>
                <w:p>
                  <w:pPr>
                    <w:adjustRightInd w:val="0"/>
                    <w:snapToGrid w:val="0"/>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是否达标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restart"/>
                  <w:noWrap w:val="0"/>
                  <w:vAlign w:val="center"/>
                </w:tcPr>
                <w:p>
                  <w:pPr>
                    <w:adjustRightInd w:val="0"/>
                    <w:snapToGrid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3#单体柱制造车间冷却循环水池附近</w:t>
                  </w: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砷</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4.03</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60</w:t>
                  </w:r>
                </w:p>
              </w:tc>
              <w:tc>
                <w:tcPr>
                  <w:tcW w:w="604" w:type="pct"/>
                  <w:noWrap w:val="0"/>
                  <w:vAlign w:val="center"/>
                </w:tcPr>
                <w:p>
                  <w:pPr>
                    <w:adjustRightInd w:val="0"/>
                    <w:snapToGrid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0.0672</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镉</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0.132</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65</w:t>
                  </w:r>
                </w:p>
              </w:tc>
              <w:tc>
                <w:tcPr>
                  <w:tcW w:w="604" w:type="pct"/>
                  <w:noWrap w:val="0"/>
                  <w:vAlign w:val="center"/>
                </w:tcPr>
                <w:p>
                  <w:pPr>
                    <w:adjustRightInd w:val="0"/>
                    <w:snapToGrid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0.0020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六价铬</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5.7</w:t>
                  </w:r>
                </w:p>
              </w:tc>
              <w:tc>
                <w:tcPr>
                  <w:tcW w:w="604" w:type="pct"/>
                  <w:noWrap w:val="0"/>
                  <w:vAlign w:val="center"/>
                </w:tcPr>
                <w:p>
                  <w:pPr>
                    <w:adjustRightInd w:val="0"/>
                    <w:snapToGrid w:val="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铜</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93</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18000</w:t>
                  </w:r>
                </w:p>
              </w:tc>
              <w:tc>
                <w:tcPr>
                  <w:tcW w:w="604" w:type="pct"/>
                  <w:noWrap w:val="0"/>
                  <w:vAlign w:val="center"/>
                </w:tcPr>
                <w:p>
                  <w:pPr>
                    <w:adjustRightInd w:val="0"/>
                    <w:snapToGrid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0.0052</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铅</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37</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800</w:t>
                  </w:r>
                </w:p>
              </w:tc>
              <w:tc>
                <w:tcPr>
                  <w:tcW w:w="604" w:type="pct"/>
                  <w:noWrap w:val="0"/>
                  <w:vAlign w:val="center"/>
                </w:tcPr>
                <w:p>
                  <w:pPr>
                    <w:adjustRightInd w:val="0"/>
                    <w:snapToGrid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0.04625</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汞</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0.074</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38</w:t>
                  </w:r>
                </w:p>
              </w:tc>
              <w:tc>
                <w:tcPr>
                  <w:tcW w:w="604" w:type="pct"/>
                  <w:noWrap w:val="0"/>
                  <w:vAlign w:val="center"/>
                </w:tcPr>
                <w:p>
                  <w:pPr>
                    <w:adjustRightInd w:val="0"/>
                    <w:snapToGrid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0.0020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镍</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34</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900</w:t>
                  </w:r>
                </w:p>
              </w:tc>
              <w:tc>
                <w:tcPr>
                  <w:tcW w:w="604" w:type="pct"/>
                  <w:noWrap w:val="0"/>
                  <w:vAlign w:val="center"/>
                </w:tcPr>
                <w:p>
                  <w:pPr>
                    <w:adjustRightInd w:val="0"/>
                    <w:snapToGrid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0.0378</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四氯化碳</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2.8</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氯仿</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0.9</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氯甲烷</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37</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1，1-二氯乙烷</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sz w:val="21"/>
                      <w:szCs w:val="21"/>
                    </w:rPr>
                    <w:t>9</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1，2-二氯乙烷</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sz w:val="21"/>
                      <w:szCs w:val="21"/>
                    </w:rPr>
                    <w:t>5</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1，1-二氯乙烯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66</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顺-1，2-二氯乙烯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596</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反-1，2-二氯乙烯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54</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二氯甲烷</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616</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1，2-二氯丙烷</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5</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1，1，1，2-四氯乙烷</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10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1，1，2，2-四氯乙烷</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6.8</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四氯乙烯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53</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1，1，1-三氯乙烷</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840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1，1，2-三氯乙烷</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2.8</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三氯乙烯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2.8</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1，2，3-三氯丙烷</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0.5</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氯乙烯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0.43</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氯苯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270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1，2-二氯苯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560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1，4-二氯苯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乙苯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28</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苯乙烯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1290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甲苯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1200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间（对）二甲苯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570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邻二甲苯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640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硝基苯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76</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苯胺</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260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2-氯酚</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2256</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苯并［a］蒽</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15</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苯并［a］芘</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1.5</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苯并［b］荧蒽</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15</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苯并［k］荧蒽</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151</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䓛</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1293</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二苯［a，h］蒽</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1.5</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茚并［1，2，3-cd］芘</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15</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萘</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氟化物</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pStyle w:val="31"/>
                    <w:snapToGrid w:val="0"/>
                    <w:jc w:val="center"/>
                    <w:rPr>
                      <w:rFonts w:hint="default" w:ascii="Times New Roman" w:hAnsi="Times New Roman" w:eastAsia="宋体" w:cs="Times New Roman"/>
                      <w:color w:val="auto"/>
                      <w:sz w:val="21"/>
                      <w:szCs w:val="21"/>
                    </w:rPr>
                  </w:pPr>
                </w:p>
              </w:tc>
              <w:tc>
                <w:tcPr>
                  <w:tcW w:w="664" w:type="pct"/>
                  <w:noWrap w:val="0"/>
                  <w:vAlign w:val="center"/>
                </w:tcPr>
                <w:p>
                  <w:pPr>
                    <w:pStyle w:val="31"/>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石油烃</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429</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4500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0.0953</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noWrap w:val="0"/>
                  <w:vAlign w:val="center"/>
                </w:tcPr>
                <w:p>
                  <w:pPr>
                    <w:pStyle w:val="31"/>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000000"/>
                      <w:sz w:val="21"/>
                      <w:szCs w:val="21"/>
                    </w:rPr>
                    <w:t>检测</w:t>
                  </w:r>
                  <w:r>
                    <w:rPr>
                      <w:rFonts w:hint="default" w:ascii="Times New Roman" w:hAnsi="Times New Roman" w:eastAsia="宋体" w:cs="Times New Roman"/>
                      <w:bCs/>
                      <w:sz w:val="21"/>
                      <w:szCs w:val="21"/>
                    </w:rPr>
                    <w:t>点位</w:t>
                  </w:r>
                </w:p>
              </w:tc>
              <w:tc>
                <w:tcPr>
                  <w:tcW w:w="664" w:type="pct"/>
                  <w:noWrap w:val="0"/>
                  <w:vAlign w:val="center"/>
                </w:tcPr>
                <w:p>
                  <w:pPr>
                    <w:pStyle w:val="31"/>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Cs/>
                      <w:sz w:val="21"/>
                      <w:szCs w:val="21"/>
                      <w:lang w:eastAsia="zh-CN"/>
                    </w:rPr>
                    <w:t>检测</w:t>
                  </w:r>
                  <w:r>
                    <w:rPr>
                      <w:rFonts w:hint="default" w:ascii="Times New Roman" w:hAnsi="Times New Roman" w:eastAsia="宋体" w:cs="Times New Roman"/>
                      <w:bCs/>
                      <w:sz w:val="21"/>
                      <w:szCs w:val="21"/>
                    </w:rPr>
                    <w:t>因子</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监测值</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bCs/>
                      <w:sz w:val="21"/>
                      <w:szCs w:val="21"/>
                    </w:rPr>
                    <w:t>标准值</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标准指数</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超标率（%）</w:t>
                  </w:r>
                </w:p>
              </w:tc>
              <w:tc>
                <w:tcPr>
                  <w:tcW w:w="604" w:type="pct"/>
                  <w:noWrap w:val="0"/>
                  <w:vAlign w:val="center"/>
                </w:tcPr>
                <w:p>
                  <w:pPr>
                    <w:pStyle w:val="84"/>
                    <w:rPr>
                      <w:rFonts w:hint="default" w:ascii="Times New Roman" w:hAnsi="Times New Roman" w:eastAsia="宋体" w:cs="Times New Roman"/>
                      <w:sz w:val="21"/>
                      <w:szCs w:val="21"/>
                    </w:rPr>
                  </w:pPr>
                  <w:r>
                    <w:rPr>
                      <w:rFonts w:hint="default" w:ascii="Times New Roman" w:hAnsi="Times New Roman" w:eastAsia="宋体" w:cs="Times New Roman"/>
                      <w:bCs/>
                      <w:sz w:val="21"/>
                      <w:szCs w:val="21"/>
                    </w:rPr>
                    <w:t>最大超标倍数</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bCs/>
                      <w:sz w:val="21"/>
                      <w:szCs w:val="21"/>
                    </w:rPr>
                    <w:t>是否达标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restart"/>
                  <w:noWrap w:val="0"/>
                  <w:vAlign w:val="center"/>
                </w:tcPr>
                <w:p>
                  <w:pPr>
                    <w:pStyle w:val="31"/>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000000"/>
                      <w:sz w:val="21"/>
                      <w:szCs w:val="21"/>
                      <w:lang w:val="en-US" w:eastAsia="zh-CN"/>
                    </w:rPr>
                    <w:t>4#</w:t>
                  </w:r>
                  <w:r>
                    <w:rPr>
                      <w:rFonts w:hint="default" w:ascii="Times New Roman" w:hAnsi="Times New Roman" w:eastAsia="宋体" w:cs="Times New Roman"/>
                      <w:color w:val="000000"/>
                      <w:sz w:val="21"/>
                      <w:szCs w:val="21"/>
                      <w:lang w:eastAsia="zh-CN"/>
                    </w:rPr>
                    <w:t>单体柱制造车间试压循环水池附近</w:t>
                  </w:r>
                </w:p>
              </w:tc>
              <w:tc>
                <w:tcPr>
                  <w:tcW w:w="664" w:type="pct"/>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z w:val="21"/>
                      <w:szCs w:val="21"/>
                    </w:rPr>
                    <w:t>砷</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4.68</w:t>
                  </w:r>
                </w:p>
              </w:tc>
              <w:tc>
                <w:tcPr>
                  <w:tcW w:w="1058" w:type="dxa"/>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0.078</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pStyle w:val="31"/>
                    <w:snapToGrid w:val="0"/>
                    <w:jc w:val="center"/>
                    <w:rPr>
                      <w:rFonts w:hint="default" w:ascii="Times New Roman" w:hAnsi="Times New Roman" w:eastAsia="宋体" w:cs="Times New Roman"/>
                      <w:color w:val="auto"/>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z w:val="21"/>
                      <w:szCs w:val="21"/>
                    </w:rPr>
                    <w:t>镉</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0.171</w:t>
                  </w:r>
                </w:p>
              </w:tc>
              <w:tc>
                <w:tcPr>
                  <w:tcW w:w="1058" w:type="dxa"/>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65</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0.0026</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pStyle w:val="31"/>
                    <w:snapToGrid w:val="0"/>
                    <w:jc w:val="center"/>
                    <w:rPr>
                      <w:rFonts w:hint="default" w:ascii="Times New Roman" w:hAnsi="Times New Roman" w:eastAsia="宋体" w:cs="Times New Roman"/>
                      <w:color w:val="auto"/>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z w:val="21"/>
                      <w:szCs w:val="21"/>
                    </w:rPr>
                    <w:t>六价铬</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未检出</w:t>
                  </w:r>
                </w:p>
              </w:tc>
              <w:tc>
                <w:tcPr>
                  <w:tcW w:w="1058" w:type="dxa"/>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5.7</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pStyle w:val="31"/>
                    <w:snapToGrid w:val="0"/>
                    <w:jc w:val="center"/>
                    <w:rPr>
                      <w:rFonts w:hint="default" w:ascii="Times New Roman" w:hAnsi="Times New Roman" w:eastAsia="宋体" w:cs="Times New Roman"/>
                      <w:color w:val="auto"/>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z w:val="21"/>
                      <w:szCs w:val="21"/>
                    </w:rPr>
                    <w:t>铜</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58</w:t>
                  </w:r>
                </w:p>
              </w:tc>
              <w:tc>
                <w:tcPr>
                  <w:tcW w:w="1058" w:type="dxa"/>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18000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0.0032</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pStyle w:val="31"/>
                    <w:snapToGrid w:val="0"/>
                    <w:jc w:val="center"/>
                    <w:rPr>
                      <w:rFonts w:hint="default" w:ascii="Times New Roman" w:hAnsi="Times New Roman" w:eastAsia="宋体" w:cs="Times New Roman"/>
                      <w:color w:val="auto"/>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z w:val="21"/>
                      <w:szCs w:val="21"/>
                    </w:rPr>
                    <w:t>铅</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46</w:t>
                  </w:r>
                </w:p>
              </w:tc>
              <w:tc>
                <w:tcPr>
                  <w:tcW w:w="1058" w:type="dxa"/>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800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0.0575</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pStyle w:val="31"/>
                    <w:snapToGrid w:val="0"/>
                    <w:jc w:val="center"/>
                    <w:rPr>
                      <w:rFonts w:hint="default" w:ascii="Times New Roman" w:hAnsi="Times New Roman" w:eastAsia="宋体" w:cs="Times New Roman"/>
                      <w:color w:val="auto"/>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z w:val="21"/>
                      <w:szCs w:val="21"/>
                    </w:rPr>
                    <w:t>汞</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0.060</w:t>
                  </w:r>
                </w:p>
              </w:tc>
              <w:tc>
                <w:tcPr>
                  <w:tcW w:w="1058" w:type="dxa"/>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38</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0.0016</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pStyle w:val="31"/>
                    <w:snapToGrid w:val="0"/>
                    <w:jc w:val="center"/>
                    <w:rPr>
                      <w:rFonts w:hint="default" w:ascii="Times New Roman" w:hAnsi="Times New Roman" w:eastAsia="宋体" w:cs="Times New Roman"/>
                      <w:color w:val="auto"/>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z w:val="21"/>
                      <w:szCs w:val="21"/>
                    </w:rPr>
                    <w:t>镍</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36</w:t>
                  </w:r>
                </w:p>
              </w:tc>
              <w:tc>
                <w:tcPr>
                  <w:tcW w:w="1058" w:type="dxa"/>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900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0.04</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pStyle w:val="31"/>
                    <w:snapToGrid w:val="0"/>
                    <w:jc w:val="center"/>
                    <w:rPr>
                      <w:rFonts w:hint="default" w:ascii="Times New Roman" w:hAnsi="Times New Roman" w:eastAsia="宋体" w:cs="Times New Roman"/>
                      <w:color w:val="auto"/>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z w:val="21"/>
                      <w:szCs w:val="21"/>
                    </w:rPr>
                    <w:t>四氯化碳</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1058" w:type="dxa"/>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2.8</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pStyle w:val="31"/>
                    <w:snapToGrid w:val="0"/>
                    <w:jc w:val="center"/>
                    <w:rPr>
                      <w:rFonts w:hint="default" w:ascii="Times New Roman" w:hAnsi="Times New Roman" w:eastAsia="宋体" w:cs="Times New Roman"/>
                      <w:color w:val="auto"/>
                      <w:sz w:val="21"/>
                      <w:szCs w:val="21"/>
                    </w:rPr>
                  </w:pPr>
                </w:p>
                <w:p>
                  <w:pPr>
                    <w:pStyle w:val="31"/>
                    <w:snapToGrid w:val="0"/>
                    <w:jc w:val="center"/>
                    <w:rPr>
                      <w:rFonts w:hint="default" w:ascii="Times New Roman" w:hAnsi="Times New Roman" w:eastAsia="宋体" w:cs="Times New Roman"/>
                      <w:color w:val="auto"/>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z w:val="21"/>
                      <w:szCs w:val="21"/>
                    </w:rPr>
                    <w:t>氯仿</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1058" w:type="dxa"/>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bCs/>
                      <w:sz w:val="21"/>
                      <w:szCs w:val="21"/>
                    </w:rPr>
                    <w:t>0.9</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pStyle w:val="31"/>
                    <w:snapToGrid w:val="0"/>
                    <w:jc w:val="center"/>
                    <w:rPr>
                      <w:rFonts w:hint="default" w:ascii="Times New Roman" w:hAnsi="Times New Roman" w:eastAsia="宋体" w:cs="Times New Roman"/>
                      <w:color w:val="auto"/>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z w:val="21"/>
                      <w:szCs w:val="21"/>
                    </w:rPr>
                    <w:t>氯甲烷</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1058" w:type="dxa"/>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bCs/>
                      <w:sz w:val="21"/>
                      <w:szCs w:val="21"/>
                    </w:rPr>
                    <w:t>37</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pStyle w:val="31"/>
                    <w:snapToGrid w:val="0"/>
                    <w:jc w:val="center"/>
                    <w:rPr>
                      <w:rFonts w:hint="default" w:ascii="Times New Roman" w:hAnsi="Times New Roman" w:eastAsia="宋体" w:cs="Times New Roman"/>
                      <w:color w:val="auto"/>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z w:val="21"/>
                      <w:szCs w:val="21"/>
                    </w:rPr>
                    <w:t>1，1-二氯乙烷</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1058" w:type="dxa"/>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pStyle w:val="31"/>
                    <w:snapToGrid w:val="0"/>
                    <w:jc w:val="center"/>
                    <w:rPr>
                      <w:rFonts w:hint="default" w:ascii="Times New Roman" w:hAnsi="Times New Roman" w:eastAsia="宋体" w:cs="Times New Roman"/>
                      <w:color w:val="auto"/>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z w:val="21"/>
                      <w:szCs w:val="21"/>
                    </w:rPr>
                    <w:t>1，2-二氯乙烷</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1058" w:type="dxa"/>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pStyle w:val="31"/>
                    <w:snapToGrid w:val="0"/>
                    <w:jc w:val="center"/>
                    <w:rPr>
                      <w:rFonts w:hint="default" w:ascii="Times New Roman" w:hAnsi="Times New Roman" w:eastAsia="宋体" w:cs="Times New Roman"/>
                      <w:color w:val="auto"/>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z w:val="21"/>
                      <w:szCs w:val="21"/>
                    </w:rPr>
                    <w:t>1，1-二氯乙烯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1058" w:type="dxa"/>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bCs/>
                      <w:sz w:val="21"/>
                      <w:szCs w:val="21"/>
                    </w:rPr>
                    <w:t>66</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pStyle w:val="31"/>
                    <w:snapToGrid w:val="0"/>
                    <w:jc w:val="center"/>
                    <w:rPr>
                      <w:rFonts w:hint="default" w:ascii="Times New Roman" w:hAnsi="Times New Roman" w:eastAsia="宋体" w:cs="Times New Roman"/>
                      <w:color w:val="auto"/>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z w:val="21"/>
                      <w:szCs w:val="21"/>
                    </w:rPr>
                    <w:t>顺-1，2-二氯乙烯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1058" w:type="dxa"/>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bCs/>
                      <w:sz w:val="21"/>
                      <w:szCs w:val="21"/>
                    </w:rPr>
                    <w:t>596</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pStyle w:val="31"/>
                    <w:snapToGrid w:val="0"/>
                    <w:jc w:val="center"/>
                    <w:rPr>
                      <w:rFonts w:hint="default" w:ascii="Times New Roman" w:hAnsi="Times New Roman" w:eastAsia="宋体" w:cs="Times New Roman"/>
                      <w:color w:val="auto"/>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z w:val="21"/>
                      <w:szCs w:val="21"/>
                    </w:rPr>
                    <w:t>反-1，2-二氯乙烯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1058" w:type="dxa"/>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bCs/>
                      <w:sz w:val="21"/>
                      <w:szCs w:val="21"/>
                    </w:rPr>
                    <w:t>54</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pStyle w:val="31"/>
                    <w:snapToGrid w:val="0"/>
                    <w:jc w:val="center"/>
                    <w:rPr>
                      <w:rFonts w:hint="default" w:ascii="Times New Roman" w:hAnsi="Times New Roman" w:eastAsia="宋体" w:cs="Times New Roman"/>
                      <w:color w:val="auto"/>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z w:val="21"/>
                      <w:szCs w:val="21"/>
                    </w:rPr>
                    <w:t>二氯甲烷</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1058" w:type="dxa"/>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bCs/>
                      <w:sz w:val="21"/>
                      <w:szCs w:val="21"/>
                    </w:rPr>
                    <w:t>616</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pStyle w:val="31"/>
                    <w:snapToGrid w:val="0"/>
                    <w:jc w:val="center"/>
                    <w:rPr>
                      <w:rFonts w:hint="default" w:ascii="Times New Roman" w:hAnsi="Times New Roman" w:eastAsia="宋体" w:cs="Times New Roman"/>
                      <w:color w:val="auto"/>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z w:val="21"/>
                      <w:szCs w:val="21"/>
                    </w:rPr>
                    <w:t>1，2-二氯丙烷</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1058" w:type="dxa"/>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bCs/>
                      <w:sz w:val="21"/>
                      <w:szCs w:val="21"/>
                    </w:rPr>
                    <w:t>5</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pStyle w:val="31"/>
                    <w:snapToGrid w:val="0"/>
                    <w:jc w:val="center"/>
                    <w:rPr>
                      <w:rFonts w:hint="default" w:ascii="Times New Roman" w:hAnsi="Times New Roman" w:eastAsia="宋体" w:cs="Times New Roman"/>
                      <w:color w:val="auto"/>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z w:val="21"/>
                      <w:szCs w:val="21"/>
                    </w:rPr>
                    <w:t>1，1，1，2-四氯乙烷</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1058" w:type="dxa"/>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bCs/>
                      <w:sz w:val="21"/>
                      <w:szCs w:val="21"/>
                    </w:rPr>
                    <w:t>10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pStyle w:val="31"/>
                    <w:snapToGrid w:val="0"/>
                    <w:jc w:val="center"/>
                    <w:rPr>
                      <w:rFonts w:hint="default" w:ascii="Times New Roman" w:hAnsi="Times New Roman" w:eastAsia="宋体" w:cs="Times New Roman"/>
                      <w:color w:val="auto"/>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z w:val="21"/>
                      <w:szCs w:val="21"/>
                    </w:rPr>
                    <w:t>1，1，2，2-四氯乙烷</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1058" w:type="dxa"/>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bCs/>
                      <w:sz w:val="21"/>
                      <w:szCs w:val="21"/>
                    </w:rPr>
                    <w:t>6.8</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pStyle w:val="31"/>
                    <w:snapToGrid w:val="0"/>
                    <w:jc w:val="center"/>
                    <w:rPr>
                      <w:rFonts w:hint="default" w:ascii="Times New Roman" w:hAnsi="Times New Roman" w:eastAsia="宋体" w:cs="Times New Roman"/>
                      <w:color w:val="auto"/>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z w:val="21"/>
                      <w:szCs w:val="21"/>
                    </w:rPr>
                    <w:t>四氯乙烯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1058" w:type="dxa"/>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bCs/>
                      <w:sz w:val="21"/>
                      <w:szCs w:val="21"/>
                    </w:rPr>
                    <w:t>53</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pStyle w:val="31"/>
                    <w:snapToGrid w:val="0"/>
                    <w:jc w:val="center"/>
                    <w:rPr>
                      <w:rFonts w:hint="default" w:ascii="Times New Roman" w:hAnsi="Times New Roman" w:eastAsia="宋体" w:cs="Times New Roman"/>
                      <w:color w:val="auto"/>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z w:val="21"/>
                      <w:szCs w:val="21"/>
                    </w:rPr>
                    <w:t>1，1，1-三氯乙烷</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1058" w:type="dxa"/>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bCs/>
                      <w:sz w:val="21"/>
                      <w:szCs w:val="21"/>
                    </w:rPr>
                    <w:t>840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pStyle w:val="31"/>
                    <w:snapToGrid w:val="0"/>
                    <w:jc w:val="center"/>
                    <w:rPr>
                      <w:rFonts w:hint="default" w:ascii="Times New Roman" w:hAnsi="Times New Roman" w:eastAsia="宋体" w:cs="Times New Roman"/>
                      <w:color w:val="auto"/>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z w:val="21"/>
                      <w:szCs w:val="21"/>
                    </w:rPr>
                    <w:t>1，1，2-三氯乙烷</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1058" w:type="dxa"/>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2.8</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pStyle w:val="31"/>
                    <w:snapToGrid w:val="0"/>
                    <w:jc w:val="center"/>
                    <w:rPr>
                      <w:rFonts w:hint="default" w:ascii="Times New Roman" w:hAnsi="Times New Roman" w:eastAsia="宋体" w:cs="Times New Roman"/>
                      <w:color w:val="auto"/>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z w:val="21"/>
                      <w:szCs w:val="21"/>
                    </w:rPr>
                    <w:t>三氯乙烯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1058" w:type="dxa"/>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2.8</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pStyle w:val="31"/>
                    <w:snapToGrid w:val="0"/>
                    <w:jc w:val="center"/>
                    <w:rPr>
                      <w:rFonts w:hint="default" w:ascii="Times New Roman" w:hAnsi="Times New Roman" w:eastAsia="宋体" w:cs="Times New Roman"/>
                      <w:color w:val="auto"/>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z w:val="21"/>
                      <w:szCs w:val="21"/>
                    </w:rPr>
                    <w:t>1，2，3-三氯丙烷</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1058" w:type="dxa"/>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0.5</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pStyle w:val="31"/>
                    <w:snapToGrid w:val="0"/>
                    <w:jc w:val="center"/>
                    <w:rPr>
                      <w:rFonts w:hint="default" w:ascii="Times New Roman" w:hAnsi="Times New Roman" w:eastAsia="宋体" w:cs="Times New Roman"/>
                      <w:color w:val="auto"/>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z w:val="21"/>
                      <w:szCs w:val="21"/>
                    </w:rPr>
                    <w:t>氯乙烯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1058" w:type="dxa"/>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0.43</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pStyle w:val="31"/>
                    <w:snapToGrid w:val="0"/>
                    <w:jc w:val="center"/>
                    <w:rPr>
                      <w:rFonts w:hint="default" w:ascii="Times New Roman" w:hAnsi="Times New Roman" w:eastAsia="宋体" w:cs="Times New Roman"/>
                      <w:color w:val="auto"/>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z w:val="21"/>
                      <w:szCs w:val="21"/>
                    </w:rPr>
                    <w:t>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1058" w:type="dxa"/>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pStyle w:val="31"/>
                    <w:snapToGrid w:val="0"/>
                    <w:jc w:val="center"/>
                    <w:rPr>
                      <w:rFonts w:hint="default" w:ascii="Times New Roman" w:hAnsi="Times New Roman" w:eastAsia="宋体" w:cs="Times New Roman"/>
                      <w:color w:val="auto"/>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z w:val="21"/>
                      <w:szCs w:val="21"/>
                    </w:rPr>
                    <w:t>氯苯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1058" w:type="dxa"/>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270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pStyle w:val="31"/>
                    <w:snapToGrid w:val="0"/>
                    <w:jc w:val="center"/>
                    <w:rPr>
                      <w:rFonts w:hint="default" w:ascii="Times New Roman" w:hAnsi="Times New Roman" w:eastAsia="宋体" w:cs="Times New Roman"/>
                      <w:color w:val="auto"/>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z w:val="21"/>
                      <w:szCs w:val="21"/>
                    </w:rPr>
                    <w:t>1，2-二氯苯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1058" w:type="dxa"/>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560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pStyle w:val="31"/>
                    <w:snapToGrid w:val="0"/>
                    <w:jc w:val="center"/>
                    <w:rPr>
                      <w:rFonts w:hint="default" w:ascii="Times New Roman" w:hAnsi="Times New Roman" w:eastAsia="宋体" w:cs="Times New Roman"/>
                      <w:color w:val="auto"/>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z w:val="21"/>
                      <w:szCs w:val="21"/>
                    </w:rPr>
                    <w:t>1，4-二氯苯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1058" w:type="dxa"/>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pStyle w:val="31"/>
                    <w:snapToGrid w:val="0"/>
                    <w:jc w:val="center"/>
                    <w:rPr>
                      <w:rFonts w:hint="default" w:ascii="Times New Roman" w:hAnsi="Times New Roman" w:eastAsia="宋体" w:cs="Times New Roman"/>
                      <w:color w:val="auto"/>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z w:val="21"/>
                      <w:szCs w:val="21"/>
                    </w:rPr>
                    <w:t>乙苯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1058" w:type="dxa"/>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28</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pStyle w:val="31"/>
                    <w:snapToGrid w:val="0"/>
                    <w:jc w:val="center"/>
                    <w:rPr>
                      <w:rFonts w:hint="default" w:ascii="Times New Roman" w:hAnsi="Times New Roman" w:eastAsia="宋体" w:cs="Times New Roman"/>
                      <w:color w:val="auto"/>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z w:val="21"/>
                      <w:szCs w:val="21"/>
                    </w:rPr>
                    <w:t>苯乙烯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1058" w:type="dxa"/>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1290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pStyle w:val="31"/>
                    <w:snapToGrid w:val="0"/>
                    <w:jc w:val="center"/>
                    <w:rPr>
                      <w:rFonts w:hint="default" w:ascii="Times New Roman" w:hAnsi="Times New Roman" w:eastAsia="宋体" w:cs="Times New Roman"/>
                      <w:color w:val="auto"/>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z w:val="21"/>
                      <w:szCs w:val="21"/>
                    </w:rPr>
                    <w:t>甲苯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1058" w:type="dxa"/>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1200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pStyle w:val="31"/>
                    <w:snapToGrid w:val="0"/>
                    <w:jc w:val="center"/>
                    <w:rPr>
                      <w:rFonts w:hint="default" w:ascii="Times New Roman" w:hAnsi="Times New Roman" w:eastAsia="宋体" w:cs="Times New Roman"/>
                      <w:color w:val="auto"/>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z w:val="21"/>
                      <w:szCs w:val="21"/>
                    </w:rPr>
                    <w:t>间（对）二甲苯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1058" w:type="dxa"/>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570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pStyle w:val="31"/>
                    <w:snapToGrid w:val="0"/>
                    <w:jc w:val="center"/>
                    <w:rPr>
                      <w:rFonts w:hint="default" w:ascii="Times New Roman" w:hAnsi="Times New Roman" w:eastAsia="宋体" w:cs="Times New Roman"/>
                      <w:color w:val="auto"/>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z w:val="21"/>
                      <w:szCs w:val="21"/>
                    </w:rPr>
                    <w:t>邻二甲苯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1058" w:type="dxa"/>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640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pStyle w:val="31"/>
                    <w:snapToGrid w:val="0"/>
                    <w:jc w:val="center"/>
                    <w:rPr>
                      <w:rFonts w:hint="default" w:ascii="Times New Roman" w:hAnsi="Times New Roman" w:eastAsia="宋体" w:cs="Times New Roman"/>
                      <w:color w:val="auto"/>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z w:val="21"/>
                      <w:szCs w:val="21"/>
                    </w:rPr>
                    <w:t>硝基苯</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1058" w:type="dxa"/>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76</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pStyle w:val="31"/>
                    <w:snapToGrid w:val="0"/>
                    <w:jc w:val="center"/>
                    <w:rPr>
                      <w:rFonts w:hint="default" w:ascii="Times New Roman" w:hAnsi="Times New Roman" w:eastAsia="宋体" w:cs="Times New Roman"/>
                      <w:color w:val="auto"/>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z w:val="21"/>
                      <w:szCs w:val="21"/>
                    </w:rPr>
                    <w:t>苯胺</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1058" w:type="dxa"/>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260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pStyle w:val="31"/>
                    <w:snapToGrid w:val="0"/>
                    <w:jc w:val="center"/>
                    <w:rPr>
                      <w:rFonts w:hint="default" w:ascii="Times New Roman" w:hAnsi="Times New Roman" w:eastAsia="宋体" w:cs="Times New Roman"/>
                      <w:color w:val="auto"/>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z w:val="21"/>
                      <w:szCs w:val="21"/>
                    </w:rPr>
                    <w:t>2-氯酚</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1058" w:type="dxa"/>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2256</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pStyle w:val="31"/>
                    <w:snapToGrid w:val="0"/>
                    <w:jc w:val="center"/>
                    <w:rPr>
                      <w:rFonts w:hint="default" w:ascii="Times New Roman" w:hAnsi="Times New Roman" w:eastAsia="宋体" w:cs="Times New Roman"/>
                      <w:color w:val="auto"/>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z w:val="21"/>
                      <w:szCs w:val="21"/>
                    </w:rPr>
                    <w:t>苯并［a］蒽</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1058" w:type="dxa"/>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15</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pStyle w:val="31"/>
                    <w:snapToGrid w:val="0"/>
                    <w:jc w:val="center"/>
                    <w:rPr>
                      <w:rFonts w:hint="default" w:ascii="Times New Roman" w:hAnsi="Times New Roman" w:eastAsia="宋体" w:cs="Times New Roman"/>
                      <w:color w:val="auto"/>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z w:val="21"/>
                      <w:szCs w:val="21"/>
                    </w:rPr>
                    <w:t>苯并［a］芘</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1058" w:type="dxa"/>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1.5</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pStyle w:val="31"/>
                    <w:snapToGrid w:val="0"/>
                    <w:jc w:val="center"/>
                    <w:rPr>
                      <w:rFonts w:hint="default" w:ascii="Times New Roman" w:hAnsi="Times New Roman" w:eastAsia="宋体" w:cs="Times New Roman"/>
                      <w:color w:val="auto"/>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z w:val="21"/>
                      <w:szCs w:val="21"/>
                    </w:rPr>
                    <w:t>苯并［b］荧蒽</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1058" w:type="dxa"/>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15</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pStyle w:val="31"/>
                    <w:snapToGrid w:val="0"/>
                    <w:jc w:val="center"/>
                    <w:rPr>
                      <w:rFonts w:hint="default" w:ascii="Times New Roman" w:hAnsi="Times New Roman" w:eastAsia="宋体" w:cs="Times New Roman"/>
                      <w:color w:val="auto"/>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z w:val="21"/>
                      <w:szCs w:val="21"/>
                    </w:rPr>
                    <w:t>苯并［k］荧蒽</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1058" w:type="dxa"/>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151</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pStyle w:val="31"/>
                    <w:snapToGrid w:val="0"/>
                    <w:jc w:val="center"/>
                    <w:rPr>
                      <w:rFonts w:hint="default" w:ascii="Times New Roman" w:hAnsi="Times New Roman" w:eastAsia="宋体" w:cs="Times New Roman"/>
                      <w:color w:val="auto"/>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z w:val="21"/>
                      <w:szCs w:val="21"/>
                    </w:rPr>
                    <w:t>䓛</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1058" w:type="dxa"/>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1293</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pStyle w:val="31"/>
                    <w:snapToGrid w:val="0"/>
                    <w:jc w:val="center"/>
                    <w:rPr>
                      <w:rFonts w:hint="default" w:ascii="Times New Roman" w:hAnsi="Times New Roman" w:eastAsia="宋体" w:cs="Times New Roman"/>
                      <w:color w:val="auto"/>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z w:val="21"/>
                      <w:szCs w:val="21"/>
                    </w:rPr>
                    <w:t>二苯［a，h］蒽</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1058" w:type="dxa"/>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1.5</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pStyle w:val="31"/>
                    <w:snapToGrid w:val="0"/>
                    <w:jc w:val="center"/>
                    <w:rPr>
                      <w:rFonts w:hint="default" w:ascii="Times New Roman" w:hAnsi="Times New Roman" w:eastAsia="宋体" w:cs="Times New Roman"/>
                      <w:color w:val="auto"/>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z w:val="21"/>
                      <w:szCs w:val="21"/>
                    </w:rPr>
                    <w:t>茚并［1，2，3-cd］芘</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1058" w:type="dxa"/>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15</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pStyle w:val="31"/>
                    <w:snapToGrid w:val="0"/>
                    <w:jc w:val="center"/>
                    <w:rPr>
                      <w:rFonts w:hint="default" w:ascii="Times New Roman" w:hAnsi="Times New Roman" w:eastAsia="宋体" w:cs="Times New Roman"/>
                      <w:color w:val="auto"/>
                      <w:sz w:val="21"/>
                      <w:szCs w:val="21"/>
                    </w:rPr>
                  </w:pPr>
                </w:p>
              </w:tc>
              <w:tc>
                <w:tcPr>
                  <w:tcW w:w="664" w:type="pct"/>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z w:val="21"/>
                      <w:szCs w:val="21"/>
                    </w:rPr>
                    <w:t>萘</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未检出</w:t>
                  </w:r>
                </w:p>
              </w:tc>
              <w:tc>
                <w:tcPr>
                  <w:tcW w:w="1058" w:type="dxa"/>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4" w:type="pct"/>
                  <w:vMerge w:val="continue"/>
                  <w:noWrap w:val="0"/>
                  <w:vAlign w:val="center"/>
                </w:tcPr>
                <w:p>
                  <w:pPr>
                    <w:pStyle w:val="31"/>
                    <w:snapToGrid w:val="0"/>
                    <w:jc w:val="center"/>
                    <w:rPr>
                      <w:rFonts w:hint="default" w:ascii="Times New Roman" w:hAnsi="Times New Roman" w:eastAsia="宋体" w:cs="Times New Roman"/>
                      <w:color w:val="auto"/>
                      <w:sz w:val="21"/>
                      <w:szCs w:val="21"/>
                    </w:rPr>
                  </w:pPr>
                </w:p>
              </w:tc>
              <w:tc>
                <w:tcPr>
                  <w:tcW w:w="664" w:type="pct"/>
                  <w:noWrap w:val="0"/>
                  <w:vAlign w:val="center"/>
                </w:tcPr>
                <w:p>
                  <w:pPr>
                    <w:pStyle w:val="31"/>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石油烃</w:t>
                  </w:r>
                </w:p>
              </w:tc>
              <w:tc>
                <w:tcPr>
                  <w:tcW w:w="645"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394</w:t>
                  </w:r>
                </w:p>
              </w:tc>
              <w:tc>
                <w:tcPr>
                  <w:tcW w:w="1058" w:type="dxa"/>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4500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0.876</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p>
              </w:tc>
              <w:tc>
                <w:tcPr>
                  <w:tcW w:w="604" w:type="pct"/>
                  <w:noWrap w:val="0"/>
                  <w:vAlign w:val="center"/>
                </w:tcPr>
                <w:p>
                  <w:pPr>
                    <w:widowControl/>
                    <w:adjustRightInd w:val="0"/>
                    <w:snapToGrid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w:t>
                  </w:r>
                </w:p>
              </w:tc>
            </w:tr>
          </w:tbl>
          <w:p>
            <w:pPr>
              <w:spacing w:line="360" w:lineRule="auto"/>
              <w:ind w:firstLine="480" w:firstLineChars="200"/>
              <w:rPr>
                <w:rFonts w:ascii="Times New Roman" w:hAnsi="Times New Roman"/>
                <w:bCs/>
                <w:sz w:val="24"/>
              </w:rPr>
            </w:pPr>
            <w:r>
              <w:rPr>
                <w:rFonts w:hint="eastAsia"/>
                <w:sz w:val="24"/>
                <w:szCs w:val="24"/>
                <w:lang w:eastAsia="zh-CN"/>
              </w:rPr>
              <w:t>检</w:t>
            </w:r>
            <w:r>
              <w:rPr>
                <w:rFonts w:ascii="Times New Roman" w:hAnsi="Times New Roman"/>
                <w:sz w:val="24"/>
                <w:szCs w:val="24"/>
              </w:rPr>
              <w:t>测结果表明，本项目</w:t>
            </w:r>
            <w:r>
              <w:rPr>
                <w:rFonts w:hint="eastAsia"/>
                <w:sz w:val="24"/>
                <w:szCs w:val="24"/>
                <w:lang w:eastAsia="zh-CN"/>
              </w:rPr>
              <w:t>厂区</w:t>
            </w:r>
            <w:r>
              <w:rPr>
                <w:rFonts w:ascii="Times New Roman" w:hAnsi="Times New Roman"/>
                <w:sz w:val="24"/>
                <w:szCs w:val="24"/>
              </w:rPr>
              <w:t>设置的</w:t>
            </w:r>
            <w:r>
              <w:rPr>
                <w:rFonts w:hint="eastAsia"/>
                <w:sz w:val="24"/>
                <w:szCs w:val="24"/>
                <w:lang w:eastAsia="zh-CN"/>
              </w:rPr>
              <w:t>检测</w:t>
            </w:r>
            <w:r>
              <w:rPr>
                <w:rFonts w:ascii="Times New Roman" w:hAnsi="Times New Roman"/>
                <w:sz w:val="24"/>
                <w:szCs w:val="24"/>
              </w:rPr>
              <w:t>点位的各监测因子能够满足《土壤环境质量-建设用地土壤污染风险管控标准（试行）》(GB36600—2018)第二类用地筛选值</w:t>
            </w:r>
            <w:r>
              <w:rPr>
                <w:rFonts w:hint="eastAsia" w:ascii="Times New Roman" w:hAnsi="Times New Roman"/>
                <w:sz w:val="24"/>
                <w:szCs w:val="24"/>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7984" w:hRule="atLeast"/>
        </w:trPr>
        <w:tc>
          <w:tcPr>
            <w:tcW w:w="9286" w:type="dxa"/>
          </w:tcPr>
          <w:p>
            <w:pPr>
              <w:adjustRightInd w:val="0"/>
              <w:snapToGrid w:val="0"/>
              <w:spacing w:beforeLines="50" w:line="360" w:lineRule="auto"/>
              <w:rPr>
                <w:rFonts w:ascii="Times New Roman" w:hAnsi="Times New Roman"/>
                <w:b/>
                <w:sz w:val="28"/>
                <w:szCs w:val="28"/>
              </w:rPr>
            </w:pPr>
            <w:r>
              <w:rPr>
                <w:rFonts w:ascii="Times New Roman" w:hAnsi="Times New Roman"/>
                <w:b/>
                <w:sz w:val="28"/>
                <w:szCs w:val="28"/>
              </w:rPr>
              <w:t>主要环境保护目标(列出名单及保护级别)：</w:t>
            </w:r>
          </w:p>
          <w:p>
            <w:pPr>
              <w:spacing w:line="360" w:lineRule="auto"/>
              <w:ind w:firstLine="480" w:firstLineChars="200"/>
              <w:rPr>
                <w:rFonts w:ascii="Times New Roman" w:hAnsi="Times New Roman"/>
                <w:sz w:val="24"/>
              </w:rPr>
            </w:pPr>
            <w:r>
              <w:rPr>
                <w:rFonts w:ascii="Times New Roman" w:hAnsi="Times New Roman"/>
                <w:sz w:val="24"/>
              </w:rPr>
              <w:t>项目周围环境保护目标及其距离见下表</w:t>
            </w:r>
            <w:r>
              <w:rPr>
                <w:rFonts w:hint="eastAsia" w:ascii="Times New Roman" w:hAnsi="Times New Roman"/>
                <w:sz w:val="24"/>
              </w:rPr>
              <w:t>：</w:t>
            </w:r>
          </w:p>
          <w:p>
            <w:pPr>
              <w:pStyle w:val="7"/>
              <w:spacing w:beforeLines="50"/>
              <w:jc w:val="center"/>
              <w:rPr>
                <w:rFonts w:hint="default" w:ascii="Times New Roman" w:hAnsi="宋体" w:cs="Times New Roman"/>
                <w:b/>
                <w:bCs w:val="0"/>
                <w:sz w:val="24"/>
                <w:szCs w:val="24"/>
              </w:rPr>
            </w:pPr>
            <w:r>
              <w:rPr>
                <w:rFonts w:hint="eastAsia" w:ascii="Times New Roman" w:hAnsi="宋体" w:cs="Times New Roman"/>
                <w:b/>
                <w:bCs w:val="0"/>
                <w:sz w:val="24"/>
                <w:szCs w:val="24"/>
              </w:rPr>
              <w:t>表</w:t>
            </w:r>
            <w:r>
              <w:rPr>
                <w:rFonts w:hint="eastAsia" w:ascii="Times New Roman" w:hAnsi="宋体" w:cs="Times New Roman"/>
                <w:b/>
                <w:bCs w:val="0"/>
                <w:sz w:val="24"/>
                <w:szCs w:val="24"/>
                <w:lang w:val="en-US" w:eastAsia="zh-CN"/>
              </w:rPr>
              <w:t>1</w:t>
            </w:r>
            <w:r>
              <w:rPr>
                <w:rFonts w:hint="eastAsia" w:hAnsi="宋体" w:cs="Times New Roman"/>
                <w:b/>
                <w:bCs w:val="0"/>
                <w:sz w:val="24"/>
                <w:szCs w:val="24"/>
                <w:lang w:val="en-US" w:eastAsia="zh-CN"/>
              </w:rPr>
              <w:t>2</w:t>
            </w:r>
            <w:r>
              <w:rPr>
                <w:rFonts w:hint="default" w:ascii="Times New Roman" w:hAnsi="宋体" w:cs="Times New Roman"/>
                <w:b/>
                <w:bCs w:val="0"/>
                <w:sz w:val="24"/>
                <w:szCs w:val="24"/>
              </w:rPr>
              <w:t xml:space="preserve">  </w:t>
            </w:r>
            <w:r>
              <w:rPr>
                <w:rFonts w:hint="eastAsia" w:ascii="Times New Roman" w:hAnsi="宋体" w:cs="Times New Roman"/>
                <w:b/>
                <w:bCs w:val="0"/>
                <w:sz w:val="24"/>
                <w:szCs w:val="24"/>
              </w:rPr>
              <w:t>本项目周围主要环境保护目标</w:t>
            </w:r>
          </w:p>
          <w:tbl>
            <w:tblPr>
              <w:tblStyle w:val="23"/>
              <w:tblW w:w="5000"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108" w:type="dxa"/>
                <w:bottom w:w="0" w:type="dxa"/>
                <w:right w:w="108" w:type="dxa"/>
              </w:tblCellMar>
            </w:tblPr>
            <w:tblGrid>
              <w:gridCol w:w="1097"/>
              <w:gridCol w:w="34"/>
              <w:gridCol w:w="1277"/>
              <w:gridCol w:w="1277"/>
              <w:gridCol w:w="853"/>
              <w:gridCol w:w="281"/>
              <w:gridCol w:w="853"/>
              <w:gridCol w:w="423"/>
              <w:gridCol w:w="562"/>
              <w:gridCol w:w="370"/>
              <w:gridCol w:w="764"/>
              <w:gridCol w:w="225"/>
              <w:gridCol w:w="1054"/>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40" w:hRule="atLeast"/>
                <w:jc w:val="center"/>
              </w:trPr>
              <w:tc>
                <w:tcPr>
                  <w:tcW w:w="5000" w:type="pct"/>
                  <w:gridSpan w:val="13"/>
                  <w:tcBorders>
                    <w:top w:val="single" w:color="000000" w:sz="12" w:space="0"/>
                    <w:left w:val="nil"/>
                    <w:bottom w:val="single" w:color="auto" w:sz="4" w:space="0"/>
                    <w:right w:val="nil"/>
                  </w:tcBorders>
                  <w:vAlign w:val="center"/>
                </w:tcPr>
                <w:p>
                  <w:pPr>
                    <w:adjustRightInd w:val="0"/>
                    <w:snapToGrid w:val="0"/>
                    <w:jc w:val="center"/>
                    <w:rPr>
                      <w:rFonts w:ascii="Times New Roman" w:hAnsi="Times New Roman"/>
                      <w:b/>
                      <w:bCs/>
                      <w:szCs w:val="21"/>
                    </w:rPr>
                  </w:pPr>
                  <w:r>
                    <w:rPr>
                      <w:rFonts w:ascii="Times New Roman" w:hAnsi="Times New Roman"/>
                      <w:b/>
                      <w:bCs/>
                      <w:szCs w:val="21"/>
                    </w:rPr>
                    <w:t>环境空气保护目标</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40" w:hRule="atLeast"/>
                <w:jc w:val="center"/>
              </w:trPr>
              <w:tc>
                <w:tcPr>
                  <w:tcW w:w="605" w:type="pct"/>
                  <w:vMerge w:val="restart"/>
                  <w:tcBorders>
                    <w:top w:val="single" w:color="auto" w:sz="4" w:space="0"/>
                    <w:left w:val="nil"/>
                    <w:bottom w:val="single" w:color="000000" w:sz="2" w:space="0"/>
                    <w:right w:val="single" w:color="auto" w:sz="4" w:space="0"/>
                  </w:tcBorders>
                  <w:vAlign w:val="center"/>
                </w:tcPr>
                <w:p>
                  <w:pPr>
                    <w:adjustRightInd w:val="0"/>
                    <w:snapToGrid w:val="0"/>
                    <w:jc w:val="center"/>
                    <w:rPr>
                      <w:rFonts w:ascii="Times New Roman" w:hAnsi="Times New Roman"/>
                      <w:szCs w:val="21"/>
                    </w:rPr>
                  </w:pPr>
                  <w:r>
                    <w:rPr>
                      <w:rFonts w:ascii="Times New Roman" w:hAnsi="Times New Roman"/>
                      <w:szCs w:val="21"/>
                    </w:rPr>
                    <w:t>名称</w:t>
                  </w:r>
                </w:p>
              </w:tc>
              <w:tc>
                <w:tcPr>
                  <w:tcW w:w="1427" w:type="pct"/>
                  <w:gridSpan w:val="3"/>
                  <w:tcBorders>
                    <w:top w:val="single" w:color="auto" w:sz="4" w:space="0"/>
                    <w:left w:val="single" w:color="auto" w:sz="4" w:space="0"/>
                    <w:bottom w:val="single" w:color="000000" w:sz="2" w:space="0"/>
                    <w:right w:val="single" w:color="000000" w:sz="2" w:space="0"/>
                  </w:tcBorders>
                  <w:vAlign w:val="center"/>
                </w:tcPr>
                <w:p>
                  <w:pPr>
                    <w:adjustRightInd w:val="0"/>
                    <w:snapToGrid w:val="0"/>
                    <w:jc w:val="center"/>
                    <w:rPr>
                      <w:rFonts w:ascii="Times New Roman" w:hAnsi="Times New Roman"/>
                      <w:szCs w:val="21"/>
                    </w:rPr>
                  </w:pPr>
                  <w:r>
                    <w:rPr>
                      <w:rFonts w:ascii="Times New Roman" w:hAnsi="Times New Roman"/>
                      <w:szCs w:val="21"/>
                    </w:rPr>
                    <w:t>坐标</w:t>
                  </w:r>
                </w:p>
              </w:tc>
              <w:tc>
                <w:tcPr>
                  <w:tcW w:w="470" w:type="pct"/>
                  <w:vMerge w:val="restart"/>
                  <w:tcBorders>
                    <w:top w:val="single" w:color="auto" w:sz="4" w:space="0"/>
                    <w:left w:val="single" w:color="000000" w:sz="2" w:space="0"/>
                    <w:bottom w:val="single" w:color="000000" w:sz="2" w:space="0"/>
                    <w:right w:val="single" w:color="000000" w:sz="2" w:space="0"/>
                  </w:tcBorders>
                  <w:vAlign w:val="center"/>
                </w:tcPr>
                <w:p>
                  <w:pPr>
                    <w:adjustRightInd w:val="0"/>
                    <w:snapToGrid w:val="0"/>
                    <w:jc w:val="center"/>
                    <w:rPr>
                      <w:rFonts w:ascii="Times New Roman" w:hAnsi="Times New Roman"/>
                      <w:szCs w:val="21"/>
                    </w:rPr>
                  </w:pPr>
                  <w:r>
                    <w:rPr>
                      <w:rFonts w:ascii="Times New Roman" w:hAnsi="Times New Roman"/>
                      <w:szCs w:val="21"/>
                    </w:rPr>
                    <w:t>保护</w:t>
                  </w:r>
                </w:p>
                <w:p>
                  <w:pPr>
                    <w:adjustRightInd w:val="0"/>
                    <w:snapToGrid w:val="0"/>
                    <w:jc w:val="center"/>
                    <w:rPr>
                      <w:rFonts w:ascii="Times New Roman" w:hAnsi="Times New Roman"/>
                      <w:szCs w:val="21"/>
                    </w:rPr>
                  </w:pPr>
                  <w:r>
                    <w:rPr>
                      <w:rFonts w:ascii="Times New Roman" w:hAnsi="Times New Roman"/>
                      <w:szCs w:val="21"/>
                    </w:rPr>
                    <w:t>对象</w:t>
                  </w:r>
                </w:p>
              </w:tc>
              <w:tc>
                <w:tcPr>
                  <w:tcW w:w="625" w:type="pct"/>
                  <w:gridSpan w:val="2"/>
                  <w:vMerge w:val="restart"/>
                  <w:tcBorders>
                    <w:top w:val="single" w:color="auto" w:sz="4" w:space="0"/>
                    <w:left w:val="single" w:color="000000" w:sz="2" w:space="0"/>
                    <w:bottom w:val="single" w:color="000000" w:sz="2" w:space="0"/>
                    <w:right w:val="single" w:color="auto" w:sz="4" w:space="0"/>
                  </w:tcBorders>
                  <w:vAlign w:val="center"/>
                </w:tcPr>
                <w:p>
                  <w:pPr>
                    <w:adjustRightInd w:val="0"/>
                    <w:snapToGrid w:val="0"/>
                    <w:jc w:val="center"/>
                    <w:rPr>
                      <w:rFonts w:ascii="Times New Roman" w:hAnsi="Times New Roman"/>
                      <w:szCs w:val="21"/>
                    </w:rPr>
                  </w:pPr>
                  <w:r>
                    <w:rPr>
                      <w:rFonts w:ascii="Times New Roman" w:hAnsi="Times New Roman"/>
                      <w:szCs w:val="21"/>
                    </w:rPr>
                    <w:t>保护内容</w:t>
                  </w:r>
                </w:p>
              </w:tc>
              <w:tc>
                <w:tcPr>
                  <w:tcW w:w="543" w:type="pct"/>
                  <w:gridSpan w:val="2"/>
                  <w:vMerge w:val="restart"/>
                  <w:tcBorders>
                    <w:top w:val="single" w:color="auto" w:sz="4" w:space="0"/>
                    <w:left w:val="single" w:color="000000" w:sz="2" w:space="0"/>
                    <w:bottom w:val="single" w:color="000000" w:sz="2" w:space="0"/>
                    <w:right w:val="single" w:color="auto" w:sz="4" w:space="0"/>
                  </w:tcBorders>
                  <w:vAlign w:val="center"/>
                </w:tcPr>
                <w:p>
                  <w:pPr>
                    <w:adjustRightInd w:val="0"/>
                    <w:snapToGrid w:val="0"/>
                    <w:jc w:val="center"/>
                    <w:rPr>
                      <w:rFonts w:ascii="Times New Roman" w:hAnsi="Times New Roman"/>
                      <w:szCs w:val="21"/>
                    </w:rPr>
                  </w:pPr>
                  <w:r>
                    <w:rPr>
                      <w:rFonts w:ascii="Times New Roman" w:hAnsi="Times New Roman"/>
                      <w:szCs w:val="21"/>
                    </w:rPr>
                    <w:t>环境</w:t>
                  </w:r>
                </w:p>
                <w:p>
                  <w:pPr>
                    <w:adjustRightInd w:val="0"/>
                    <w:snapToGrid w:val="0"/>
                    <w:jc w:val="center"/>
                    <w:rPr>
                      <w:rFonts w:ascii="Times New Roman" w:hAnsi="Times New Roman"/>
                      <w:szCs w:val="21"/>
                    </w:rPr>
                  </w:pPr>
                  <w:r>
                    <w:rPr>
                      <w:rFonts w:ascii="Times New Roman" w:hAnsi="Times New Roman"/>
                      <w:szCs w:val="21"/>
                    </w:rPr>
                    <w:t>功能区</w:t>
                  </w:r>
                </w:p>
              </w:tc>
              <w:tc>
                <w:tcPr>
                  <w:tcW w:w="625" w:type="pct"/>
                  <w:gridSpan w:val="2"/>
                  <w:vMerge w:val="restart"/>
                  <w:tcBorders>
                    <w:top w:val="single" w:color="auto" w:sz="4" w:space="0"/>
                    <w:left w:val="single" w:color="auto" w:sz="4" w:space="0"/>
                    <w:bottom w:val="single" w:color="000000" w:sz="2" w:space="0"/>
                    <w:right w:val="single" w:color="000000" w:sz="2" w:space="0"/>
                  </w:tcBorders>
                  <w:vAlign w:val="center"/>
                </w:tcPr>
                <w:p>
                  <w:pPr>
                    <w:adjustRightInd w:val="0"/>
                    <w:snapToGrid w:val="0"/>
                    <w:jc w:val="center"/>
                    <w:rPr>
                      <w:rFonts w:ascii="Times New Roman" w:hAnsi="Times New Roman"/>
                      <w:szCs w:val="21"/>
                    </w:rPr>
                  </w:pPr>
                  <w:r>
                    <w:rPr>
                      <w:rFonts w:ascii="Times New Roman" w:hAnsi="Times New Roman"/>
                      <w:szCs w:val="21"/>
                    </w:rPr>
                    <w:t>相对厂址</w:t>
                  </w:r>
                </w:p>
                <w:p>
                  <w:pPr>
                    <w:adjustRightInd w:val="0"/>
                    <w:snapToGrid w:val="0"/>
                    <w:jc w:val="center"/>
                    <w:rPr>
                      <w:rFonts w:ascii="Times New Roman" w:hAnsi="Times New Roman"/>
                      <w:szCs w:val="21"/>
                    </w:rPr>
                  </w:pPr>
                  <w:r>
                    <w:rPr>
                      <w:rFonts w:ascii="Times New Roman" w:hAnsi="Times New Roman"/>
                      <w:szCs w:val="21"/>
                    </w:rPr>
                    <w:t>方位</w:t>
                  </w:r>
                </w:p>
              </w:tc>
              <w:tc>
                <w:tcPr>
                  <w:tcW w:w="701" w:type="pct"/>
                  <w:gridSpan w:val="2"/>
                  <w:vMerge w:val="restart"/>
                  <w:tcBorders>
                    <w:top w:val="single" w:color="auto" w:sz="4" w:space="0"/>
                    <w:left w:val="single" w:color="000000" w:sz="2" w:space="0"/>
                    <w:bottom w:val="single" w:color="000000" w:sz="2" w:space="0"/>
                    <w:right w:val="nil"/>
                  </w:tcBorders>
                  <w:vAlign w:val="center"/>
                </w:tcPr>
                <w:p>
                  <w:pPr>
                    <w:adjustRightInd w:val="0"/>
                    <w:snapToGrid w:val="0"/>
                    <w:jc w:val="center"/>
                    <w:rPr>
                      <w:rFonts w:ascii="Times New Roman" w:hAnsi="Times New Roman"/>
                      <w:szCs w:val="21"/>
                    </w:rPr>
                  </w:pPr>
                  <w:r>
                    <w:rPr>
                      <w:rFonts w:ascii="Times New Roman" w:hAnsi="Times New Roman"/>
                      <w:szCs w:val="21"/>
                    </w:rPr>
                    <w:t>相对厂界距离/m</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40" w:hRule="atLeast"/>
                <w:jc w:val="center"/>
              </w:trPr>
              <w:tc>
                <w:tcPr>
                  <w:tcW w:w="605" w:type="pct"/>
                  <w:vMerge w:val="continue"/>
                  <w:tcBorders>
                    <w:top w:val="single" w:color="auto" w:sz="4" w:space="0"/>
                    <w:left w:val="nil"/>
                    <w:bottom w:val="single" w:color="000000" w:sz="2" w:space="0"/>
                    <w:right w:val="single" w:color="auto" w:sz="4" w:space="0"/>
                  </w:tcBorders>
                  <w:vAlign w:val="center"/>
                </w:tcPr>
                <w:p>
                  <w:pPr>
                    <w:widowControl/>
                    <w:jc w:val="left"/>
                    <w:rPr>
                      <w:rFonts w:ascii="Times New Roman" w:hAnsi="Times New Roman"/>
                      <w:szCs w:val="21"/>
                    </w:rPr>
                  </w:pPr>
                </w:p>
              </w:tc>
              <w:tc>
                <w:tcPr>
                  <w:tcW w:w="723" w:type="pct"/>
                  <w:gridSpan w:val="2"/>
                  <w:tcBorders>
                    <w:top w:val="single" w:color="auto" w:sz="4" w:space="0"/>
                    <w:left w:val="single" w:color="auto" w:sz="4" w:space="0"/>
                    <w:bottom w:val="single" w:color="000000" w:sz="2" w:space="0"/>
                    <w:right w:val="single" w:color="000000" w:sz="2" w:space="0"/>
                  </w:tcBorders>
                  <w:vAlign w:val="center"/>
                </w:tcPr>
                <w:p>
                  <w:pPr>
                    <w:widowControl/>
                    <w:adjustRightInd w:val="0"/>
                    <w:snapToGrid w:val="0"/>
                    <w:jc w:val="center"/>
                    <w:rPr>
                      <w:rFonts w:ascii="Times New Roman" w:hAnsi="Times New Roman"/>
                      <w:szCs w:val="21"/>
                    </w:rPr>
                  </w:pPr>
                  <w:r>
                    <w:rPr>
                      <w:rFonts w:ascii="Times New Roman" w:hAnsi="Times New Roman"/>
                      <w:szCs w:val="21"/>
                    </w:rPr>
                    <w:t>X</w:t>
                  </w:r>
                </w:p>
              </w:tc>
              <w:tc>
                <w:tcPr>
                  <w:tcW w:w="703" w:type="pct"/>
                  <w:tcBorders>
                    <w:top w:val="single" w:color="auto" w:sz="4" w:space="0"/>
                    <w:left w:val="single" w:color="auto" w:sz="4" w:space="0"/>
                    <w:bottom w:val="single" w:color="000000" w:sz="2" w:space="0"/>
                    <w:right w:val="single" w:color="000000" w:sz="2" w:space="0"/>
                  </w:tcBorders>
                  <w:vAlign w:val="center"/>
                </w:tcPr>
                <w:p>
                  <w:pPr>
                    <w:widowControl/>
                    <w:adjustRightInd w:val="0"/>
                    <w:snapToGrid w:val="0"/>
                    <w:jc w:val="center"/>
                    <w:rPr>
                      <w:rFonts w:ascii="Times New Roman" w:hAnsi="Times New Roman"/>
                      <w:szCs w:val="21"/>
                    </w:rPr>
                  </w:pPr>
                  <w:r>
                    <w:rPr>
                      <w:rFonts w:ascii="Times New Roman" w:hAnsi="Times New Roman"/>
                      <w:szCs w:val="21"/>
                    </w:rPr>
                    <w:t>Y</w:t>
                  </w:r>
                </w:p>
              </w:tc>
              <w:tc>
                <w:tcPr>
                  <w:tcW w:w="470" w:type="pct"/>
                  <w:vMerge w:val="continue"/>
                  <w:tcBorders>
                    <w:top w:val="single" w:color="auto" w:sz="4" w:space="0"/>
                    <w:left w:val="single" w:color="000000" w:sz="2" w:space="0"/>
                    <w:bottom w:val="single" w:color="000000" w:sz="2" w:space="0"/>
                    <w:right w:val="single" w:color="000000" w:sz="2" w:space="0"/>
                  </w:tcBorders>
                  <w:vAlign w:val="center"/>
                </w:tcPr>
                <w:p>
                  <w:pPr>
                    <w:widowControl/>
                    <w:jc w:val="left"/>
                    <w:rPr>
                      <w:rFonts w:ascii="Times New Roman" w:hAnsi="Times New Roman"/>
                      <w:szCs w:val="21"/>
                    </w:rPr>
                  </w:pPr>
                </w:p>
              </w:tc>
              <w:tc>
                <w:tcPr>
                  <w:tcW w:w="625" w:type="pct"/>
                  <w:gridSpan w:val="2"/>
                  <w:vMerge w:val="continue"/>
                  <w:tcBorders>
                    <w:top w:val="single" w:color="auto" w:sz="4" w:space="0"/>
                    <w:left w:val="single" w:color="000000" w:sz="2" w:space="0"/>
                    <w:bottom w:val="single" w:color="000000" w:sz="2" w:space="0"/>
                    <w:right w:val="single" w:color="auto" w:sz="4" w:space="0"/>
                  </w:tcBorders>
                  <w:vAlign w:val="center"/>
                </w:tcPr>
                <w:p>
                  <w:pPr>
                    <w:widowControl/>
                    <w:jc w:val="left"/>
                    <w:rPr>
                      <w:rFonts w:ascii="Times New Roman" w:hAnsi="Times New Roman"/>
                      <w:szCs w:val="21"/>
                    </w:rPr>
                  </w:pPr>
                </w:p>
              </w:tc>
              <w:tc>
                <w:tcPr>
                  <w:tcW w:w="543" w:type="pct"/>
                  <w:gridSpan w:val="2"/>
                  <w:vMerge w:val="continue"/>
                  <w:tcBorders>
                    <w:top w:val="single" w:color="auto" w:sz="4" w:space="0"/>
                    <w:left w:val="single" w:color="000000" w:sz="2" w:space="0"/>
                    <w:bottom w:val="single" w:color="000000" w:sz="2" w:space="0"/>
                    <w:right w:val="single" w:color="auto" w:sz="4" w:space="0"/>
                  </w:tcBorders>
                  <w:vAlign w:val="center"/>
                </w:tcPr>
                <w:p>
                  <w:pPr>
                    <w:widowControl/>
                    <w:jc w:val="left"/>
                    <w:rPr>
                      <w:rFonts w:ascii="Times New Roman" w:hAnsi="Times New Roman"/>
                      <w:szCs w:val="21"/>
                    </w:rPr>
                  </w:pPr>
                </w:p>
              </w:tc>
              <w:tc>
                <w:tcPr>
                  <w:tcW w:w="625" w:type="pct"/>
                  <w:gridSpan w:val="2"/>
                  <w:vMerge w:val="continue"/>
                  <w:tcBorders>
                    <w:top w:val="single" w:color="auto" w:sz="4" w:space="0"/>
                    <w:left w:val="single" w:color="auto" w:sz="4" w:space="0"/>
                    <w:bottom w:val="single" w:color="000000" w:sz="2" w:space="0"/>
                    <w:right w:val="single" w:color="000000" w:sz="2" w:space="0"/>
                  </w:tcBorders>
                  <w:vAlign w:val="center"/>
                </w:tcPr>
                <w:p>
                  <w:pPr>
                    <w:widowControl/>
                    <w:jc w:val="left"/>
                    <w:rPr>
                      <w:rFonts w:ascii="Times New Roman" w:hAnsi="Times New Roman"/>
                      <w:szCs w:val="21"/>
                    </w:rPr>
                  </w:pPr>
                </w:p>
              </w:tc>
              <w:tc>
                <w:tcPr>
                  <w:tcW w:w="701" w:type="pct"/>
                  <w:gridSpan w:val="2"/>
                  <w:vMerge w:val="continue"/>
                  <w:tcBorders>
                    <w:top w:val="single" w:color="auto" w:sz="4" w:space="0"/>
                    <w:left w:val="single" w:color="000000" w:sz="2" w:space="0"/>
                    <w:bottom w:val="single" w:color="000000" w:sz="2" w:space="0"/>
                    <w:right w:val="nil"/>
                  </w:tcBorders>
                  <w:vAlign w:val="center"/>
                </w:tcPr>
                <w:p>
                  <w:pPr>
                    <w:widowControl/>
                    <w:jc w:val="left"/>
                    <w:rPr>
                      <w:rFonts w:ascii="Times New Roman" w:hAnsi="Times New Roman"/>
                      <w:szCs w:val="21"/>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40" w:hRule="atLeast"/>
                <w:jc w:val="center"/>
              </w:trPr>
              <w:tc>
                <w:tcPr>
                  <w:tcW w:w="605" w:type="pct"/>
                  <w:vMerge w:val="restart"/>
                  <w:tcBorders>
                    <w:top w:val="single" w:color="000000" w:sz="2" w:space="0"/>
                    <w:left w:val="nil"/>
                    <w:right w:val="single" w:color="auto" w:sz="4" w:space="0"/>
                  </w:tcBorders>
                  <w:vAlign w:val="center"/>
                </w:tcPr>
                <w:p>
                  <w:pPr>
                    <w:adjustRightInd w:val="0"/>
                    <w:snapToGrid w:val="0"/>
                    <w:jc w:val="center"/>
                    <w:rPr>
                      <w:rFonts w:hint="eastAsia" w:ascii="Times New Roman" w:hAnsi="Times New Roman" w:eastAsia="宋体"/>
                      <w:szCs w:val="21"/>
                      <w:lang w:eastAsia="zh-CN"/>
                    </w:rPr>
                  </w:pPr>
                  <w:r>
                    <w:rPr>
                      <w:rFonts w:hint="eastAsia"/>
                      <w:szCs w:val="21"/>
                      <w:lang w:eastAsia="zh-CN"/>
                    </w:rPr>
                    <w:t>张庄</w:t>
                  </w:r>
                </w:p>
              </w:tc>
              <w:tc>
                <w:tcPr>
                  <w:tcW w:w="723" w:type="pct"/>
                  <w:gridSpan w:val="2"/>
                  <w:tcBorders>
                    <w:top w:val="single" w:color="000000" w:sz="2" w:space="0"/>
                    <w:left w:val="single" w:color="auto" w:sz="4" w:space="0"/>
                    <w:bottom w:val="single" w:color="000000" w:sz="2" w:space="0"/>
                    <w:right w:val="single" w:color="000000" w:sz="2" w:space="0"/>
                  </w:tcBorders>
                  <w:vAlign w:val="center"/>
                </w:tcPr>
                <w:p>
                  <w:pPr>
                    <w:adjustRightInd w:val="0"/>
                    <w:snapToGrid w:val="0"/>
                    <w:jc w:val="center"/>
                    <w:rPr>
                      <w:rFonts w:hint="default" w:ascii="Times New Roman" w:hAnsi="Times New Roman" w:eastAsia="宋体"/>
                      <w:szCs w:val="21"/>
                      <w:lang w:val="en-US" w:eastAsia="zh-CN"/>
                    </w:rPr>
                  </w:pPr>
                  <w:r>
                    <w:rPr>
                      <w:rFonts w:ascii="Times New Roman" w:hAnsi="Times New Roman"/>
                      <w:szCs w:val="21"/>
                    </w:rPr>
                    <w:t>113.</w:t>
                  </w:r>
                  <w:r>
                    <w:rPr>
                      <w:rFonts w:hint="eastAsia"/>
                      <w:szCs w:val="21"/>
                      <w:lang w:val="en-US" w:eastAsia="zh-CN"/>
                    </w:rPr>
                    <w:t>205964</w:t>
                  </w:r>
                </w:p>
              </w:tc>
              <w:tc>
                <w:tcPr>
                  <w:tcW w:w="703" w:type="pct"/>
                  <w:tcBorders>
                    <w:top w:val="single" w:color="000000" w:sz="2" w:space="0"/>
                    <w:left w:val="single" w:color="auto" w:sz="4" w:space="0"/>
                    <w:bottom w:val="single" w:color="000000" w:sz="2" w:space="0"/>
                    <w:right w:val="single" w:color="000000" w:sz="2" w:space="0"/>
                  </w:tcBorders>
                  <w:vAlign w:val="center"/>
                </w:tcPr>
                <w:p>
                  <w:pPr>
                    <w:adjustRightInd w:val="0"/>
                    <w:snapToGrid w:val="0"/>
                    <w:jc w:val="center"/>
                    <w:rPr>
                      <w:rFonts w:hint="default" w:ascii="Times New Roman" w:hAnsi="Times New Roman" w:eastAsia="宋体"/>
                      <w:szCs w:val="21"/>
                      <w:lang w:val="en-US" w:eastAsia="zh-CN"/>
                    </w:rPr>
                  </w:pPr>
                  <w:r>
                    <w:rPr>
                      <w:rFonts w:ascii="Times New Roman" w:hAnsi="Times New Roman"/>
                      <w:szCs w:val="21"/>
                    </w:rPr>
                    <w:t>33.</w:t>
                  </w:r>
                  <w:r>
                    <w:rPr>
                      <w:rFonts w:hint="eastAsia"/>
                      <w:szCs w:val="21"/>
                      <w:lang w:val="en-US" w:eastAsia="zh-CN"/>
                    </w:rPr>
                    <w:t>444483</w:t>
                  </w:r>
                </w:p>
              </w:tc>
              <w:tc>
                <w:tcPr>
                  <w:tcW w:w="470" w:type="pct"/>
                  <w:vMerge w:val="restart"/>
                  <w:tcBorders>
                    <w:top w:val="single" w:color="000000" w:sz="2" w:space="0"/>
                    <w:left w:val="single" w:color="000000" w:sz="2" w:space="0"/>
                    <w:right w:val="single" w:color="000000" w:sz="2" w:space="0"/>
                  </w:tcBorders>
                  <w:vAlign w:val="center"/>
                </w:tcPr>
                <w:p>
                  <w:pPr>
                    <w:adjustRightInd w:val="0"/>
                    <w:snapToGrid w:val="0"/>
                    <w:jc w:val="center"/>
                    <w:rPr>
                      <w:rFonts w:ascii="Times New Roman" w:hAnsi="Times New Roman"/>
                      <w:szCs w:val="21"/>
                    </w:rPr>
                  </w:pPr>
                  <w:r>
                    <w:rPr>
                      <w:rFonts w:ascii="Times New Roman" w:hAnsi="Times New Roman"/>
                      <w:szCs w:val="21"/>
                    </w:rPr>
                    <w:t>人口</w:t>
                  </w:r>
                </w:p>
              </w:tc>
              <w:tc>
                <w:tcPr>
                  <w:tcW w:w="625" w:type="pct"/>
                  <w:gridSpan w:val="2"/>
                  <w:vMerge w:val="restart"/>
                  <w:tcBorders>
                    <w:top w:val="single" w:color="000000" w:sz="2" w:space="0"/>
                    <w:left w:val="single" w:color="000000" w:sz="2" w:space="0"/>
                    <w:right w:val="single" w:color="auto" w:sz="4" w:space="0"/>
                  </w:tcBorders>
                  <w:vAlign w:val="center"/>
                </w:tcPr>
                <w:p>
                  <w:pPr>
                    <w:adjustRightInd w:val="0"/>
                    <w:snapToGrid w:val="0"/>
                    <w:jc w:val="center"/>
                    <w:rPr>
                      <w:rFonts w:ascii="Times New Roman" w:hAnsi="Times New Roman"/>
                      <w:szCs w:val="21"/>
                    </w:rPr>
                  </w:pPr>
                  <w:r>
                    <w:rPr>
                      <w:rFonts w:ascii="Times New Roman" w:hAnsi="Times New Roman"/>
                      <w:szCs w:val="21"/>
                    </w:rPr>
                    <w:t>环境空气</w:t>
                  </w:r>
                </w:p>
                <w:p>
                  <w:pPr>
                    <w:adjustRightInd w:val="0"/>
                    <w:snapToGrid w:val="0"/>
                    <w:jc w:val="center"/>
                    <w:rPr>
                      <w:rFonts w:ascii="Times New Roman" w:hAnsi="Times New Roman"/>
                      <w:szCs w:val="21"/>
                    </w:rPr>
                  </w:pPr>
                  <w:r>
                    <w:rPr>
                      <w:rFonts w:ascii="Times New Roman" w:hAnsi="Times New Roman"/>
                      <w:szCs w:val="21"/>
                    </w:rPr>
                    <w:t>质量</w:t>
                  </w:r>
                </w:p>
              </w:tc>
              <w:tc>
                <w:tcPr>
                  <w:tcW w:w="543" w:type="pct"/>
                  <w:gridSpan w:val="2"/>
                  <w:vMerge w:val="restart"/>
                  <w:tcBorders>
                    <w:top w:val="single" w:color="000000" w:sz="2" w:space="0"/>
                    <w:left w:val="single" w:color="000000" w:sz="2" w:space="0"/>
                    <w:right w:val="single" w:color="auto" w:sz="4" w:space="0"/>
                  </w:tcBorders>
                  <w:vAlign w:val="center"/>
                </w:tcPr>
                <w:p>
                  <w:pPr>
                    <w:adjustRightInd w:val="0"/>
                    <w:snapToGrid w:val="0"/>
                    <w:jc w:val="center"/>
                    <w:rPr>
                      <w:rFonts w:ascii="Times New Roman" w:hAnsi="Times New Roman"/>
                      <w:szCs w:val="21"/>
                    </w:rPr>
                  </w:pPr>
                  <w:r>
                    <w:rPr>
                      <w:rFonts w:ascii="Times New Roman" w:hAnsi="Times New Roman"/>
                      <w:szCs w:val="21"/>
                    </w:rPr>
                    <w:t>二类区</w:t>
                  </w:r>
                </w:p>
              </w:tc>
              <w:tc>
                <w:tcPr>
                  <w:tcW w:w="625" w:type="pct"/>
                  <w:gridSpan w:val="2"/>
                  <w:tcBorders>
                    <w:top w:val="single" w:color="000000" w:sz="2" w:space="0"/>
                    <w:left w:val="single" w:color="auto" w:sz="4" w:space="0"/>
                    <w:bottom w:val="single" w:color="000000" w:sz="2" w:space="0"/>
                    <w:right w:val="single" w:color="000000" w:sz="2" w:space="0"/>
                  </w:tcBorders>
                  <w:vAlign w:val="center"/>
                </w:tcPr>
                <w:p>
                  <w:pPr>
                    <w:adjustRightInd w:val="0"/>
                    <w:snapToGrid w:val="0"/>
                    <w:jc w:val="center"/>
                    <w:rPr>
                      <w:rFonts w:hint="eastAsia" w:ascii="Times New Roman" w:hAnsi="Times New Roman" w:eastAsia="宋体"/>
                      <w:szCs w:val="21"/>
                      <w:lang w:val="en-US" w:eastAsia="zh-CN"/>
                    </w:rPr>
                  </w:pPr>
                  <w:r>
                    <w:rPr>
                      <w:rFonts w:hint="eastAsia"/>
                      <w:szCs w:val="21"/>
                      <w:lang w:val="en-US" w:eastAsia="zh-CN"/>
                    </w:rPr>
                    <w:t>N</w:t>
                  </w:r>
                </w:p>
              </w:tc>
              <w:tc>
                <w:tcPr>
                  <w:tcW w:w="701" w:type="pct"/>
                  <w:gridSpan w:val="2"/>
                  <w:tcBorders>
                    <w:top w:val="single" w:color="000000" w:sz="2" w:space="0"/>
                    <w:left w:val="single" w:color="000000" w:sz="2" w:space="0"/>
                    <w:bottom w:val="single" w:color="000000" w:sz="2" w:space="0"/>
                    <w:right w:val="nil"/>
                  </w:tcBorders>
                  <w:vAlign w:val="center"/>
                </w:tcPr>
                <w:p>
                  <w:pPr>
                    <w:adjustRightInd w:val="0"/>
                    <w:snapToGrid w:val="0"/>
                    <w:jc w:val="center"/>
                    <w:rPr>
                      <w:rFonts w:hint="eastAsia" w:ascii="Times New Roman" w:hAnsi="Times New Roman" w:eastAsia="宋体"/>
                      <w:szCs w:val="21"/>
                      <w:lang w:val="en-US" w:eastAsia="zh-CN"/>
                    </w:rPr>
                  </w:pPr>
                  <w:r>
                    <w:rPr>
                      <w:rFonts w:hint="eastAsia"/>
                      <w:szCs w:val="21"/>
                      <w:lang w:val="en-US" w:eastAsia="zh-CN"/>
                    </w:rPr>
                    <w:t>35</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40" w:hRule="atLeast"/>
                <w:jc w:val="center"/>
              </w:trPr>
              <w:tc>
                <w:tcPr>
                  <w:tcW w:w="605" w:type="pct"/>
                  <w:vMerge w:val="continue"/>
                  <w:tcBorders>
                    <w:left w:val="nil"/>
                    <w:right w:val="single" w:color="auto" w:sz="4" w:space="0"/>
                  </w:tcBorders>
                  <w:vAlign w:val="center"/>
                </w:tcPr>
                <w:p>
                  <w:pPr>
                    <w:adjustRightInd w:val="0"/>
                    <w:snapToGrid w:val="0"/>
                    <w:jc w:val="center"/>
                    <w:rPr>
                      <w:rFonts w:ascii="Times New Roman" w:hAnsi="Times New Roman"/>
                      <w:szCs w:val="21"/>
                    </w:rPr>
                  </w:pPr>
                </w:p>
              </w:tc>
              <w:tc>
                <w:tcPr>
                  <w:tcW w:w="723" w:type="pct"/>
                  <w:gridSpan w:val="2"/>
                  <w:tcBorders>
                    <w:top w:val="single" w:color="000000" w:sz="2" w:space="0"/>
                    <w:left w:val="single" w:color="auto" w:sz="4" w:space="0"/>
                    <w:bottom w:val="single" w:color="000000" w:sz="2" w:space="0"/>
                    <w:right w:val="single" w:color="000000" w:sz="2" w:space="0"/>
                  </w:tcBorders>
                  <w:vAlign w:val="center"/>
                </w:tcPr>
                <w:p>
                  <w:pPr>
                    <w:adjustRightInd w:val="0"/>
                    <w:snapToGrid w:val="0"/>
                    <w:jc w:val="center"/>
                    <w:rPr>
                      <w:rFonts w:hint="default" w:ascii="Times New Roman" w:hAnsi="Times New Roman" w:eastAsia="宋体"/>
                      <w:szCs w:val="21"/>
                      <w:lang w:val="en-US" w:eastAsia="zh-CN"/>
                    </w:rPr>
                  </w:pPr>
                  <w:r>
                    <w:rPr>
                      <w:rFonts w:ascii="Times New Roman" w:hAnsi="Times New Roman"/>
                      <w:szCs w:val="21"/>
                    </w:rPr>
                    <w:t>113.</w:t>
                  </w:r>
                  <w:r>
                    <w:rPr>
                      <w:rFonts w:hint="eastAsia"/>
                      <w:szCs w:val="21"/>
                      <w:lang w:val="en-US" w:eastAsia="zh-CN"/>
                    </w:rPr>
                    <w:t>210081</w:t>
                  </w:r>
                </w:p>
              </w:tc>
              <w:tc>
                <w:tcPr>
                  <w:tcW w:w="703" w:type="pct"/>
                  <w:tcBorders>
                    <w:top w:val="single" w:color="000000" w:sz="2" w:space="0"/>
                    <w:left w:val="single" w:color="auto" w:sz="4" w:space="0"/>
                    <w:bottom w:val="single" w:color="000000" w:sz="2" w:space="0"/>
                    <w:right w:val="single" w:color="000000" w:sz="2" w:space="0"/>
                  </w:tcBorders>
                  <w:vAlign w:val="center"/>
                </w:tcPr>
                <w:p>
                  <w:pPr>
                    <w:adjustRightInd w:val="0"/>
                    <w:snapToGrid w:val="0"/>
                    <w:jc w:val="center"/>
                    <w:rPr>
                      <w:rFonts w:hint="default" w:ascii="Times New Roman" w:hAnsi="Times New Roman" w:eastAsia="宋体"/>
                      <w:szCs w:val="21"/>
                      <w:lang w:val="en-US" w:eastAsia="zh-CN"/>
                    </w:rPr>
                  </w:pPr>
                  <w:r>
                    <w:rPr>
                      <w:rFonts w:ascii="Times New Roman" w:hAnsi="Times New Roman"/>
                      <w:szCs w:val="21"/>
                    </w:rPr>
                    <w:t>33.</w:t>
                  </w:r>
                  <w:r>
                    <w:rPr>
                      <w:rFonts w:hint="eastAsia"/>
                      <w:szCs w:val="21"/>
                      <w:lang w:val="en-US" w:eastAsia="zh-CN"/>
                    </w:rPr>
                    <w:t>444338</w:t>
                  </w:r>
                </w:p>
              </w:tc>
              <w:tc>
                <w:tcPr>
                  <w:tcW w:w="470" w:type="pct"/>
                  <w:vMerge w:val="continue"/>
                  <w:tcBorders>
                    <w:left w:val="single" w:color="000000" w:sz="2" w:space="0"/>
                    <w:right w:val="single" w:color="000000" w:sz="2" w:space="0"/>
                  </w:tcBorders>
                  <w:vAlign w:val="center"/>
                </w:tcPr>
                <w:p>
                  <w:pPr>
                    <w:widowControl/>
                    <w:jc w:val="left"/>
                    <w:rPr>
                      <w:rFonts w:ascii="Times New Roman" w:hAnsi="Times New Roman"/>
                      <w:szCs w:val="21"/>
                    </w:rPr>
                  </w:pPr>
                </w:p>
              </w:tc>
              <w:tc>
                <w:tcPr>
                  <w:tcW w:w="625" w:type="pct"/>
                  <w:gridSpan w:val="2"/>
                  <w:vMerge w:val="continue"/>
                  <w:tcBorders>
                    <w:left w:val="single" w:color="000000" w:sz="2" w:space="0"/>
                    <w:right w:val="single" w:color="auto" w:sz="4" w:space="0"/>
                  </w:tcBorders>
                  <w:vAlign w:val="center"/>
                </w:tcPr>
                <w:p>
                  <w:pPr>
                    <w:widowControl/>
                    <w:jc w:val="left"/>
                    <w:rPr>
                      <w:rFonts w:ascii="Times New Roman" w:hAnsi="Times New Roman"/>
                      <w:szCs w:val="21"/>
                    </w:rPr>
                  </w:pPr>
                </w:p>
              </w:tc>
              <w:tc>
                <w:tcPr>
                  <w:tcW w:w="543" w:type="pct"/>
                  <w:gridSpan w:val="2"/>
                  <w:vMerge w:val="continue"/>
                  <w:tcBorders>
                    <w:left w:val="single" w:color="000000" w:sz="2" w:space="0"/>
                    <w:right w:val="single" w:color="auto" w:sz="4" w:space="0"/>
                  </w:tcBorders>
                  <w:vAlign w:val="center"/>
                </w:tcPr>
                <w:p>
                  <w:pPr>
                    <w:widowControl/>
                    <w:jc w:val="left"/>
                    <w:rPr>
                      <w:rFonts w:ascii="Times New Roman" w:hAnsi="Times New Roman"/>
                      <w:szCs w:val="21"/>
                    </w:rPr>
                  </w:pPr>
                </w:p>
              </w:tc>
              <w:tc>
                <w:tcPr>
                  <w:tcW w:w="625" w:type="pct"/>
                  <w:gridSpan w:val="2"/>
                  <w:tcBorders>
                    <w:top w:val="single" w:color="000000" w:sz="2" w:space="0"/>
                    <w:left w:val="single" w:color="auto" w:sz="4" w:space="0"/>
                    <w:bottom w:val="single" w:color="000000" w:sz="2" w:space="0"/>
                    <w:right w:val="single" w:color="000000" w:sz="2" w:space="0"/>
                  </w:tcBorders>
                  <w:vAlign w:val="center"/>
                </w:tcPr>
                <w:p>
                  <w:pPr>
                    <w:adjustRightInd w:val="0"/>
                    <w:snapToGrid w:val="0"/>
                    <w:jc w:val="center"/>
                    <w:rPr>
                      <w:rFonts w:hint="eastAsia" w:ascii="Times New Roman" w:hAnsi="Times New Roman" w:eastAsia="宋体"/>
                      <w:szCs w:val="21"/>
                      <w:lang w:val="en-US" w:eastAsia="zh-CN"/>
                    </w:rPr>
                  </w:pPr>
                  <w:r>
                    <w:rPr>
                      <w:rFonts w:hint="eastAsia"/>
                      <w:szCs w:val="21"/>
                      <w:lang w:val="en-US" w:eastAsia="zh-CN"/>
                    </w:rPr>
                    <w:t>E</w:t>
                  </w:r>
                </w:p>
              </w:tc>
              <w:tc>
                <w:tcPr>
                  <w:tcW w:w="701" w:type="pct"/>
                  <w:gridSpan w:val="2"/>
                  <w:tcBorders>
                    <w:top w:val="single" w:color="000000" w:sz="2" w:space="0"/>
                    <w:left w:val="single" w:color="000000" w:sz="2" w:space="0"/>
                    <w:bottom w:val="single" w:color="000000" w:sz="2" w:space="0"/>
                    <w:right w:val="nil"/>
                  </w:tcBorders>
                  <w:vAlign w:val="center"/>
                </w:tcPr>
                <w:p>
                  <w:pPr>
                    <w:adjustRightInd w:val="0"/>
                    <w:snapToGrid w:val="0"/>
                    <w:jc w:val="center"/>
                    <w:rPr>
                      <w:rFonts w:hint="eastAsia" w:ascii="Times New Roman" w:hAnsi="Times New Roman" w:eastAsia="宋体"/>
                      <w:szCs w:val="21"/>
                      <w:lang w:eastAsia="zh-CN"/>
                    </w:rPr>
                  </w:pPr>
                  <w:r>
                    <w:rPr>
                      <w:rFonts w:hint="eastAsia"/>
                      <w:szCs w:val="21"/>
                      <w:lang w:val="en-US" w:eastAsia="zh-CN"/>
                    </w:rPr>
                    <w:t>35</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40" w:hRule="atLeast"/>
                <w:jc w:val="center"/>
              </w:trPr>
              <w:tc>
                <w:tcPr>
                  <w:tcW w:w="605" w:type="pct"/>
                  <w:vMerge w:val="continue"/>
                  <w:tcBorders>
                    <w:left w:val="nil"/>
                    <w:bottom w:val="single" w:color="000000" w:sz="2" w:space="0"/>
                    <w:right w:val="single" w:color="auto" w:sz="4" w:space="0"/>
                  </w:tcBorders>
                  <w:vAlign w:val="center"/>
                </w:tcPr>
                <w:p>
                  <w:pPr>
                    <w:adjustRightInd w:val="0"/>
                    <w:snapToGrid w:val="0"/>
                    <w:jc w:val="center"/>
                    <w:rPr>
                      <w:rFonts w:hint="eastAsia"/>
                      <w:szCs w:val="21"/>
                      <w:lang w:eastAsia="zh-CN"/>
                    </w:rPr>
                  </w:pPr>
                </w:p>
              </w:tc>
              <w:tc>
                <w:tcPr>
                  <w:tcW w:w="723" w:type="pct"/>
                  <w:gridSpan w:val="2"/>
                  <w:tcBorders>
                    <w:top w:val="single" w:color="000000" w:sz="2" w:space="0"/>
                    <w:left w:val="single" w:color="auto" w:sz="4" w:space="0"/>
                    <w:bottom w:val="single" w:color="000000" w:sz="2" w:space="0"/>
                    <w:right w:val="single" w:color="000000" w:sz="2" w:space="0"/>
                  </w:tcBorders>
                  <w:vAlign w:val="center"/>
                </w:tcPr>
                <w:p>
                  <w:pPr>
                    <w:adjustRightInd w:val="0"/>
                    <w:snapToGrid w:val="0"/>
                    <w:jc w:val="center"/>
                    <w:rPr>
                      <w:rFonts w:hint="default" w:ascii="Times New Roman" w:hAnsi="Times New Roman" w:eastAsia="宋体"/>
                      <w:szCs w:val="21"/>
                      <w:lang w:val="en-US" w:eastAsia="zh-CN"/>
                    </w:rPr>
                  </w:pPr>
                  <w:r>
                    <w:rPr>
                      <w:rFonts w:hint="eastAsia" w:ascii="Times New Roman" w:hAnsi="Times New Roman"/>
                      <w:szCs w:val="21"/>
                      <w:lang w:val="en-US" w:eastAsia="zh-CN"/>
                    </w:rPr>
                    <w:t>113.205962</w:t>
                  </w:r>
                </w:p>
              </w:tc>
              <w:tc>
                <w:tcPr>
                  <w:tcW w:w="703" w:type="pct"/>
                  <w:tcBorders>
                    <w:top w:val="single" w:color="000000" w:sz="2" w:space="0"/>
                    <w:left w:val="single" w:color="auto" w:sz="4" w:space="0"/>
                    <w:bottom w:val="single" w:color="000000" w:sz="2" w:space="0"/>
                    <w:right w:val="single" w:color="000000" w:sz="2" w:space="0"/>
                  </w:tcBorders>
                  <w:vAlign w:val="center"/>
                </w:tcPr>
                <w:p>
                  <w:pPr>
                    <w:adjustRightInd w:val="0"/>
                    <w:snapToGrid w:val="0"/>
                    <w:jc w:val="center"/>
                    <w:rPr>
                      <w:rFonts w:hint="default" w:ascii="Times New Roman" w:hAnsi="Times New Roman"/>
                      <w:szCs w:val="21"/>
                      <w:lang w:val="en-US"/>
                    </w:rPr>
                  </w:pPr>
                  <w:r>
                    <w:rPr>
                      <w:rFonts w:ascii="Times New Roman" w:hAnsi="Times New Roman"/>
                      <w:szCs w:val="21"/>
                    </w:rPr>
                    <w:t>33.</w:t>
                  </w:r>
                  <w:r>
                    <w:rPr>
                      <w:rFonts w:hint="eastAsia"/>
                      <w:szCs w:val="21"/>
                      <w:lang w:val="en-US" w:eastAsia="zh-CN"/>
                    </w:rPr>
                    <w:t>443820</w:t>
                  </w:r>
                </w:p>
              </w:tc>
              <w:tc>
                <w:tcPr>
                  <w:tcW w:w="470" w:type="pct"/>
                  <w:vMerge w:val="continue"/>
                  <w:tcBorders>
                    <w:left w:val="single" w:color="000000" w:sz="2" w:space="0"/>
                    <w:bottom w:val="single" w:color="000000" w:sz="2" w:space="0"/>
                    <w:right w:val="single" w:color="000000" w:sz="2" w:space="0"/>
                  </w:tcBorders>
                  <w:vAlign w:val="center"/>
                </w:tcPr>
                <w:p>
                  <w:pPr>
                    <w:widowControl/>
                    <w:jc w:val="left"/>
                    <w:rPr>
                      <w:rFonts w:ascii="Times New Roman" w:hAnsi="Times New Roman"/>
                      <w:szCs w:val="21"/>
                    </w:rPr>
                  </w:pPr>
                </w:p>
              </w:tc>
              <w:tc>
                <w:tcPr>
                  <w:tcW w:w="625" w:type="pct"/>
                  <w:gridSpan w:val="2"/>
                  <w:vMerge w:val="continue"/>
                  <w:tcBorders>
                    <w:left w:val="single" w:color="000000" w:sz="2" w:space="0"/>
                    <w:bottom w:val="single" w:color="000000" w:sz="2" w:space="0"/>
                    <w:right w:val="single" w:color="auto" w:sz="4" w:space="0"/>
                  </w:tcBorders>
                  <w:vAlign w:val="center"/>
                </w:tcPr>
                <w:p>
                  <w:pPr>
                    <w:widowControl/>
                    <w:jc w:val="left"/>
                    <w:rPr>
                      <w:rFonts w:ascii="Times New Roman" w:hAnsi="Times New Roman"/>
                      <w:szCs w:val="21"/>
                    </w:rPr>
                  </w:pPr>
                </w:p>
              </w:tc>
              <w:tc>
                <w:tcPr>
                  <w:tcW w:w="543" w:type="pct"/>
                  <w:gridSpan w:val="2"/>
                  <w:vMerge w:val="continue"/>
                  <w:tcBorders>
                    <w:left w:val="single" w:color="000000" w:sz="2" w:space="0"/>
                    <w:bottom w:val="single" w:color="000000" w:sz="2" w:space="0"/>
                    <w:right w:val="single" w:color="auto" w:sz="4" w:space="0"/>
                  </w:tcBorders>
                  <w:vAlign w:val="center"/>
                </w:tcPr>
                <w:p>
                  <w:pPr>
                    <w:widowControl/>
                    <w:jc w:val="left"/>
                    <w:rPr>
                      <w:rFonts w:ascii="Times New Roman" w:hAnsi="Times New Roman"/>
                      <w:szCs w:val="21"/>
                    </w:rPr>
                  </w:pPr>
                </w:p>
              </w:tc>
              <w:tc>
                <w:tcPr>
                  <w:tcW w:w="625" w:type="pct"/>
                  <w:gridSpan w:val="2"/>
                  <w:tcBorders>
                    <w:top w:val="single" w:color="000000" w:sz="2" w:space="0"/>
                    <w:left w:val="single" w:color="auto" w:sz="4" w:space="0"/>
                    <w:bottom w:val="single" w:color="000000" w:sz="2" w:space="0"/>
                    <w:right w:val="single" w:color="000000" w:sz="2" w:space="0"/>
                  </w:tcBorders>
                  <w:vAlign w:val="center"/>
                </w:tcPr>
                <w:p>
                  <w:pPr>
                    <w:adjustRightInd w:val="0"/>
                    <w:snapToGrid w:val="0"/>
                    <w:jc w:val="center"/>
                    <w:rPr>
                      <w:rFonts w:hint="default"/>
                      <w:szCs w:val="21"/>
                      <w:lang w:val="en-US" w:eastAsia="zh-CN"/>
                    </w:rPr>
                  </w:pPr>
                  <w:r>
                    <w:rPr>
                      <w:rFonts w:hint="eastAsia"/>
                      <w:szCs w:val="21"/>
                      <w:lang w:val="en-US" w:eastAsia="zh-CN"/>
                    </w:rPr>
                    <w:t>S</w:t>
                  </w:r>
                </w:p>
              </w:tc>
              <w:tc>
                <w:tcPr>
                  <w:tcW w:w="701" w:type="pct"/>
                  <w:gridSpan w:val="2"/>
                  <w:tcBorders>
                    <w:top w:val="single" w:color="000000" w:sz="2" w:space="0"/>
                    <w:left w:val="single" w:color="000000" w:sz="2" w:space="0"/>
                    <w:bottom w:val="single" w:color="000000" w:sz="2" w:space="0"/>
                    <w:right w:val="nil"/>
                  </w:tcBorders>
                  <w:vAlign w:val="center"/>
                </w:tcPr>
                <w:p>
                  <w:pPr>
                    <w:adjustRightInd w:val="0"/>
                    <w:snapToGrid w:val="0"/>
                    <w:jc w:val="center"/>
                    <w:rPr>
                      <w:rFonts w:hint="default"/>
                      <w:szCs w:val="21"/>
                      <w:lang w:val="en-US" w:eastAsia="zh-CN"/>
                    </w:rPr>
                  </w:pPr>
                  <w:r>
                    <w:rPr>
                      <w:rFonts w:hint="eastAsia"/>
                      <w:szCs w:val="21"/>
                      <w:lang w:val="en-US" w:eastAsia="zh-CN"/>
                    </w:rPr>
                    <w:t>120</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40" w:hRule="atLeast"/>
                <w:jc w:val="center"/>
              </w:trPr>
              <w:tc>
                <w:tcPr>
                  <w:tcW w:w="5000" w:type="pct"/>
                  <w:gridSpan w:val="13"/>
                  <w:tcBorders>
                    <w:top w:val="single" w:color="000000" w:sz="2" w:space="0"/>
                    <w:left w:val="nil"/>
                    <w:bottom w:val="single" w:color="000000" w:sz="2" w:space="0"/>
                    <w:right w:val="nil"/>
                  </w:tcBorders>
                  <w:vAlign w:val="center"/>
                </w:tcPr>
                <w:p>
                  <w:pPr>
                    <w:adjustRightInd w:val="0"/>
                    <w:snapToGrid w:val="0"/>
                    <w:jc w:val="center"/>
                    <w:rPr>
                      <w:rFonts w:hint="eastAsia" w:ascii="Times New Roman" w:hAnsi="Times New Roman" w:eastAsia="宋体"/>
                      <w:b/>
                      <w:bCs/>
                      <w:szCs w:val="21"/>
                      <w:lang w:eastAsia="zh-CN"/>
                    </w:rPr>
                  </w:pPr>
                  <w:r>
                    <w:rPr>
                      <w:rFonts w:hint="eastAsia"/>
                      <w:b/>
                      <w:bCs/>
                      <w:szCs w:val="21"/>
                      <w:lang w:eastAsia="zh-CN"/>
                    </w:rPr>
                    <w:t>声环境保护目标</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167" w:hRule="atLeast"/>
                <w:jc w:val="center"/>
              </w:trPr>
              <w:tc>
                <w:tcPr>
                  <w:tcW w:w="624" w:type="pct"/>
                  <w:gridSpan w:val="2"/>
                  <w:vMerge w:val="restart"/>
                  <w:tcBorders>
                    <w:top w:val="single" w:color="000000" w:sz="2" w:space="0"/>
                    <w:left w:val="nil"/>
                    <w:right w:val="single" w:color="auto" w:sz="4" w:space="0"/>
                  </w:tcBorders>
                  <w:vAlign w:val="center"/>
                </w:tcPr>
                <w:p>
                  <w:pPr>
                    <w:adjustRightInd w:val="0"/>
                    <w:snapToGrid w:val="0"/>
                    <w:jc w:val="center"/>
                    <w:rPr>
                      <w:rFonts w:hint="eastAsia"/>
                      <w:b/>
                      <w:bCs/>
                      <w:szCs w:val="21"/>
                      <w:lang w:eastAsia="zh-CN"/>
                    </w:rPr>
                  </w:pPr>
                  <w:r>
                    <w:rPr>
                      <w:rFonts w:ascii="Times New Roman" w:hAnsi="Times New Roman"/>
                      <w:szCs w:val="21"/>
                    </w:rPr>
                    <w:t>名称</w:t>
                  </w:r>
                </w:p>
              </w:tc>
              <w:tc>
                <w:tcPr>
                  <w:tcW w:w="1408" w:type="pct"/>
                  <w:gridSpan w:val="2"/>
                  <w:tcBorders>
                    <w:top w:val="single" w:color="000000" w:sz="2" w:space="0"/>
                    <w:left w:val="single" w:color="auto" w:sz="4" w:space="0"/>
                    <w:bottom w:val="single" w:color="000000" w:sz="2" w:space="0"/>
                    <w:right w:val="single" w:color="auto" w:sz="4" w:space="0"/>
                  </w:tcBorders>
                  <w:vAlign w:val="center"/>
                </w:tcPr>
                <w:p>
                  <w:pPr>
                    <w:adjustRightInd w:val="0"/>
                    <w:snapToGrid w:val="0"/>
                    <w:jc w:val="center"/>
                    <w:rPr>
                      <w:rFonts w:hint="eastAsia"/>
                      <w:b/>
                      <w:bCs/>
                      <w:szCs w:val="21"/>
                      <w:lang w:eastAsia="zh-CN"/>
                    </w:rPr>
                  </w:pPr>
                  <w:r>
                    <w:rPr>
                      <w:rFonts w:ascii="Times New Roman" w:hAnsi="Times New Roman"/>
                      <w:szCs w:val="21"/>
                    </w:rPr>
                    <w:t>坐标</w:t>
                  </w:r>
                </w:p>
              </w:tc>
              <w:tc>
                <w:tcPr>
                  <w:tcW w:w="470" w:type="pct"/>
                  <w:vMerge w:val="restart"/>
                  <w:tcBorders>
                    <w:top w:val="single" w:color="000000" w:sz="2" w:space="0"/>
                    <w:left w:val="single" w:color="auto" w:sz="4" w:space="0"/>
                    <w:right w:val="single" w:color="auto" w:sz="4" w:space="0"/>
                  </w:tcBorders>
                  <w:vAlign w:val="center"/>
                </w:tcPr>
                <w:p>
                  <w:pPr>
                    <w:adjustRightInd w:val="0"/>
                    <w:snapToGrid w:val="0"/>
                    <w:jc w:val="center"/>
                    <w:rPr>
                      <w:rFonts w:ascii="Times New Roman" w:hAnsi="Times New Roman"/>
                      <w:szCs w:val="21"/>
                    </w:rPr>
                  </w:pPr>
                  <w:r>
                    <w:rPr>
                      <w:rFonts w:ascii="Times New Roman" w:hAnsi="Times New Roman"/>
                      <w:szCs w:val="21"/>
                    </w:rPr>
                    <w:t>保护</w:t>
                  </w:r>
                </w:p>
                <w:p>
                  <w:pPr>
                    <w:adjustRightInd w:val="0"/>
                    <w:snapToGrid w:val="0"/>
                    <w:jc w:val="center"/>
                    <w:rPr>
                      <w:rFonts w:hint="eastAsia"/>
                      <w:b/>
                      <w:bCs/>
                      <w:szCs w:val="21"/>
                      <w:lang w:eastAsia="zh-CN"/>
                    </w:rPr>
                  </w:pPr>
                  <w:r>
                    <w:rPr>
                      <w:rFonts w:ascii="Times New Roman" w:hAnsi="Times New Roman"/>
                      <w:szCs w:val="21"/>
                    </w:rPr>
                    <w:t>对象</w:t>
                  </w:r>
                </w:p>
              </w:tc>
              <w:tc>
                <w:tcPr>
                  <w:tcW w:w="625" w:type="pct"/>
                  <w:gridSpan w:val="2"/>
                  <w:vMerge w:val="restart"/>
                  <w:tcBorders>
                    <w:top w:val="single" w:color="000000" w:sz="2" w:space="0"/>
                    <w:left w:val="single" w:color="auto" w:sz="4" w:space="0"/>
                    <w:right w:val="single" w:color="auto" w:sz="4" w:space="0"/>
                  </w:tcBorders>
                  <w:vAlign w:val="center"/>
                </w:tcPr>
                <w:p>
                  <w:pPr>
                    <w:adjustRightInd w:val="0"/>
                    <w:snapToGrid w:val="0"/>
                    <w:jc w:val="center"/>
                    <w:rPr>
                      <w:rFonts w:hint="eastAsia"/>
                      <w:b/>
                      <w:bCs/>
                      <w:szCs w:val="21"/>
                      <w:lang w:eastAsia="zh-CN"/>
                    </w:rPr>
                  </w:pPr>
                  <w:r>
                    <w:rPr>
                      <w:rFonts w:ascii="Times New Roman" w:hAnsi="Times New Roman"/>
                      <w:szCs w:val="21"/>
                    </w:rPr>
                    <w:t>保护内容</w:t>
                  </w:r>
                </w:p>
              </w:tc>
              <w:tc>
                <w:tcPr>
                  <w:tcW w:w="543" w:type="pct"/>
                  <w:gridSpan w:val="2"/>
                  <w:vMerge w:val="restart"/>
                  <w:tcBorders>
                    <w:top w:val="single" w:color="000000" w:sz="2" w:space="0"/>
                    <w:left w:val="single" w:color="auto" w:sz="4" w:space="0"/>
                    <w:right w:val="single" w:color="auto" w:sz="4" w:space="0"/>
                  </w:tcBorders>
                  <w:vAlign w:val="center"/>
                </w:tcPr>
                <w:p>
                  <w:pPr>
                    <w:adjustRightInd w:val="0"/>
                    <w:snapToGrid w:val="0"/>
                    <w:jc w:val="center"/>
                    <w:rPr>
                      <w:rFonts w:ascii="Times New Roman" w:hAnsi="Times New Roman"/>
                      <w:szCs w:val="21"/>
                    </w:rPr>
                  </w:pPr>
                  <w:r>
                    <w:rPr>
                      <w:rFonts w:ascii="Times New Roman" w:hAnsi="Times New Roman"/>
                      <w:szCs w:val="21"/>
                    </w:rPr>
                    <w:t>环境</w:t>
                  </w:r>
                </w:p>
                <w:p>
                  <w:pPr>
                    <w:adjustRightInd w:val="0"/>
                    <w:snapToGrid w:val="0"/>
                    <w:jc w:val="center"/>
                    <w:rPr>
                      <w:rFonts w:hint="eastAsia"/>
                      <w:b/>
                      <w:bCs/>
                      <w:szCs w:val="21"/>
                      <w:lang w:eastAsia="zh-CN"/>
                    </w:rPr>
                  </w:pPr>
                  <w:r>
                    <w:rPr>
                      <w:rFonts w:ascii="Times New Roman" w:hAnsi="Times New Roman"/>
                      <w:szCs w:val="21"/>
                    </w:rPr>
                    <w:t>功能区</w:t>
                  </w:r>
                </w:p>
              </w:tc>
              <w:tc>
                <w:tcPr>
                  <w:tcW w:w="625" w:type="pct"/>
                  <w:gridSpan w:val="2"/>
                  <w:vMerge w:val="restart"/>
                  <w:tcBorders>
                    <w:top w:val="single" w:color="000000" w:sz="2" w:space="0"/>
                    <w:left w:val="single" w:color="auto" w:sz="4" w:space="0"/>
                    <w:right w:val="single" w:color="auto" w:sz="4" w:space="0"/>
                  </w:tcBorders>
                  <w:vAlign w:val="center"/>
                </w:tcPr>
                <w:p>
                  <w:pPr>
                    <w:adjustRightInd w:val="0"/>
                    <w:snapToGrid w:val="0"/>
                    <w:jc w:val="center"/>
                    <w:rPr>
                      <w:rFonts w:ascii="Times New Roman" w:hAnsi="Times New Roman"/>
                      <w:szCs w:val="21"/>
                    </w:rPr>
                  </w:pPr>
                  <w:r>
                    <w:rPr>
                      <w:rFonts w:ascii="Times New Roman" w:hAnsi="Times New Roman"/>
                      <w:szCs w:val="21"/>
                    </w:rPr>
                    <w:t>相对厂址</w:t>
                  </w:r>
                </w:p>
                <w:p>
                  <w:pPr>
                    <w:adjustRightInd w:val="0"/>
                    <w:snapToGrid w:val="0"/>
                    <w:jc w:val="center"/>
                    <w:rPr>
                      <w:rFonts w:hint="eastAsia"/>
                      <w:b/>
                      <w:bCs/>
                      <w:szCs w:val="21"/>
                      <w:lang w:eastAsia="zh-CN"/>
                    </w:rPr>
                  </w:pPr>
                  <w:r>
                    <w:rPr>
                      <w:rFonts w:ascii="Times New Roman" w:hAnsi="Times New Roman"/>
                      <w:szCs w:val="21"/>
                    </w:rPr>
                    <w:t>方位</w:t>
                  </w:r>
                </w:p>
              </w:tc>
              <w:tc>
                <w:tcPr>
                  <w:tcW w:w="701" w:type="pct"/>
                  <w:gridSpan w:val="2"/>
                  <w:vMerge w:val="restart"/>
                  <w:tcBorders>
                    <w:top w:val="single" w:color="000000" w:sz="2" w:space="0"/>
                    <w:left w:val="single" w:color="auto" w:sz="4" w:space="0"/>
                    <w:right w:val="nil"/>
                  </w:tcBorders>
                  <w:vAlign w:val="center"/>
                </w:tcPr>
                <w:p>
                  <w:pPr>
                    <w:adjustRightInd w:val="0"/>
                    <w:snapToGrid w:val="0"/>
                    <w:jc w:val="center"/>
                    <w:rPr>
                      <w:rFonts w:hint="eastAsia"/>
                      <w:b/>
                      <w:bCs/>
                      <w:szCs w:val="21"/>
                      <w:lang w:eastAsia="zh-CN"/>
                    </w:rPr>
                  </w:pPr>
                  <w:r>
                    <w:rPr>
                      <w:rFonts w:ascii="Times New Roman" w:hAnsi="Times New Roman"/>
                      <w:szCs w:val="21"/>
                    </w:rPr>
                    <w:t>相对厂界距离/m</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167" w:hRule="atLeast"/>
                <w:jc w:val="center"/>
              </w:trPr>
              <w:tc>
                <w:tcPr>
                  <w:tcW w:w="624" w:type="pct"/>
                  <w:gridSpan w:val="2"/>
                  <w:vMerge w:val="continue"/>
                  <w:tcBorders>
                    <w:left w:val="nil"/>
                    <w:bottom w:val="single" w:color="000000" w:sz="2" w:space="0"/>
                    <w:right w:val="single" w:color="auto" w:sz="4" w:space="0"/>
                  </w:tcBorders>
                  <w:vAlign w:val="center"/>
                </w:tcPr>
                <w:p>
                  <w:pPr>
                    <w:adjustRightInd w:val="0"/>
                    <w:snapToGrid w:val="0"/>
                    <w:jc w:val="center"/>
                  </w:pPr>
                </w:p>
              </w:tc>
              <w:tc>
                <w:tcPr>
                  <w:tcW w:w="704" w:type="pct"/>
                  <w:tcBorders>
                    <w:top w:val="single" w:color="000000" w:sz="2" w:space="0"/>
                    <w:left w:val="single" w:color="auto" w:sz="4" w:space="0"/>
                    <w:bottom w:val="single" w:color="000000" w:sz="2" w:space="0"/>
                    <w:right w:val="single" w:color="auto" w:sz="4" w:space="0"/>
                  </w:tcBorders>
                  <w:vAlign w:val="center"/>
                </w:tcPr>
                <w:p>
                  <w:pPr>
                    <w:widowControl/>
                    <w:adjustRightInd w:val="0"/>
                    <w:snapToGrid w:val="0"/>
                    <w:jc w:val="center"/>
                    <w:rPr>
                      <w:rFonts w:hint="eastAsia"/>
                      <w:b/>
                      <w:bCs/>
                      <w:szCs w:val="21"/>
                      <w:lang w:eastAsia="zh-CN"/>
                    </w:rPr>
                  </w:pPr>
                  <w:r>
                    <w:rPr>
                      <w:rFonts w:ascii="Times New Roman" w:hAnsi="Times New Roman"/>
                      <w:szCs w:val="21"/>
                    </w:rPr>
                    <w:t>X</w:t>
                  </w:r>
                </w:p>
              </w:tc>
              <w:tc>
                <w:tcPr>
                  <w:tcW w:w="703" w:type="pct"/>
                  <w:tcBorders>
                    <w:top w:val="single" w:color="000000" w:sz="2" w:space="0"/>
                    <w:left w:val="single" w:color="auto" w:sz="4" w:space="0"/>
                    <w:bottom w:val="single" w:color="000000" w:sz="2" w:space="0"/>
                    <w:right w:val="single" w:color="auto" w:sz="4" w:space="0"/>
                  </w:tcBorders>
                  <w:vAlign w:val="center"/>
                </w:tcPr>
                <w:p>
                  <w:pPr>
                    <w:widowControl/>
                    <w:adjustRightInd w:val="0"/>
                    <w:snapToGrid w:val="0"/>
                    <w:jc w:val="center"/>
                    <w:rPr>
                      <w:rFonts w:hint="eastAsia"/>
                      <w:b/>
                      <w:bCs/>
                      <w:szCs w:val="21"/>
                      <w:lang w:eastAsia="zh-CN"/>
                    </w:rPr>
                  </w:pPr>
                  <w:r>
                    <w:rPr>
                      <w:rFonts w:ascii="Times New Roman" w:hAnsi="Times New Roman"/>
                      <w:szCs w:val="21"/>
                    </w:rPr>
                    <w:t>Y</w:t>
                  </w:r>
                </w:p>
              </w:tc>
              <w:tc>
                <w:tcPr>
                  <w:tcW w:w="470" w:type="pct"/>
                  <w:vMerge w:val="continue"/>
                  <w:tcBorders>
                    <w:left w:val="single" w:color="auto" w:sz="4" w:space="0"/>
                    <w:bottom w:val="single" w:color="000000" w:sz="2" w:space="0"/>
                    <w:right w:val="single" w:color="auto" w:sz="4" w:space="0"/>
                  </w:tcBorders>
                  <w:vAlign w:val="center"/>
                </w:tcPr>
                <w:p>
                  <w:pPr>
                    <w:adjustRightInd w:val="0"/>
                    <w:snapToGrid w:val="0"/>
                    <w:jc w:val="center"/>
                    <w:rPr>
                      <w:rFonts w:hint="eastAsia"/>
                      <w:b/>
                      <w:bCs/>
                      <w:szCs w:val="21"/>
                      <w:lang w:eastAsia="zh-CN"/>
                    </w:rPr>
                  </w:pPr>
                </w:p>
              </w:tc>
              <w:tc>
                <w:tcPr>
                  <w:tcW w:w="625" w:type="pct"/>
                  <w:gridSpan w:val="2"/>
                  <w:vMerge w:val="continue"/>
                  <w:tcBorders>
                    <w:left w:val="single" w:color="auto" w:sz="4" w:space="0"/>
                    <w:bottom w:val="single" w:color="000000" w:sz="2" w:space="0"/>
                    <w:right w:val="single" w:color="auto" w:sz="4" w:space="0"/>
                  </w:tcBorders>
                  <w:vAlign w:val="center"/>
                </w:tcPr>
                <w:p>
                  <w:pPr>
                    <w:adjustRightInd w:val="0"/>
                    <w:snapToGrid w:val="0"/>
                    <w:jc w:val="center"/>
                    <w:rPr>
                      <w:rFonts w:hint="eastAsia"/>
                      <w:b/>
                      <w:bCs/>
                      <w:szCs w:val="21"/>
                      <w:lang w:eastAsia="zh-CN"/>
                    </w:rPr>
                  </w:pPr>
                </w:p>
              </w:tc>
              <w:tc>
                <w:tcPr>
                  <w:tcW w:w="543" w:type="pct"/>
                  <w:gridSpan w:val="2"/>
                  <w:vMerge w:val="continue"/>
                  <w:tcBorders>
                    <w:left w:val="single" w:color="auto" w:sz="4" w:space="0"/>
                    <w:bottom w:val="single" w:color="000000" w:sz="2" w:space="0"/>
                    <w:right w:val="single" w:color="auto" w:sz="4" w:space="0"/>
                  </w:tcBorders>
                  <w:vAlign w:val="center"/>
                </w:tcPr>
                <w:p>
                  <w:pPr>
                    <w:adjustRightInd w:val="0"/>
                    <w:snapToGrid w:val="0"/>
                    <w:jc w:val="center"/>
                    <w:rPr>
                      <w:rFonts w:hint="eastAsia"/>
                      <w:b/>
                      <w:bCs/>
                      <w:szCs w:val="21"/>
                      <w:lang w:eastAsia="zh-CN"/>
                    </w:rPr>
                  </w:pPr>
                </w:p>
              </w:tc>
              <w:tc>
                <w:tcPr>
                  <w:tcW w:w="625" w:type="pct"/>
                  <w:gridSpan w:val="2"/>
                  <w:vMerge w:val="continue"/>
                  <w:tcBorders>
                    <w:left w:val="single" w:color="auto" w:sz="4" w:space="0"/>
                    <w:bottom w:val="single" w:color="000000" w:sz="2" w:space="0"/>
                    <w:right w:val="single" w:color="auto" w:sz="4" w:space="0"/>
                  </w:tcBorders>
                  <w:vAlign w:val="center"/>
                </w:tcPr>
                <w:p>
                  <w:pPr>
                    <w:adjustRightInd w:val="0"/>
                    <w:snapToGrid w:val="0"/>
                    <w:jc w:val="center"/>
                    <w:rPr>
                      <w:rFonts w:hint="eastAsia"/>
                      <w:b/>
                      <w:bCs/>
                      <w:szCs w:val="21"/>
                      <w:lang w:eastAsia="zh-CN"/>
                    </w:rPr>
                  </w:pPr>
                </w:p>
              </w:tc>
              <w:tc>
                <w:tcPr>
                  <w:tcW w:w="701" w:type="pct"/>
                  <w:gridSpan w:val="2"/>
                  <w:vMerge w:val="continue"/>
                  <w:tcBorders>
                    <w:left w:val="single" w:color="auto" w:sz="4" w:space="0"/>
                    <w:bottom w:val="single" w:color="000000" w:sz="2" w:space="0"/>
                    <w:right w:val="nil"/>
                  </w:tcBorders>
                  <w:vAlign w:val="center"/>
                </w:tcPr>
                <w:p>
                  <w:pPr>
                    <w:adjustRightInd w:val="0"/>
                    <w:snapToGrid w:val="0"/>
                    <w:jc w:val="center"/>
                    <w:rPr>
                      <w:rFonts w:hint="eastAsia"/>
                      <w:b/>
                      <w:bCs/>
                      <w:szCs w:val="21"/>
                      <w:lang w:eastAsia="zh-CN"/>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40" w:hRule="atLeast"/>
                <w:jc w:val="center"/>
              </w:trPr>
              <w:tc>
                <w:tcPr>
                  <w:tcW w:w="624" w:type="pct"/>
                  <w:gridSpan w:val="2"/>
                  <w:vMerge w:val="restart"/>
                  <w:tcBorders>
                    <w:top w:val="single" w:color="000000" w:sz="2" w:space="0"/>
                    <w:left w:val="nil"/>
                    <w:right w:val="single" w:color="auto" w:sz="4" w:space="0"/>
                  </w:tcBorders>
                  <w:vAlign w:val="center"/>
                </w:tcPr>
                <w:p>
                  <w:pPr>
                    <w:adjustRightInd w:val="0"/>
                    <w:snapToGrid w:val="0"/>
                    <w:jc w:val="center"/>
                    <w:rPr>
                      <w:rFonts w:ascii="Times New Roman" w:hAnsi="Times New Roman"/>
                      <w:b/>
                      <w:bCs/>
                      <w:szCs w:val="21"/>
                    </w:rPr>
                  </w:pPr>
                  <w:r>
                    <w:rPr>
                      <w:rFonts w:hint="eastAsia"/>
                      <w:szCs w:val="21"/>
                      <w:lang w:eastAsia="zh-CN"/>
                    </w:rPr>
                    <w:t>张庄</w:t>
                  </w:r>
                </w:p>
              </w:tc>
              <w:tc>
                <w:tcPr>
                  <w:tcW w:w="704" w:type="pct"/>
                  <w:tcBorders>
                    <w:top w:val="single" w:color="000000" w:sz="2"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b/>
                      <w:bCs/>
                      <w:szCs w:val="21"/>
                    </w:rPr>
                  </w:pPr>
                  <w:r>
                    <w:rPr>
                      <w:rFonts w:ascii="Times New Roman" w:hAnsi="Times New Roman"/>
                      <w:szCs w:val="21"/>
                    </w:rPr>
                    <w:t>113.</w:t>
                  </w:r>
                  <w:r>
                    <w:rPr>
                      <w:rFonts w:hint="eastAsia"/>
                      <w:szCs w:val="21"/>
                      <w:lang w:val="en-US" w:eastAsia="zh-CN"/>
                    </w:rPr>
                    <w:t>205964</w:t>
                  </w:r>
                </w:p>
              </w:tc>
              <w:tc>
                <w:tcPr>
                  <w:tcW w:w="703" w:type="pct"/>
                  <w:tcBorders>
                    <w:top w:val="single" w:color="000000" w:sz="2"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b/>
                      <w:bCs/>
                      <w:szCs w:val="21"/>
                    </w:rPr>
                  </w:pPr>
                  <w:r>
                    <w:rPr>
                      <w:rFonts w:ascii="Times New Roman" w:hAnsi="Times New Roman"/>
                      <w:szCs w:val="21"/>
                    </w:rPr>
                    <w:t>33.</w:t>
                  </w:r>
                  <w:r>
                    <w:rPr>
                      <w:rFonts w:hint="eastAsia"/>
                      <w:szCs w:val="21"/>
                      <w:lang w:val="en-US" w:eastAsia="zh-CN"/>
                    </w:rPr>
                    <w:t>444483</w:t>
                  </w:r>
                </w:p>
              </w:tc>
              <w:tc>
                <w:tcPr>
                  <w:tcW w:w="470" w:type="pct"/>
                  <w:vMerge w:val="restart"/>
                  <w:tcBorders>
                    <w:top w:val="single" w:color="000000" w:sz="2" w:space="0"/>
                    <w:left w:val="single" w:color="auto" w:sz="4" w:space="0"/>
                    <w:right w:val="single" w:color="auto" w:sz="4" w:space="0"/>
                  </w:tcBorders>
                  <w:vAlign w:val="center"/>
                </w:tcPr>
                <w:p>
                  <w:pPr>
                    <w:adjustRightInd w:val="0"/>
                    <w:snapToGrid w:val="0"/>
                    <w:jc w:val="center"/>
                    <w:rPr>
                      <w:rFonts w:hint="eastAsia" w:ascii="Times New Roman" w:hAnsi="Times New Roman" w:eastAsia="宋体"/>
                      <w:b w:val="0"/>
                      <w:bCs w:val="0"/>
                      <w:szCs w:val="21"/>
                      <w:lang w:eastAsia="zh-CN"/>
                    </w:rPr>
                  </w:pPr>
                  <w:r>
                    <w:rPr>
                      <w:rFonts w:hint="eastAsia"/>
                      <w:b w:val="0"/>
                      <w:bCs w:val="0"/>
                      <w:szCs w:val="21"/>
                      <w:lang w:eastAsia="zh-CN"/>
                    </w:rPr>
                    <w:t>人口</w:t>
                  </w:r>
                </w:p>
              </w:tc>
              <w:tc>
                <w:tcPr>
                  <w:tcW w:w="625" w:type="pct"/>
                  <w:gridSpan w:val="2"/>
                  <w:vMerge w:val="restart"/>
                  <w:tcBorders>
                    <w:top w:val="single" w:color="000000" w:sz="2" w:space="0"/>
                    <w:left w:val="single" w:color="auto" w:sz="4" w:space="0"/>
                    <w:right w:val="single" w:color="auto" w:sz="4" w:space="0"/>
                  </w:tcBorders>
                  <w:vAlign w:val="center"/>
                </w:tcPr>
                <w:p>
                  <w:pPr>
                    <w:adjustRightInd w:val="0"/>
                    <w:snapToGrid w:val="0"/>
                    <w:jc w:val="center"/>
                    <w:rPr>
                      <w:rFonts w:hint="eastAsia" w:ascii="Times New Roman" w:hAnsi="Times New Roman" w:eastAsia="宋体"/>
                      <w:b w:val="0"/>
                      <w:bCs w:val="0"/>
                      <w:szCs w:val="21"/>
                      <w:lang w:eastAsia="zh-CN"/>
                    </w:rPr>
                  </w:pPr>
                  <w:r>
                    <w:rPr>
                      <w:rFonts w:hint="eastAsia" w:ascii="Times New Roman" w:hAnsi="Times New Roman" w:eastAsia="宋体" w:cs="Times New Roman"/>
                      <w:b w:val="0"/>
                      <w:bCs w:val="0"/>
                      <w:szCs w:val="21"/>
                      <w:lang w:eastAsia="zh-CN"/>
                    </w:rPr>
                    <w:t>声环境质量</w:t>
                  </w:r>
                </w:p>
              </w:tc>
              <w:tc>
                <w:tcPr>
                  <w:tcW w:w="543" w:type="pct"/>
                  <w:gridSpan w:val="2"/>
                  <w:vMerge w:val="restart"/>
                  <w:tcBorders>
                    <w:top w:val="single" w:color="000000" w:sz="2" w:space="0"/>
                    <w:left w:val="single" w:color="auto" w:sz="4" w:space="0"/>
                    <w:right w:val="single" w:color="auto" w:sz="4" w:space="0"/>
                  </w:tcBorders>
                  <w:vAlign w:val="center"/>
                </w:tcPr>
                <w:p>
                  <w:pPr>
                    <w:adjustRightInd w:val="0"/>
                    <w:snapToGrid w:val="0"/>
                    <w:jc w:val="center"/>
                    <w:rPr>
                      <w:rFonts w:ascii="Times New Roman" w:hAnsi="Times New Roman"/>
                      <w:b/>
                      <w:bCs/>
                      <w:szCs w:val="21"/>
                    </w:rPr>
                  </w:pPr>
                  <w:r>
                    <w:rPr>
                      <w:rFonts w:hint="eastAsia" w:ascii="Times New Roman" w:hAnsi="Times New Roman" w:cs="宋体"/>
                      <w:bCs/>
                      <w:color w:val="000000" w:themeColor="text1"/>
                      <w:szCs w:val="20"/>
                    </w:rPr>
                    <w:t>II</w:t>
                  </w:r>
                  <w:r>
                    <w:rPr>
                      <w:rFonts w:ascii="Times New Roman" w:hAnsi="Times New Roman" w:eastAsia="宋体" w:cs="Times New Roman"/>
                      <w:b w:val="0"/>
                      <w:kern w:val="2"/>
                      <w:sz w:val="21"/>
                      <w:szCs w:val="21"/>
                      <w:lang w:val="en-US" w:eastAsia="zh-CN" w:bidi="ar-SA"/>
                    </w:rPr>
                    <w:t>类</w:t>
                  </w:r>
                </w:p>
              </w:tc>
              <w:tc>
                <w:tcPr>
                  <w:tcW w:w="1134" w:type="dxa"/>
                  <w:gridSpan w:val="2"/>
                  <w:tcBorders>
                    <w:top w:val="single" w:color="000000" w:sz="2"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b/>
                      <w:bCs/>
                      <w:szCs w:val="21"/>
                    </w:rPr>
                  </w:pPr>
                  <w:r>
                    <w:rPr>
                      <w:rFonts w:hint="eastAsia"/>
                      <w:szCs w:val="21"/>
                      <w:lang w:val="en-US" w:eastAsia="zh-CN"/>
                    </w:rPr>
                    <w:t>N</w:t>
                  </w:r>
                </w:p>
              </w:tc>
              <w:tc>
                <w:tcPr>
                  <w:tcW w:w="1273" w:type="dxa"/>
                  <w:gridSpan w:val="2"/>
                  <w:tcBorders>
                    <w:top w:val="single" w:color="000000" w:sz="2" w:space="0"/>
                    <w:left w:val="single" w:color="auto" w:sz="4" w:space="0"/>
                    <w:bottom w:val="single" w:color="auto" w:sz="4" w:space="0"/>
                    <w:right w:val="nil"/>
                  </w:tcBorders>
                  <w:vAlign w:val="center"/>
                </w:tcPr>
                <w:p>
                  <w:pPr>
                    <w:adjustRightInd w:val="0"/>
                    <w:snapToGrid w:val="0"/>
                    <w:jc w:val="center"/>
                    <w:rPr>
                      <w:rFonts w:ascii="Times New Roman" w:hAnsi="Times New Roman"/>
                      <w:b/>
                      <w:bCs/>
                      <w:szCs w:val="21"/>
                    </w:rPr>
                  </w:pPr>
                  <w:r>
                    <w:rPr>
                      <w:rFonts w:hint="eastAsia"/>
                      <w:szCs w:val="21"/>
                      <w:lang w:val="en-US" w:eastAsia="zh-CN"/>
                    </w:rPr>
                    <w:t>35</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40" w:hRule="atLeast"/>
                <w:jc w:val="center"/>
              </w:trPr>
              <w:tc>
                <w:tcPr>
                  <w:tcW w:w="624" w:type="pct"/>
                  <w:gridSpan w:val="2"/>
                  <w:vMerge w:val="continue"/>
                  <w:tcBorders>
                    <w:left w:val="nil"/>
                    <w:right w:val="single" w:color="auto" w:sz="4" w:space="0"/>
                  </w:tcBorders>
                  <w:vAlign w:val="center"/>
                </w:tcPr>
                <w:p>
                  <w:pPr>
                    <w:adjustRightInd w:val="0"/>
                    <w:snapToGrid w:val="0"/>
                    <w:jc w:val="center"/>
                    <w:rPr>
                      <w:rFonts w:ascii="Times New Roman" w:hAnsi="Times New Roman"/>
                      <w:b/>
                      <w:bCs/>
                      <w:szCs w:val="21"/>
                    </w:rPr>
                  </w:pPr>
                </w:p>
              </w:tc>
              <w:tc>
                <w:tcPr>
                  <w:tcW w:w="704"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b/>
                      <w:bCs/>
                      <w:szCs w:val="21"/>
                    </w:rPr>
                  </w:pPr>
                  <w:r>
                    <w:rPr>
                      <w:rFonts w:ascii="Times New Roman" w:hAnsi="Times New Roman"/>
                      <w:szCs w:val="21"/>
                    </w:rPr>
                    <w:t>113.</w:t>
                  </w:r>
                  <w:r>
                    <w:rPr>
                      <w:rFonts w:hint="eastAsia"/>
                      <w:szCs w:val="21"/>
                      <w:lang w:val="en-US" w:eastAsia="zh-CN"/>
                    </w:rPr>
                    <w:t>210081</w:t>
                  </w:r>
                </w:p>
              </w:tc>
              <w:tc>
                <w:tcPr>
                  <w:tcW w:w="703"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b/>
                      <w:bCs/>
                      <w:szCs w:val="21"/>
                    </w:rPr>
                  </w:pPr>
                  <w:r>
                    <w:rPr>
                      <w:rFonts w:ascii="Times New Roman" w:hAnsi="Times New Roman"/>
                      <w:szCs w:val="21"/>
                    </w:rPr>
                    <w:t>33.</w:t>
                  </w:r>
                  <w:r>
                    <w:rPr>
                      <w:rFonts w:hint="eastAsia"/>
                      <w:szCs w:val="21"/>
                      <w:lang w:val="en-US" w:eastAsia="zh-CN"/>
                    </w:rPr>
                    <w:t>444338</w:t>
                  </w:r>
                </w:p>
              </w:tc>
              <w:tc>
                <w:tcPr>
                  <w:tcW w:w="470" w:type="pct"/>
                  <w:vMerge w:val="continue"/>
                  <w:tcBorders>
                    <w:left w:val="single" w:color="auto" w:sz="4" w:space="0"/>
                    <w:right w:val="single" w:color="auto" w:sz="4" w:space="0"/>
                  </w:tcBorders>
                  <w:vAlign w:val="center"/>
                </w:tcPr>
                <w:p>
                  <w:pPr>
                    <w:adjustRightInd w:val="0"/>
                    <w:snapToGrid w:val="0"/>
                    <w:jc w:val="center"/>
                    <w:rPr>
                      <w:rFonts w:ascii="Times New Roman" w:hAnsi="Times New Roman"/>
                      <w:b/>
                      <w:bCs/>
                      <w:szCs w:val="21"/>
                    </w:rPr>
                  </w:pPr>
                </w:p>
              </w:tc>
              <w:tc>
                <w:tcPr>
                  <w:tcW w:w="625" w:type="pct"/>
                  <w:gridSpan w:val="2"/>
                  <w:vMerge w:val="continue"/>
                  <w:tcBorders>
                    <w:left w:val="single" w:color="auto" w:sz="4" w:space="0"/>
                    <w:right w:val="single" w:color="auto" w:sz="4" w:space="0"/>
                  </w:tcBorders>
                  <w:vAlign w:val="center"/>
                </w:tcPr>
                <w:p>
                  <w:pPr>
                    <w:adjustRightInd w:val="0"/>
                    <w:snapToGrid w:val="0"/>
                    <w:jc w:val="center"/>
                    <w:rPr>
                      <w:rFonts w:ascii="Times New Roman" w:hAnsi="Times New Roman"/>
                      <w:b/>
                      <w:bCs/>
                      <w:szCs w:val="21"/>
                    </w:rPr>
                  </w:pPr>
                </w:p>
              </w:tc>
              <w:tc>
                <w:tcPr>
                  <w:tcW w:w="543" w:type="pct"/>
                  <w:gridSpan w:val="2"/>
                  <w:vMerge w:val="continue"/>
                  <w:tcBorders>
                    <w:left w:val="single" w:color="auto" w:sz="4" w:space="0"/>
                    <w:right w:val="single" w:color="auto" w:sz="4" w:space="0"/>
                  </w:tcBorders>
                  <w:vAlign w:val="center"/>
                </w:tcPr>
                <w:p>
                  <w:pPr>
                    <w:adjustRightInd w:val="0"/>
                    <w:snapToGrid w:val="0"/>
                    <w:jc w:val="center"/>
                    <w:rPr>
                      <w:rFonts w:ascii="Times New Roman" w:hAnsi="Times New Roman"/>
                      <w:b/>
                      <w:bCs/>
                      <w:szCs w:val="21"/>
                    </w:rPr>
                  </w:pPr>
                </w:p>
              </w:tc>
              <w:tc>
                <w:tcPr>
                  <w:tcW w:w="1134"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b/>
                      <w:bCs/>
                      <w:szCs w:val="21"/>
                    </w:rPr>
                  </w:pPr>
                  <w:r>
                    <w:rPr>
                      <w:rFonts w:hint="eastAsia"/>
                      <w:szCs w:val="21"/>
                      <w:lang w:val="en-US" w:eastAsia="zh-CN"/>
                    </w:rPr>
                    <w:t>E</w:t>
                  </w:r>
                </w:p>
              </w:tc>
              <w:tc>
                <w:tcPr>
                  <w:tcW w:w="1273" w:type="dxa"/>
                  <w:gridSpan w:val="2"/>
                  <w:tcBorders>
                    <w:top w:val="single" w:color="auto" w:sz="4" w:space="0"/>
                    <w:left w:val="single" w:color="auto" w:sz="4" w:space="0"/>
                    <w:bottom w:val="single" w:color="auto" w:sz="4" w:space="0"/>
                    <w:right w:val="nil"/>
                  </w:tcBorders>
                  <w:vAlign w:val="center"/>
                </w:tcPr>
                <w:p>
                  <w:pPr>
                    <w:adjustRightInd w:val="0"/>
                    <w:snapToGrid w:val="0"/>
                    <w:jc w:val="center"/>
                    <w:rPr>
                      <w:rFonts w:ascii="Times New Roman" w:hAnsi="Times New Roman"/>
                      <w:b/>
                      <w:bCs/>
                      <w:szCs w:val="21"/>
                    </w:rPr>
                  </w:pPr>
                  <w:r>
                    <w:rPr>
                      <w:rFonts w:hint="eastAsia"/>
                      <w:szCs w:val="21"/>
                      <w:lang w:val="en-US" w:eastAsia="zh-CN"/>
                    </w:rPr>
                    <w:t>35</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40" w:hRule="atLeast"/>
                <w:jc w:val="center"/>
              </w:trPr>
              <w:tc>
                <w:tcPr>
                  <w:tcW w:w="624" w:type="pct"/>
                  <w:gridSpan w:val="2"/>
                  <w:vMerge w:val="continue"/>
                  <w:tcBorders>
                    <w:left w:val="nil"/>
                    <w:bottom w:val="single" w:color="000000" w:sz="2" w:space="0"/>
                    <w:right w:val="single" w:color="auto" w:sz="4" w:space="0"/>
                  </w:tcBorders>
                  <w:vAlign w:val="center"/>
                </w:tcPr>
                <w:p>
                  <w:pPr>
                    <w:adjustRightInd w:val="0"/>
                    <w:snapToGrid w:val="0"/>
                    <w:jc w:val="center"/>
                    <w:rPr>
                      <w:rFonts w:ascii="Times New Roman" w:hAnsi="Times New Roman"/>
                      <w:b/>
                      <w:bCs/>
                      <w:szCs w:val="21"/>
                    </w:rPr>
                  </w:pPr>
                </w:p>
              </w:tc>
              <w:tc>
                <w:tcPr>
                  <w:tcW w:w="704" w:type="pct"/>
                  <w:tcBorders>
                    <w:top w:val="single" w:color="auto" w:sz="4" w:space="0"/>
                    <w:left w:val="single" w:color="auto" w:sz="4" w:space="0"/>
                    <w:bottom w:val="single" w:color="000000" w:sz="2" w:space="0"/>
                    <w:right w:val="single" w:color="auto" w:sz="4" w:space="0"/>
                  </w:tcBorders>
                  <w:vAlign w:val="center"/>
                </w:tcPr>
                <w:p>
                  <w:pPr>
                    <w:adjustRightInd w:val="0"/>
                    <w:snapToGrid w:val="0"/>
                    <w:jc w:val="center"/>
                    <w:rPr>
                      <w:rFonts w:ascii="Times New Roman" w:hAnsi="Times New Roman"/>
                      <w:b/>
                      <w:bCs/>
                      <w:szCs w:val="21"/>
                    </w:rPr>
                  </w:pPr>
                  <w:r>
                    <w:rPr>
                      <w:rFonts w:hint="eastAsia" w:ascii="Times New Roman" w:hAnsi="Times New Roman"/>
                      <w:szCs w:val="21"/>
                      <w:lang w:val="en-US" w:eastAsia="zh-CN"/>
                    </w:rPr>
                    <w:t>113.205962</w:t>
                  </w:r>
                </w:p>
              </w:tc>
              <w:tc>
                <w:tcPr>
                  <w:tcW w:w="703" w:type="pct"/>
                  <w:tcBorders>
                    <w:top w:val="single" w:color="auto" w:sz="4" w:space="0"/>
                    <w:left w:val="single" w:color="auto" w:sz="4" w:space="0"/>
                    <w:bottom w:val="single" w:color="000000" w:sz="2" w:space="0"/>
                    <w:right w:val="single" w:color="auto" w:sz="4" w:space="0"/>
                  </w:tcBorders>
                  <w:vAlign w:val="center"/>
                </w:tcPr>
                <w:p>
                  <w:pPr>
                    <w:adjustRightInd w:val="0"/>
                    <w:snapToGrid w:val="0"/>
                    <w:jc w:val="center"/>
                    <w:rPr>
                      <w:rFonts w:ascii="Times New Roman" w:hAnsi="Times New Roman"/>
                      <w:b/>
                      <w:bCs/>
                      <w:szCs w:val="21"/>
                    </w:rPr>
                  </w:pPr>
                  <w:r>
                    <w:rPr>
                      <w:rFonts w:ascii="Times New Roman" w:hAnsi="Times New Roman"/>
                      <w:szCs w:val="21"/>
                    </w:rPr>
                    <w:t>33.</w:t>
                  </w:r>
                  <w:r>
                    <w:rPr>
                      <w:rFonts w:hint="eastAsia"/>
                      <w:szCs w:val="21"/>
                      <w:lang w:val="en-US" w:eastAsia="zh-CN"/>
                    </w:rPr>
                    <w:t>443820</w:t>
                  </w:r>
                </w:p>
              </w:tc>
              <w:tc>
                <w:tcPr>
                  <w:tcW w:w="470" w:type="pct"/>
                  <w:vMerge w:val="continue"/>
                  <w:tcBorders>
                    <w:left w:val="single" w:color="auto" w:sz="4" w:space="0"/>
                    <w:bottom w:val="single" w:color="000000" w:sz="2" w:space="0"/>
                    <w:right w:val="single" w:color="auto" w:sz="4" w:space="0"/>
                  </w:tcBorders>
                  <w:vAlign w:val="center"/>
                </w:tcPr>
                <w:p>
                  <w:pPr>
                    <w:adjustRightInd w:val="0"/>
                    <w:snapToGrid w:val="0"/>
                    <w:jc w:val="center"/>
                    <w:rPr>
                      <w:rFonts w:ascii="Times New Roman" w:hAnsi="Times New Roman"/>
                      <w:b/>
                      <w:bCs/>
                      <w:szCs w:val="21"/>
                    </w:rPr>
                  </w:pPr>
                </w:p>
              </w:tc>
              <w:tc>
                <w:tcPr>
                  <w:tcW w:w="625" w:type="pct"/>
                  <w:gridSpan w:val="2"/>
                  <w:vMerge w:val="continue"/>
                  <w:tcBorders>
                    <w:left w:val="single" w:color="auto" w:sz="4" w:space="0"/>
                    <w:bottom w:val="single" w:color="000000" w:sz="2" w:space="0"/>
                    <w:right w:val="single" w:color="auto" w:sz="4" w:space="0"/>
                  </w:tcBorders>
                  <w:vAlign w:val="center"/>
                </w:tcPr>
                <w:p>
                  <w:pPr>
                    <w:adjustRightInd w:val="0"/>
                    <w:snapToGrid w:val="0"/>
                    <w:jc w:val="center"/>
                    <w:rPr>
                      <w:rFonts w:ascii="Times New Roman" w:hAnsi="Times New Roman"/>
                      <w:b/>
                      <w:bCs/>
                      <w:szCs w:val="21"/>
                    </w:rPr>
                  </w:pPr>
                </w:p>
              </w:tc>
              <w:tc>
                <w:tcPr>
                  <w:tcW w:w="543" w:type="pct"/>
                  <w:gridSpan w:val="2"/>
                  <w:vMerge w:val="continue"/>
                  <w:tcBorders>
                    <w:left w:val="single" w:color="auto" w:sz="4" w:space="0"/>
                    <w:bottom w:val="single" w:color="000000" w:sz="2" w:space="0"/>
                    <w:right w:val="single" w:color="auto" w:sz="4" w:space="0"/>
                  </w:tcBorders>
                  <w:vAlign w:val="center"/>
                </w:tcPr>
                <w:p>
                  <w:pPr>
                    <w:adjustRightInd w:val="0"/>
                    <w:snapToGrid w:val="0"/>
                    <w:jc w:val="center"/>
                    <w:rPr>
                      <w:rFonts w:ascii="Times New Roman" w:hAnsi="Times New Roman"/>
                      <w:b/>
                      <w:bCs/>
                      <w:szCs w:val="21"/>
                    </w:rPr>
                  </w:pPr>
                </w:p>
              </w:tc>
              <w:tc>
                <w:tcPr>
                  <w:tcW w:w="1134" w:type="dxa"/>
                  <w:gridSpan w:val="2"/>
                  <w:tcBorders>
                    <w:top w:val="single" w:color="auto" w:sz="4" w:space="0"/>
                    <w:left w:val="single" w:color="auto" w:sz="4" w:space="0"/>
                    <w:bottom w:val="single" w:color="000000" w:sz="2" w:space="0"/>
                    <w:right w:val="single" w:color="auto" w:sz="4" w:space="0"/>
                  </w:tcBorders>
                  <w:vAlign w:val="center"/>
                </w:tcPr>
                <w:p>
                  <w:pPr>
                    <w:adjustRightInd w:val="0"/>
                    <w:snapToGrid w:val="0"/>
                    <w:jc w:val="center"/>
                    <w:rPr>
                      <w:rFonts w:ascii="Times New Roman" w:hAnsi="Times New Roman"/>
                      <w:b/>
                      <w:bCs/>
                      <w:szCs w:val="21"/>
                    </w:rPr>
                  </w:pPr>
                  <w:r>
                    <w:rPr>
                      <w:rFonts w:hint="eastAsia"/>
                      <w:szCs w:val="21"/>
                      <w:lang w:val="en-US" w:eastAsia="zh-CN"/>
                    </w:rPr>
                    <w:t>S</w:t>
                  </w:r>
                </w:p>
              </w:tc>
              <w:tc>
                <w:tcPr>
                  <w:tcW w:w="1273" w:type="dxa"/>
                  <w:gridSpan w:val="2"/>
                  <w:tcBorders>
                    <w:top w:val="single" w:color="auto" w:sz="4" w:space="0"/>
                    <w:left w:val="single" w:color="auto" w:sz="4" w:space="0"/>
                    <w:bottom w:val="single" w:color="000000" w:sz="2" w:space="0"/>
                    <w:right w:val="nil"/>
                  </w:tcBorders>
                  <w:vAlign w:val="center"/>
                </w:tcPr>
                <w:p>
                  <w:pPr>
                    <w:adjustRightInd w:val="0"/>
                    <w:snapToGrid w:val="0"/>
                    <w:jc w:val="center"/>
                    <w:rPr>
                      <w:rFonts w:ascii="Times New Roman" w:hAnsi="Times New Roman"/>
                      <w:b/>
                      <w:bCs/>
                      <w:szCs w:val="21"/>
                    </w:rPr>
                  </w:pPr>
                  <w:r>
                    <w:rPr>
                      <w:rFonts w:hint="eastAsia"/>
                      <w:szCs w:val="21"/>
                      <w:lang w:val="en-US" w:eastAsia="zh-CN"/>
                    </w:rPr>
                    <w:t>120</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40" w:hRule="atLeast"/>
                <w:jc w:val="center"/>
              </w:trPr>
              <w:tc>
                <w:tcPr>
                  <w:tcW w:w="5000" w:type="pct"/>
                  <w:gridSpan w:val="13"/>
                  <w:tcBorders>
                    <w:top w:val="single" w:color="000000" w:sz="2" w:space="0"/>
                    <w:left w:val="nil"/>
                    <w:bottom w:val="single" w:color="000000" w:sz="2" w:space="0"/>
                    <w:right w:val="nil"/>
                  </w:tcBorders>
                  <w:vAlign w:val="center"/>
                </w:tcPr>
                <w:p>
                  <w:pPr>
                    <w:adjustRightInd w:val="0"/>
                    <w:snapToGrid w:val="0"/>
                    <w:jc w:val="center"/>
                    <w:rPr>
                      <w:rFonts w:ascii="Times New Roman" w:hAnsi="Times New Roman"/>
                      <w:b/>
                      <w:bCs/>
                      <w:szCs w:val="21"/>
                    </w:rPr>
                  </w:pPr>
                  <w:r>
                    <w:rPr>
                      <w:rFonts w:ascii="Times New Roman" w:hAnsi="Times New Roman"/>
                      <w:b/>
                      <w:bCs/>
                      <w:szCs w:val="21"/>
                    </w:rPr>
                    <w:t>地表水环境保护目标</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40" w:hRule="atLeast"/>
                <w:jc w:val="center"/>
              </w:trPr>
              <w:tc>
                <w:tcPr>
                  <w:tcW w:w="605" w:type="pct"/>
                  <w:tcBorders>
                    <w:top w:val="single" w:color="000000" w:sz="2" w:space="0"/>
                    <w:left w:val="nil"/>
                    <w:bottom w:val="single" w:color="000000" w:sz="2" w:space="0"/>
                    <w:right w:val="single" w:color="auto" w:sz="4" w:space="0"/>
                  </w:tcBorders>
                  <w:vAlign w:val="center"/>
                </w:tcPr>
                <w:p>
                  <w:pPr>
                    <w:adjustRightInd w:val="0"/>
                    <w:snapToGrid w:val="0"/>
                    <w:jc w:val="center"/>
                    <w:rPr>
                      <w:rFonts w:hint="eastAsia" w:ascii="Times New Roman" w:hAnsi="Times New Roman" w:eastAsia="宋体"/>
                      <w:color w:val="000000" w:themeColor="text1"/>
                      <w:szCs w:val="21"/>
                      <w:lang w:eastAsia="zh-CN"/>
                    </w:rPr>
                  </w:pPr>
                  <w:r>
                    <w:rPr>
                      <w:rFonts w:hint="eastAsia"/>
                      <w:color w:val="000000" w:themeColor="text1"/>
                      <w:szCs w:val="21"/>
                      <w:lang w:eastAsia="zh-CN"/>
                    </w:rPr>
                    <w:t>月台河</w:t>
                  </w:r>
                </w:p>
              </w:tc>
              <w:tc>
                <w:tcPr>
                  <w:tcW w:w="723" w:type="pct"/>
                  <w:gridSpan w:val="2"/>
                  <w:tcBorders>
                    <w:top w:val="single" w:color="000000" w:sz="2" w:space="0"/>
                    <w:left w:val="single" w:color="auto" w:sz="4" w:space="0"/>
                    <w:bottom w:val="single" w:color="000000" w:sz="2" w:space="0"/>
                    <w:right w:val="single" w:color="000000" w:sz="2" w:space="0"/>
                  </w:tcBorders>
                  <w:vAlign w:val="center"/>
                </w:tcPr>
                <w:p>
                  <w:pPr>
                    <w:adjustRightInd w:val="0"/>
                    <w:snapToGrid w:val="0"/>
                    <w:jc w:val="center"/>
                    <w:rPr>
                      <w:rFonts w:ascii="Times New Roman" w:hAnsi="Times New Roman"/>
                      <w:color w:val="000000" w:themeColor="text1"/>
                      <w:szCs w:val="21"/>
                    </w:rPr>
                  </w:pPr>
                  <w:r>
                    <w:rPr>
                      <w:rFonts w:ascii="Times New Roman" w:hAnsi="Times New Roman"/>
                      <w:color w:val="000000" w:themeColor="text1"/>
                      <w:szCs w:val="21"/>
                    </w:rPr>
                    <w:t>/</w:t>
                  </w:r>
                </w:p>
              </w:tc>
              <w:tc>
                <w:tcPr>
                  <w:tcW w:w="703" w:type="pct"/>
                  <w:tcBorders>
                    <w:top w:val="single" w:color="000000" w:sz="2" w:space="0"/>
                    <w:left w:val="single" w:color="auto" w:sz="4" w:space="0"/>
                    <w:bottom w:val="single" w:color="000000" w:sz="2" w:space="0"/>
                    <w:right w:val="single" w:color="000000" w:sz="2" w:space="0"/>
                  </w:tcBorders>
                  <w:vAlign w:val="center"/>
                </w:tcPr>
                <w:p>
                  <w:pPr>
                    <w:adjustRightInd w:val="0"/>
                    <w:snapToGrid w:val="0"/>
                    <w:jc w:val="center"/>
                    <w:rPr>
                      <w:rFonts w:ascii="Times New Roman" w:hAnsi="Times New Roman"/>
                      <w:color w:val="000000" w:themeColor="text1"/>
                      <w:szCs w:val="21"/>
                    </w:rPr>
                  </w:pPr>
                  <w:r>
                    <w:rPr>
                      <w:rFonts w:ascii="Times New Roman" w:hAnsi="Times New Roman"/>
                      <w:color w:val="000000" w:themeColor="text1"/>
                      <w:szCs w:val="21"/>
                    </w:rPr>
                    <w:t>/</w:t>
                  </w:r>
                </w:p>
              </w:tc>
              <w:tc>
                <w:tcPr>
                  <w:tcW w:w="625" w:type="pct"/>
                  <w:gridSpan w:val="2"/>
                  <w:vMerge w:val="restart"/>
                  <w:tcBorders>
                    <w:top w:val="single" w:color="000000" w:sz="2" w:space="0"/>
                    <w:left w:val="single" w:color="000000" w:sz="2" w:space="0"/>
                    <w:bottom w:val="single" w:color="000000" w:sz="12" w:space="0"/>
                    <w:right w:val="single" w:color="000000" w:sz="2" w:space="0"/>
                  </w:tcBorders>
                  <w:vAlign w:val="center"/>
                </w:tcPr>
                <w:p>
                  <w:pPr>
                    <w:adjustRightInd w:val="0"/>
                    <w:snapToGrid w:val="0"/>
                    <w:jc w:val="center"/>
                    <w:rPr>
                      <w:rFonts w:ascii="Times New Roman" w:hAnsi="Times New Roman"/>
                      <w:color w:val="000000" w:themeColor="text1"/>
                      <w:szCs w:val="21"/>
                    </w:rPr>
                  </w:pPr>
                  <w:r>
                    <w:rPr>
                      <w:rFonts w:ascii="Times New Roman" w:hAnsi="Times New Roman"/>
                      <w:color w:val="000000" w:themeColor="text1"/>
                      <w:szCs w:val="21"/>
                    </w:rPr>
                    <w:t>地表水</w:t>
                  </w:r>
                </w:p>
              </w:tc>
              <w:tc>
                <w:tcPr>
                  <w:tcW w:w="703" w:type="pct"/>
                  <w:gridSpan w:val="2"/>
                  <w:vMerge w:val="restart"/>
                  <w:tcBorders>
                    <w:top w:val="single" w:color="000000" w:sz="2" w:space="0"/>
                    <w:left w:val="single" w:color="000000" w:sz="2" w:space="0"/>
                    <w:bottom w:val="single" w:color="000000" w:sz="12" w:space="0"/>
                    <w:right w:val="single" w:color="auto" w:sz="4" w:space="0"/>
                  </w:tcBorders>
                  <w:vAlign w:val="center"/>
                </w:tcPr>
                <w:p>
                  <w:pPr>
                    <w:adjustRightInd w:val="0"/>
                    <w:snapToGrid w:val="0"/>
                    <w:jc w:val="center"/>
                    <w:rPr>
                      <w:rFonts w:ascii="Times New Roman" w:hAnsi="Times New Roman"/>
                      <w:color w:val="000000" w:themeColor="text1"/>
                      <w:szCs w:val="21"/>
                    </w:rPr>
                  </w:pPr>
                  <w:r>
                    <w:rPr>
                      <w:rFonts w:ascii="Times New Roman" w:hAnsi="Times New Roman"/>
                      <w:color w:val="000000" w:themeColor="text1"/>
                      <w:szCs w:val="21"/>
                    </w:rPr>
                    <w:t>地表水</w:t>
                  </w:r>
                </w:p>
                <w:p>
                  <w:pPr>
                    <w:adjustRightInd w:val="0"/>
                    <w:snapToGrid w:val="0"/>
                    <w:jc w:val="center"/>
                    <w:rPr>
                      <w:rFonts w:ascii="Times New Roman" w:hAnsi="Times New Roman"/>
                      <w:color w:val="000000" w:themeColor="text1"/>
                      <w:szCs w:val="21"/>
                    </w:rPr>
                  </w:pPr>
                  <w:r>
                    <w:rPr>
                      <w:rFonts w:ascii="Times New Roman" w:hAnsi="Times New Roman"/>
                      <w:color w:val="000000" w:themeColor="text1"/>
                      <w:szCs w:val="21"/>
                    </w:rPr>
                    <w:t>环境质量</w:t>
                  </w:r>
                </w:p>
              </w:tc>
              <w:tc>
                <w:tcPr>
                  <w:tcW w:w="514" w:type="pct"/>
                  <w:gridSpan w:val="2"/>
                  <w:tcBorders>
                    <w:top w:val="single" w:color="000000" w:sz="2" w:space="0"/>
                    <w:left w:val="single" w:color="000000" w:sz="2" w:space="0"/>
                    <w:bottom w:val="single" w:color="000000" w:sz="2" w:space="0"/>
                    <w:right w:val="single" w:color="auto" w:sz="4" w:space="0"/>
                  </w:tcBorders>
                  <w:vAlign w:val="center"/>
                </w:tcPr>
                <w:p>
                  <w:pPr>
                    <w:adjustRightInd w:val="0"/>
                    <w:snapToGrid w:val="0"/>
                    <w:jc w:val="center"/>
                    <w:rPr>
                      <w:rFonts w:ascii="Times New Roman" w:hAnsi="Times New Roman"/>
                      <w:color w:val="000000" w:themeColor="text1"/>
                      <w:szCs w:val="21"/>
                    </w:rPr>
                  </w:pPr>
                  <w:r>
                    <w:rPr>
                      <w:rFonts w:hint="eastAsia" w:ascii="Times New Roman" w:hAnsi="Times New Roman" w:cs="宋体"/>
                      <w:bCs/>
                      <w:color w:val="000000" w:themeColor="text1"/>
                      <w:szCs w:val="20"/>
                    </w:rPr>
                    <w:t>III</w:t>
                  </w:r>
                  <w:r>
                    <w:rPr>
                      <w:rFonts w:ascii="Times New Roman" w:hAnsi="Times New Roman"/>
                      <w:bCs/>
                      <w:color w:val="000000" w:themeColor="text1"/>
                      <w:szCs w:val="20"/>
                    </w:rPr>
                    <w:t>类</w:t>
                  </w:r>
                </w:p>
              </w:tc>
              <w:tc>
                <w:tcPr>
                  <w:tcW w:w="545" w:type="pct"/>
                  <w:gridSpan w:val="2"/>
                  <w:tcBorders>
                    <w:top w:val="single" w:color="000000" w:sz="2" w:space="0"/>
                    <w:left w:val="single" w:color="auto" w:sz="4" w:space="0"/>
                    <w:bottom w:val="single" w:color="000000" w:sz="2" w:space="0"/>
                    <w:right w:val="single" w:color="000000" w:sz="2" w:space="0"/>
                  </w:tcBorders>
                  <w:vAlign w:val="center"/>
                </w:tcPr>
                <w:p>
                  <w:pPr>
                    <w:adjustRightInd w:val="0"/>
                    <w:snapToGrid w:val="0"/>
                    <w:jc w:val="center"/>
                    <w:rPr>
                      <w:rFonts w:hint="eastAsia" w:ascii="Times New Roman" w:hAnsi="Times New Roman" w:eastAsia="宋体"/>
                      <w:color w:val="000000" w:themeColor="text1"/>
                      <w:szCs w:val="21"/>
                      <w:lang w:eastAsia="zh-CN"/>
                    </w:rPr>
                  </w:pPr>
                  <w:r>
                    <w:rPr>
                      <w:rFonts w:hint="eastAsia"/>
                      <w:color w:val="000000" w:themeColor="text1"/>
                      <w:szCs w:val="21"/>
                      <w:lang w:val="en-US" w:eastAsia="zh-CN"/>
                    </w:rPr>
                    <w:t>W</w:t>
                  </w:r>
                </w:p>
              </w:tc>
              <w:tc>
                <w:tcPr>
                  <w:tcW w:w="577" w:type="pct"/>
                  <w:tcBorders>
                    <w:top w:val="single" w:color="000000" w:sz="2" w:space="0"/>
                    <w:left w:val="single" w:color="000000" w:sz="2" w:space="0"/>
                    <w:bottom w:val="single" w:color="000000" w:sz="2" w:space="0"/>
                    <w:right w:val="nil"/>
                  </w:tcBorders>
                  <w:vAlign w:val="center"/>
                </w:tcPr>
                <w:p>
                  <w:pPr>
                    <w:adjustRightInd w:val="0"/>
                    <w:snapToGrid w:val="0"/>
                    <w:jc w:val="center"/>
                    <w:rPr>
                      <w:rFonts w:hint="default" w:ascii="Times New Roman" w:hAnsi="Times New Roman" w:eastAsia="宋体"/>
                      <w:color w:val="000000" w:themeColor="text1"/>
                      <w:szCs w:val="21"/>
                      <w:lang w:val="en-US" w:eastAsia="zh-CN"/>
                    </w:rPr>
                  </w:pPr>
                  <w:r>
                    <w:rPr>
                      <w:rFonts w:hint="eastAsia"/>
                      <w:color w:val="000000" w:themeColor="text1"/>
                      <w:szCs w:val="21"/>
                      <w:lang w:val="en-US" w:eastAsia="zh-CN"/>
                    </w:rPr>
                    <w:t>45</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40" w:hRule="atLeast"/>
                <w:jc w:val="center"/>
              </w:trPr>
              <w:tc>
                <w:tcPr>
                  <w:tcW w:w="605" w:type="pct"/>
                  <w:tcBorders>
                    <w:top w:val="single" w:color="000000" w:sz="2" w:space="0"/>
                    <w:left w:val="nil"/>
                    <w:bottom w:val="single" w:color="000000" w:sz="12" w:space="0"/>
                    <w:right w:val="single" w:color="auto" w:sz="4" w:space="0"/>
                  </w:tcBorders>
                  <w:vAlign w:val="center"/>
                </w:tcPr>
                <w:p>
                  <w:pPr>
                    <w:adjustRightInd w:val="0"/>
                    <w:snapToGrid w:val="0"/>
                    <w:jc w:val="center"/>
                    <w:rPr>
                      <w:rFonts w:ascii="Times New Roman" w:hAnsi="Times New Roman"/>
                      <w:color w:val="000000" w:themeColor="text1"/>
                      <w:szCs w:val="21"/>
                    </w:rPr>
                  </w:pPr>
                  <w:r>
                    <w:rPr>
                      <w:rFonts w:ascii="Times New Roman" w:hAnsi="Times New Roman"/>
                      <w:color w:val="000000" w:themeColor="text1"/>
                      <w:szCs w:val="21"/>
                    </w:rPr>
                    <w:t>湛河</w:t>
                  </w:r>
                </w:p>
              </w:tc>
              <w:tc>
                <w:tcPr>
                  <w:tcW w:w="723" w:type="pct"/>
                  <w:gridSpan w:val="2"/>
                  <w:tcBorders>
                    <w:top w:val="single" w:color="000000" w:sz="2" w:space="0"/>
                    <w:left w:val="single" w:color="auto" w:sz="4" w:space="0"/>
                    <w:bottom w:val="single" w:color="000000" w:sz="12" w:space="0"/>
                    <w:right w:val="single" w:color="000000" w:sz="2" w:space="0"/>
                  </w:tcBorders>
                  <w:vAlign w:val="center"/>
                </w:tcPr>
                <w:p>
                  <w:pPr>
                    <w:adjustRightInd w:val="0"/>
                    <w:snapToGrid w:val="0"/>
                    <w:jc w:val="center"/>
                    <w:rPr>
                      <w:rFonts w:ascii="Times New Roman" w:hAnsi="Times New Roman"/>
                      <w:color w:val="000000" w:themeColor="text1"/>
                      <w:szCs w:val="21"/>
                    </w:rPr>
                  </w:pPr>
                  <w:r>
                    <w:rPr>
                      <w:rFonts w:ascii="Times New Roman" w:hAnsi="Times New Roman"/>
                      <w:color w:val="000000" w:themeColor="text1"/>
                      <w:szCs w:val="21"/>
                    </w:rPr>
                    <w:t>/</w:t>
                  </w:r>
                </w:p>
              </w:tc>
              <w:tc>
                <w:tcPr>
                  <w:tcW w:w="703" w:type="pct"/>
                  <w:tcBorders>
                    <w:top w:val="single" w:color="000000" w:sz="2" w:space="0"/>
                    <w:left w:val="single" w:color="auto" w:sz="4" w:space="0"/>
                    <w:bottom w:val="single" w:color="000000" w:sz="12" w:space="0"/>
                    <w:right w:val="single" w:color="000000" w:sz="2" w:space="0"/>
                  </w:tcBorders>
                  <w:vAlign w:val="center"/>
                </w:tcPr>
                <w:p>
                  <w:pPr>
                    <w:adjustRightInd w:val="0"/>
                    <w:snapToGrid w:val="0"/>
                    <w:jc w:val="center"/>
                    <w:rPr>
                      <w:rFonts w:ascii="Times New Roman" w:hAnsi="Times New Roman"/>
                      <w:color w:val="000000" w:themeColor="text1"/>
                      <w:szCs w:val="21"/>
                    </w:rPr>
                  </w:pPr>
                  <w:r>
                    <w:rPr>
                      <w:rFonts w:ascii="Times New Roman" w:hAnsi="Times New Roman"/>
                      <w:color w:val="000000" w:themeColor="text1"/>
                      <w:szCs w:val="21"/>
                    </w:rPr>
                    <w:t>/</w:t>
                  </w:r>
                </w:p>
              </w:tc>
              <w:tc>
                <w:tcPr>
                  <w:tcW w:w="625" w:type="pct"/>
                  <w:gridSpan w:val="2"/>
                  <w:vMerge w:val="continue"/>
                  <w:tcBorders>
                    <w:top w:val="single" w:color="000000" w:sz="2" w:space="0"/>
                    <w:left w:val="single" w:color="000000" w:sz="2" w:space="0"/>
                    <w:bottom w:val="single" w:color="000000" w:sz="12" w:space="0"/>
                    <w:right w:val="single" w:color="000000" w:sz="2" w:space="0"/>
                  </w:tcBorders>
                  <w:vAlign w:val="center"/>
                </w:tcPr>
                <w:p>
                  <w:pPr>
                    <w:widowControl/>
                    <w:jc w:val="left"/>
                    <w:rPr>
                      <w:rFonts w:ascii="Times New Roman" w:hAnsi="Times New Roman"/>
                      <w:color w:val="000000" w:themeColor="text1"/>
                      <w:szCs w:val="21"/>
                    </w:rPr>
                  </w:pPr>
                </w:p>
              </w:tc>
              <w:tc>
                <w:tcPr>
                  <w:tcW w:w="703" w:type="pct"/>
                  <w:gridSpan w:val="2"/>
                  <w:vMerge w:val="continue"/>
                  <w:tcBorders>
                    <w:top w:val="single" w:color="000000" w:sz="2" w:space="0"/>
                    <w:left w:val="single" w:color="000000" w:sz="2" w:space="0"/>
                    <w:bottom w:val="single" w:color="000000" w:sz="12" w:space="0"/>
                    <w:right w:val="single" w:color="auto" w:sz="4" w:space="0"/>
                  </w:tcBorders>
                  <w:vAlign w:val="center"/>
                </w:tcPr>
                <w:p>
                  <w:pPr>
                    <w:widowControl/>
                    <w:jc w:val="left"/>
                    <w:rPr>
                      <w:rFonts w:ascii="Times New Roman" w:hAnsi="Times New Roman"/>
                      <w:color w:val="000000" w:themeColor="text1"/>
                      <w:szCs w:val="21"/>
                    </w:rPr>
                  </w:pPr>
                </w:p>
              </w:tc>
              <w:tc>
                <w:tcPr>
                  <w:tcW w:w="514" w:type="pct"/>
                  <w:gridSpan w:val="2"/>
                  <w:tcBorders>
                    <w:top w:val="single" w:color="000000" w:sz="2" w:space="0"/>
                    <w:left w:val="single" w:color="000000" w:sz="2" w:space="0"/>
                    <w:bottom w:val="single" w:color="000000" w:sz="12" w:space="0"/>
                    <w:right w:val="single" w:color="auto" w:sz="4" w:space="0"/>
                  </w:tcBorders>
                  <w:vAlign w:val="center"/>
                </w:tcPr>
                <w:p>
                  <w:pPr>
                    <w:adjustRightInd w:val="0"/>
                    <w:snapToGrid w:val="0"/>
                    <w:jc w:val="center"/>
                    <w:rPr>
                      <w:rFonts w:ascii="Times New Roman" w:hAnsi="Times New Roman"/>
                      <w:color w:val="000000" w:themeColor="text1"/>
                      <w:szCs w:val="21"/>
                    </w:rPr>
                  </w:pPr>
                  <w:r>
                    <w:rPr>
                      <w:rFonts w:hint="eastAsia" w:ascii="Times New Roman" w:hAnsi="Times New Roman" w:cs="宋体"/>
                      <w:bCs/>
                      <w:color w:val="000000" w:themeColor="text1"/>
                      <w:szCs w:val="20"/>
                    </w:rPr>
                    <w:t>III</w:t>
                  </w:r>
                  <w:r>
                    <w:rPr>
                      <w:rFonts w:ascii="Times New Roman" w:hAnsi="Times New Roman"/>
                      <w:bCs/>
                      <w:color w:val="000000" w:themeColor="text1"/>
                      <w:szCs w:val="20"/>
                    </w:rPr>
                    <w:t>类</w:t>
                  </w:r>
                </w:p>
              </w:tc>
              <w:tc>
                <w:tcPr>
                  <w:tcW w:w="545" w:type="pct"/>
                  <w:gridSpan w:val="2"/>
                  <w:tcBorders>
                    <w:top w:val="single" w:color="000000" w:sz="2" w:space="0"/>
                    <w:left w:val="single" w:color="auto" w:sz="4" w:space="0"/>
                    <w:bottom w:val="single" w:color="000000" w:sz="12" w:space="0"/>
                    <w:right w:val="single" w:color="000000" w:sz="2" w:space="0"/>
                  </w:tcBorders>
                  <w:vAlign w:val="center"/>
                </w:tcPr>
                <w:p>
                  <w:pPr>
                    <w:adjustRightInd w:val="0"/>
                    <w:snapToGrid w:val="0"/>
                    <w:jc w:val="center"/>
                    <w:rPr>
                      <w:rFonts w:ascii="Times New Roman" w:hAnsi="Times New Roman"/>
                      <w:color w:val="000000" w:themeColor="text1"/>
                      <w:szCs w:val="21"/>
                    </w:rPr>
                  </w:pPr>
                  <w:r>
                    <w:rPr>
                      <w:rFonts w:ascii="Times New Roman" w:hAnsi="Times New Roman"/>
                      <w:color w:val="000000" w:themeColor="text1"/>
                      <w:szCs w:val="21"/>
                    </w:rPr>
                    <w:t>S</w:t>
                  </w:r>
                </w:p>
              </w:tc>
              <w:tc>
                <w:tcPr>
                  <w:tcW w:w="577" w:type="pct"/>
                  <w:tcBorders>
                    <w:top w:val="single" w:color="000000" w:sz="2" w:space="0"/>
                    <w:left w:val="single" w:color="000000" w:sz="2" w:space="0"/>
                    <w:bottom w:val="single" w:color="000000" w:sz="12" w:space="0"/>
                    <w:right w:val="nil"/>
                  </w:tcBorders>
                  <w:vAlign w:val="center"/>
                </w:tcPr>
                <w:p>
                  <w:pPr>
                    <w:adjustRightInd w:val="0"/>
                    <w:snapToGrid w:val="0"/>
                    <w:jc w:val="center"/>
                    <w:rPr>
                      <w:rFonts w:hint="default" w:ascii="Times New Roman" w:hAnsi="Times New Roman" w:eastAsia="宋体"/>
                      <w:color w:val="000000" w:themeColor="text1"/>
                      <w:szCs w:val="21"/>
                      <w:lang w:val="en-US" w:eastAsia="zh-CN"/>
                    </w:rPr>
                  </w:pPr>
                  <w:r>
                    <w:rPr>
                      <w:rFonts w:hint="eastAsia"/>
                      <w:color w:val="000000" w:themeColor="text1"/>
                      <w:szCs w:val="21"/>
                      <w:lang w:val="en-US" w:eastAsia="zh-CN"/>
                    </w:rPr>
                    <w:t>1700</w:t>
                  </w:r>
                </w:p>
              </w:tc>
            </w:tr>
          </w:tbl>
          <w:p>
            <w:pPr>
              <w:spacing w:line="360" w:lineRule="auto"/>
              <w:rPr>
                <w:rFonts w:ascii="Times New Roman" w:hAnsi="Times New Roman"/>
                <w:szCs w:val="21"/>
              </w:rPr>
            </w:pPr>
          </w:p>
        </w:tc>
      </w:tr>
    </w:tbl>
    <w:p>
      <w:pPr>
        <w:spacing w:line="360" w:lineRule="auto"/>
        <w:rPr>
          <w:rFonts w:eastAsia="黑体"/>
          <w:b/>
          <w:sz w:val="30"/>
        </w:rPr>
      </w:pPr>
      <w:r>
        <w:rPr>
          <w:rFonts w:eastAsia="黑体"/>
          <w:b/>
          <w:sz w:val="30"/>
        </w:rPr>
        <w:t>评价适用标准</w:t>
      </w:r>
    </w:p>
    <w:tbl>
      <w:tblPr>
        <w:tblStyle w:val="23"/>
        <w:tblW w:w="0" w:type="auto"/>
        <w:tblInd w:w="0" w:type="dxa"/>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fixed"/>
        <w:tblCellMar>
          <w:top w:w="0" w:type="dxa"/>
          <w:left w:w="108" w:type="dxa"/>
          <w:bottom w:w="0" w:type="dxa"/>
          <w:right w:w="108" w:type="dxa"/>
        </w:tblCellMar>
      </w:tblPr>
      <w:tblGrid>
        <w:gridCol w:w="1053"/>
        <w:gridCol w:w="8233"/>
      </w:tblGrid>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PrEx>
        <w:trPr>
          <w:trHeight w:val="90" w:hRule="atLeast"/>
        </w:trPr>
        <w:tc>
          <w:tcPr>
            <w:tcW w:w="1053" w:type="dxa"/>
            <w:tcBorders>
              <w:top w:val="single" w:color="auto" w:sz="12" w:space="0"/>
              <w:left w:val="single" w:color="auto" w:sz="12" w:space="0"/>
              <w:bottom w:val="single" w:color="auto" w:sz="6" w:space="0"/>
              <w:right w:val="single" w:color="auto" w:sz="6" w:space="0"/>
            </w:tcBorders>
            <w:vAlign w:val="center"/>
          </w:tcPr>
          <w:p>
            <w:pPr>
              <w:spacing w:line="360" w:lineRule="auto"/>
              <w:jc w:val="center"/>
              <w:rPr>
                <w:rFonts w:ascii="Times New Roman" w:hAnsi="Times New Roman" w:eastAsia="宋体"/>
                <w:b/>
                <w:sz w:val="28"/>
              </w:rPr>
            </w:pPr>
            <w:r>
              <w:rPr>
                <w:rFonts w:ascii="Times New Roman" w:hAnsi="Times New Roman" w:eastAsia="宋体"/>
                <w:b/>
                <w:sz w:val="28"/>
              </w:rPr>
              <w:t>环</w:t>
            </w:r>
          </w:p>
          <w:p>
            <w:pPr>
              <w:spacing w:line="360" w:lineRule="auto"/>
              <w:jc w:val="center"/>
              <w:rPr>
                <w:rFonts w:ascii="Times New Roman" w:hAnsi="Times New Roman" w:eastAsia="宋体"/>
                <w:b/>
                <w:sz w:val="28"/>
              </w:rPr>
            </w:pPr>
            <w:r>
              <w:rPr>
                <w:rFonts w:ascii="Times New Roman" w:hAnsi="Times New Roman" w:eastAsia="宋体"/>
                <w:b/>
                <w:sz w:val="28"/>
              </w:rPr>
              <w:t>境</w:t>
            </w:r>
          </w:p>
          <w:p>
            <w:pPr>
              <w:spacing w:line="360" w:lineRule="auto"/>
              <w:jc w:val="center"/>
              <w:rPr>
                <w:rFonts w:ascii="Times New Roman" w:hAnsi="Times New Roman" w:eastAsia="宋体"/>
                <w:b/>
                <w:sz w:val="28"/>
              </w:rPr>
            </w:pPr>
            <w:r>
              <w:rPr>
                <w:rFonts w:ascii="Times New Roman" w:hAnsi="Times New Roman" w:eastAsia="宋体"/>
                <w:b/>
                <w:sz w:val="28"/>
              </w:rPr>
              <w:t>质</w:t>
            </w:r>
          </w:p>
          <w:p>
            <w:pPr>
              <w:spacing w:line="360" w:lineRule="auto"/>
              <w:jc w:val="center"/>
              <w:rPr>
                <w:rFonts w:ascii="Times New Roman" w:hAnsi="Times New Roman" w:eastAsia="宋体"/>
                <w:b/>
                <w:sz w:val="28"/>
              </w:rPr>
            </w:pPr>
            <w:r>
              <w:rPr>
                <w:rFonts w:ascii="Times New Roman" w:hAnsi="Times New Roman" w:eastAsia="宋体"/>
                <w:b/>
                <w:sz w:val="28"/>
              </w:rPr>
              <w:t>量</w:t>
            </w:r>
          </w:p>
          <w:p>
            <w:pPr>
              <w:spacing w:line="360" w:lineRule="auto"/>
              <w:jc w:val="center"/>
              <w:rPr>
                <w:rFonts w:ascii="Times New Roman" w:hAnsi="Times New Roman" w:eastAsia="宋体"/>
                <w:b/>
                <w:sz w:val="28"/>
              </w:rPr>
            </w:pPr>
            <w:r>
              <w:rPr>
                <w:rFonts w:ascii="Times New Roman" w:hAnsi="Times New Roman" w:eastAsia="宋体"/>
                <w:b/>
                <w:sz w:val="28"/>
              </w:rPr>
              <w:t>标</w:t>
            </w:r>
          </w:p>
          <w:p>
            <w:pPr>
              <w:spacing w:line="360" w:lineRule="auto"/>
              <w:jc w:val="center"/>
              <w:rPr>
                <w:rFonts w:ascii="Times New Roman" w:hAnsi="Times New Roman" w:eastAsia="宋体"/>
                <w:b/>
                <w:sz w:val="28"/>
              </w:rPr>
            </w:pPr>
            <w:r>
              <w:rPr>
                <w:rFonts w:ascii="Times New Roman" w:hAnsi="Times New Roman" w:eastAsia="宋体"/>
                <w:b/>
                <w:sz w:val="28"/>
              </w:rPr>
              <w:t>准</w:t>
            </w:r>
          </w:p>
        </w:tc>
        <w:tc>
          <w:tcPr>
            <w:tcW w:w="8233" w:type="dxa"/>
            <w:tcBorders>
              <w:top w:val="single" w:color="auto" w:sz="12" w:space="0"/>
              <w:left w:val="single" w:color="auto" w:sz="6" w:space="0"/>
              <w:bottom w:val="single" w:color="auto" w:sz="6" w:space="0"/>
              <w:right w:val="single" w:color="auto" w:sz="12" w:space="0"/>
            </w:tcBorders>
          </w:tcPr>
          <w:p>
            <w:pPr>
              <w:spacing w:line="520" w:lineRule="exact"/>
              <w:ind w:firstLine="482" w:firstLineChars="200"/>
              <w:rPr>
                <w:rFonts w:ascii="Times New Roman" w:hAnsi="Times New Roman" w:eastAsia="宋体"/>
                <w:b/>
                <w:color w:val="000000"/>
                <w:sz w:val="24"/>
              </w:rPr>
            </w:pPr>
            <w:r>
              <w:rPr>
                <w:rFonts w:ascii="Times New Roman" w:hAnsi="Times New Roman" w:eastAsia="宋体"/>
                <w:b/>
                <w:color w:val="000000"/>
                <w:sz w:val="24"/>
              </w:rPr>
              <w:t>1、环境空气</w:t>
            </w:r>
          </w:p>
          <w:p>
            <w:pPr>
              <w:spacing w:line="520" w:lineRule="exact"/>
              <w:ind w:firstLine="480" w:firstLineChars="200"/>
              <w:rPr>
                <w:rFonts w:ascii="Times New Roman" w:hAnsi="Times New Roman" w:eastAsia="宋体"/>
                <w:sz w:val="24"/>
              </w:rPr>
            </w:pPr>
            <w:r>
              <w:rPr>
                <w:rFonts w:ascii="Times New Roman" w:hAnsi="Times New Roman" w:eastAsia="宋体"/>
                <w:color w:val="000000"/>
                <w:sz w:val="24"/>
              </w:rPr>
              <w:t>拟建设项目所在区域环境空气功能二类区，本项目大气环境质量执行《环境空气质量标准》（GB3095-2012）修改单</w:t>
            </w:r>
            <w:r>
              <w:rPr>
                <w:rFonts w:hint="eastAsia"/>
                <w:color w:val="000000"/>
                <w:sz w:val="24"/>
                <w:lang w:eastAsia="zh-CN"/>
              </w:rPr>
              <w:t>（公告2018年第29号）</w:t>
            </w:r>
            <w:r>
              <w:rPr>
                <w:rFonts w:ascii="Times New Roman" w:hAnsi="Times New Roman" w:eastAsia="宋体"/>
                <w:color w:val="000000"/>
                <w:sz w:val="24"/>
              </w:rPr>
              <w:t>二级标准，</w:t>
            </w:r>
            <w:r>
              <w:rPr>
                <w:rFonts w:ascii="Times New Roman" w:hAnsi="Times New Roman" w:eastAsia="宋体"/>
                <w:sz w:val="24"/>
              </w:rPr>
              <w:t>有关标准值见下表：</w:t>
            </w:r>
          </w:p>
          <w:p>
            <w:pPr>
              <w:pStyle w:val="7"/>
              <w:spacing w:beforeLines="50"/>
              <w:jc w:val="center"/>
              <w:rPr>
                <w:rFonts w:hint="eastAsia" w:ascii="Times New Roman" w:hAnsi="宋体" w:cs="Times New Roman"/>
                <w:b/>
                <w:bCs w:val="0"/>
                <w:sz w:val="24"/>
                <w:szCs w:val="24"/>
              </w:rPr>
            </w:pPr>
            <w:r>
              <w:rPr>
                <w:rFonts w:hint="eastAsia" w:ascii="Times New Roman" w:hAnsi="宋体" w:cs="Times New Roman"/>
                <w:b/>
                <w:bCs w:val="0"/>
                <w:sz w:val="24"/>
                <w:szCs w:val="24"/>
              </w:rPr>
              <w:t>表</w:t>
            </w:r>
            <w:r>
              <w:rPr>
                <w:rFonts w:hint="eastAsia" w:ascii="Times New Roman" w:hAnsi="宋体" w:cs="Times New Roman"/>
                <w:b/>
                <w:bCs w:val="0"/>
                <w:sz w:val="24"/>
                <w:szCs w:val="24"/>
                <w:lang w:val="en-US" w:eastAsia="zh-CN"/>
              </w:rPr>
              <w:t>1</w:t>
            </w:r>
            <w:r>
              <w:rPr>
                <w:rFonts w:hint="eastAsia" w:hAnsi="宋体" w:cs="Times New Roman"/>
                <w:b/>
                <w:bCs w:val="0"/>
                <w:sz w:val="24"/>
                <w:szCs w:val="24"/>
                <w:lang w:val="en-US" w:eastAsia="zh-CN"/>
              </w:rPr>
              <w:t>3</w:t>
            </w:r>
            <w:r>
              <w:rPr>
                <w:rFonts w:hint="eastAsia" w:ascii="Times New Roman" w:hAnsi="宋体" w:cs="Times New Roman"/>
                <w:b/>
                <w:bCs w:val="0"/>
                <w:sz w:val="24"/>
                <w:szCs w:val="24"/>
              </w:rPr>
              <w:t xml:space="preserve">  环境空气质量标准  单位：μg/m</w:t>
            </w:r>
            <w:r>
              <w:rPr>
                <w:rFonts w:hint="eastAsia" w:ascii="Times New Roman" w:hAnsi="宋体" w:cs="Times New Roman"/>
                <w:b/>
                <w:bCs w:val="0"/>
                <w:sz w:val="24"/>
                <w:szCs w:val="24"/>
                <w:vertAlign w:val="superscript"/>
              </w:rPr>
              <w:t>3</w:t>
            </w:r>
            <w:r>
              <w:rPr>
                <w:rFonts w:hint="eastAsia" w:ascii="Times New Roman" w:hAnsi="宋体" w:cs="Times New Roman"/>
                <w:b/>
                <w:bCs w:val="0"/>
                <w:sz w:val="24"/>
                <w:szCs w:val="24"/>
              </w:rPr>
              <w:t>（标准状态）</w:t>
            </w:r>
          </w:p>
          <w:tbl>
            <w:tblPr>
              <w:tblStyle w:val="23"/>
              <w:tblW w:w="7985" w:type="dxa"/>
              <w:tblInd w:w="34"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749"/>
              <w:gridCol w:w="1975"/>
              <w:gridCol w:w="1653"/>
              <w:gridCol w:w="260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095" w:type="pct"/>
                  <w:tcBorders>
                    <w:top w:val="single" w:color="auto" w:sz="12"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sz w:val="21"/>
                      <w:szCs w:val="21"/>
                    </w:rPr>
                  </w:pPr>
                  <w:r>
                    <w:rPr>
                      <w:rFonts w:hint="eastAsia" w:ascii="Times New Roman" w:hAnsi="Times New Roman" w:eastAsia="宋体"/>
                      <w:sz w:val="21"/>
                      <w:szCs w:val="21"/>
                    </w:rPr>
                    <w:t>污染物名称</w:t>
                  </w:r>
                </w:p>
              </w:tc>
              <w:tc>
                <w:tcPr>
                  <w:tcW w:w="1237" w:type="pct"/>
                  <w:tcBorders>
                    <w:top w:val="single" w:color="auto" w:sz="12"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sz w:val="21"/>
                      <w:szCs w:val="21"/>
                    </w:rPr>
                  </w:pPr>
                  <w:r>
                    <w:rPr>
                      <w:rFonts w:hint="eastAsia" w:ascii="Times New Roman" w:hAnsi="Times New Roman" w:eastAsia="宋体"/>
                      <w:sz w:val="21"/>
                      <w:szCs w:val="21"/>
                    </w:rPr>
                    <w:t>取值时间</w:t>
                  </w:r>
                </w:p>
              </w:tc>
              <w:tc>
                <w:tcPr>
                  <w:tcW w:w="1035" w:type="pct"/>
                  <w:tcBorders>
                    <w:top w:val="single" w:color="auto" w:sz="12"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sz w:val="21"/>
                      <w:szCs w:val="21"/>
                    </w:rPr>
                  </w:pPr>
                  <w:r>
                    <w:rPr>
                      <w:rFonts w:hint="eastAsia" w:ascii="Times New Roman" w:hAnsi="Times New Roman" w:eastAsia="宋体"/>
                      <w:sz w:val="21"/>
                      <w:szCs w:val="21"/>
                    </w:rPr>
                    <w:t>浓度限值</w:t>
                  </w:r>
                </w:p>
              </w:tc>
              <w:tc>
                <w:tcPr>
                  <w:tcW w:w="1634" w:type="pct"/>
                  <w:tcBorders>
                    <w:top w:val="single" w:color="auto" w:sz="12" w:space="0"/>
                    <w:left w:val="single" w:color="auto" w:sz="6" w:space="0"/>
                    <w:bottom w:val="single" w:color="auto" w:sz="6" w:space="0"/>
                    <w:right w:val="nil"/>
                  </w:tcBorders>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sz w:val="21"/>
                      <w:szCs w:val="21"/>
                    </w:rPr>
                  </w:pPr>
                  <w:r>
                    <w:rPr>
                      <w:rFonts w:hint="eastAsia" w:ascii="Times New Roman" w:hAnsi="Times New Roman" w:eastAsia="宋体"/>
                      <w:sz w:val="21"/>
                      <w:szCs w:val="21"/>
                    </w:rPr>
                    <w:t>标准来源</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095" w:type="pct"/>
                  <w:vMerge w:val="restart"/>
                  <w:tcBorders>
                    <w:top w:val="single" w:color="auto" w:sz="6"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sz w:val="21"/>
                      <w:szCs w:val="21"/>
                    </w:rPr>
                  </w:pPr>
                  <w:r>
                    <w:rPr>
                      <w:rFonts w:hint="eastAsia" w:ascii="Times New Roman" w:hAnsi="Times New Roman" w:eastAsia="宋体"/>
                      <w:sz w:val="21"/>
                      <w:szCs w:val="21"/>
                    </w:rPr>
                    <w:t>二氧化硫</w:t>
                  </w:r>
                </w:p>
              </w:tc>
              <w:tc>
                <w:tcPr>
                  <w:tcW w:w="1237" w:type="pct"/>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sz w:val="21"/>
                      <w:szCs w:val="21"/>
                    </w:rPr>
                  </w:pPr>
                  <w:r>
                    <w:rPr>
                      <w:rFonts w:hint="eastAsia" w:ascii="Times New Roman" w:hAnsi="Times New Roman" w:eastAsia="宋体"/>
                      <w:sz w:val="21"/>
                      <w:szCs w:val="21"/>
                    </w:rPr>
                    <w:t>年平均</w:t>
                  </w:r>
                </w:p>
              </w:tc>
              <w:tc>
                <w:tcPr>
                  <w:tcW w:w="1035" w:type="pct"/>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sz w:val="21"/>
                      <w:szCs w:val="21"/>
                    </w:rPr>
                  </w:pPr>
                  <w:r>
                    <w:rPr>
                      <w:rFonts w:ascii="Times New Roman" w:hAnsi="Times New Roman" w:eastAsia="宋体"/>
                      <w:sz w:val="21"/>
                      <w:szCs w:val="21"/>
                    </w:rPr>
                    <w:t>60</w:t>
                  </w:r>
                </w:p>
              </w:tc>
              <w:tc>
                <w:tcPr>
                  <w:tcW w:w="1634" w:type="pct"/>
                  <w:vMerge w:val="restart"/>
                  <w:tcBorders>
                    <w:top w:val="single" w:color="auto" w:sz="6" w:space="0"/>
                    <w:left w:val="single" w:color="auto" w:sz="6" w:space="0"/>
                    <w:bottom w:val="single" w:color="auto" w:sz="12" w:space="0"/>
                    <w:right w:val="nil"/>
                  </w:tcBorders>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b/>
                      <w:sz w:val="21"/>
                      <w:szCs w:val="21"/>
                    </w:rPr>
                  </w:pPr>
                  <w:r>
                    <w:rPr>
                      <w:rFonts w:hint="eastAsia" w:ascii="Times New Roman" w:hAnsi="Times New Roman" w:eastAsia="宋体"/>
                      <w:sz w:val="21"/>
                      <w:szCs w:val="21"/>
                    </w:rPr>
                    <w:t>《环境空气质量标准》（</w:t>
                  </w:r>
                  <w:r>
                    <w:rPr>
                      <w:rFonts w:ascii="Times New Roman" w:hAnsi="Times New Roman" w:eastAsia="宋体"/>
                      <w:sz w:val="21"/>
                      <w:szCs w:val="21"/>
                    </w:rPr>
                    <w:t>GB3095-2012</w:t>
                  </w:r>
                  <w:r>
                    <w:rPr>
                      <w:rFonts w:hint="eastAsia" w:ascii="Times New Roman" w:hAnsi="Times New Roman" w:eastAsia="宋体"/>
                      <w:sz w:val="21"/>
                      <w:szCs w:val="21"/>
                    </w:rPr>
                    <w:t>）二级标准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095" w:type="pct"/>
                  <w:vMerge w:val="continue"/>
                  <w:tcBorders>
                    <w:top w:val="single" w:color="auto" w:sz="6" w:space="0"/>
                    <w:left w:val="nil"/>
                    <w:bottom w:val="single" w:color="auto" w:sz="6" w:space="0"/>
                    <w:right w:val="single" w:color="auto" w:sz="6" w:space="0"/>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sz w:val="21"/>
                      <w:szCs w:val="21"/>
                    </w:rPr>
                  </w:pPr>
                </w:p>
              </w:tc>
              <w:tc>
                <w:tcPr>
                  <w:tcW w:w="1237" w:type="pct"/>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sz w:val="21"/>
                      <w:szCs w:val="21"/>
                    </w:rPr>
                  </w:pPr>
                  <w:r>
                    <w:rPr>
                      <w:rFonts w:hint="eastAsia" w:ascii="Times New Roman" w:hAnsi="Times New Roman" w:eastAsia="宋体"/>
                      <w:sz w:val="21"/>
                      <w:szCs w:val="21"/>
                    </w:rPr>
                    <w:t>日平均</w:t>
                  </w:r>
                </w:p>
              </w:tc>
              <w:tc>
                <w:tcPr>
                  <w:tcW w:w="1035" w:type="pct"/>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sz w:val="21"/>
                      <w:szCs w:val="21"/>
                    </w:rPr>
                  </w:pPr>
                  <w:r>
                    <w:rPr>
                      <w:rFonts w:ascii="Times New Roman" w:hAnsi="Times New Roman" w:eastAsia="宋体"/>
                      <w:sz w:val="21"/>
                      <w:szCs w:val="21"/>
                    </w:rPr>
                    <w:t>150</w:t>
                  </w:r>
                </w:p>
              </w:tc>
              <w:tc>
                <w:tcPr>
                  <w:tcW w:w="1634" w:type="pct"/>
                  <w:vMerge w:val="continue"/>
                  <w:tcBorders>
                    <w:top w:val="single" w:color="auto" w:sz="6" w:space="0"/>
                    <w:left w:val="single" w:color="auto" w:sz="6" w:space="0"/>
                    <w:bottom w:val="single" w:color="auto" w:sz="12" w:space="0"/>
                    <w:right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b/>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095" w:type="pct"/>
                  <w:vMerge w:val="continue"/>
                  <w:tcBorders>
                    <w:top w:val="single" w:color="auto" w:sz="6" w:space="0"/>
                    <w:left w:val="nil"/>
                    <w:bottom w:val="single" w:color="auto" w:sz="6" w:space="0"/>
                    <w:right w:val="single" w:color="auto" w:sz="6" w:space="0"/>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sz w:val="21"/>
                      <w:szCs w:val="21"/>
                    </w:rPr>
                  </w:pPr>
                </w:p>
              </w:tc>
              <w:tc>
                <w:tcPr>
                  <w:tcW w:w="1237" w:type="pct"/>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sz w:val="21"/>
                      <w:szCs w:val="21"/>
                    </w:rPr>
                  </w:pPr>
                  <w:r>
                    <w:rPr>
                      <w:rFonts w:ascii="Times New Roman" w:hAnsi="Times New Roman" w:eastAsia="宋体"/>
                      <w:sz w:val="21"/>
                      <w:szCs w:val="21"/>
                    </w:rPr>
                    <w:t>1h</w:t>
                  </w:r>
                  <w:r>
                    <w:rPr>
                      <w:rFonts w:hint="eastAsia" w:ascii="Times New Roman" w:hAnsi="Times New Roman" w:eastAsia="宋体"/>
                      <w:sz w:val="21"/>
                      <w:szCs w:val="21"/>
                    </w:rPr>
                    <w:t>平均</w:t>
                  </w:r>
                </w:p>
              </w:tc>
              <w:tc>
                <w:tcPr>
                  <w:tcW w:w="1035" w:type="pct"/>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sz w:val="21"/>
                      <w:szCs w:val="21"/>
                    </w:rPr>
                  </w:pPr>
                  <w:r>
                    <w:rPr>
                      <w:rFonts w:ascii="Times New Roman" w:hAnsi="Times New Roman" w:eastAsia="宋体"/>
                      <w:sz w:val="21"/>
                      <w:szCs w:val="21"/>
                    </w:rPr>
                    <w:t>500</w:t>
                  </w:r>
                </w:p>
              </w:tc>
              <w:tc>
                <w:tcPr>
                  <w:tcW w:w="1634" w:type="pct"/>
                  <w:vMerge w:val="continue"/>
                  <w:tcBorders>
                    <w:top w:val="single" w:color="auto" w:sz="6" w:space="0"/>
                    <w:left w:val="single" w:color="auto" w:sz="6" w:space="0"/>
                    <w:bottom w:val="single" w:color="auto" w:sz="12" w:space="0"/>
                    <w:right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b/>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095" w:type="pct"/>
                  <w:vMerge w:val="restart"/>
                  <w:tcBorders>
                    <w:top w:val="single" w:color="auto" w:sz="6"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sz w:val="21"/>
                      <w:szCs w:val="21"/>
                    </w:rPr>
                  </w:pPr>
                  <w:r>
                    <w:rPr>
                      <w:rFonts w:ascii="Times New Roman" w:hAnsi="Times New Roman" w:eastAsia="宋体"/>
                      <w:sz w:val="21"/>
                      <w:szCs w:val="21"/>
                    </w:rPr>
                    <w:t>PM</w:t>
                  </w:r>
                  <w:r>
                    <w:rPr>
                      <w:rFonts w:ascii="Times New Roman" w:hAnsi="Times New Roman" w:eastAsia="宋体"/>
                      <w:sz w:val="21"/>
                      <w:szCs w:val="21"/>
                      <w:vertAlign w:val="subscript"/>
                    </w:rPr>
                    <w:t>10</w:t>
                  </w:r>
                </w:p>
              </w:tc>
              <w:tc>
                <w:tcPr>
                  <w:tcW w:w="1237" w:type="pct"/>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sz w:val="21"/>
                      <w:szCs w:val="21"/>
                    </w:rPr>
                  </w:pPr>
                  <w:r>
                    <w:rPr>
                      <w:rFonts w:hint="eastAsia" w:ascii="Times New Roman" w:hAnsi="Times New Roman" w:eastAsia="宋体"/>
                      <w:sz w:val="21"/>
                      <w:szCs w:val="21"/>
                    </w:rPr>
                    <w:t>年平均</w:t>
                  </w:r>
                </w:p>
              </w:tc>
              <w:tc>
                <w:tcPr>
                  <w:tcW w:w="1035" w:type="pct"/>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sz w:val="21"/>
                      <w:szCs w:val="21"/>
                    </w:rPr>
                  </w:pPr>
                  <w:r>
                    <w:rPr>
                      <w:rFonts w:ascii="Times New Roman" w:hAnsi="Times New Roman" w:eastAsia="宋体"/>
                      <w:sz w:val="21"/>
                      <w:szCs w:val="21"/>
                    </w:rPr>
                    <w:t>70</w:t>
                  </w:r>
                </w:p>
              </w:tc>
              <w:tc>
                <w:tcPr>
                  <w:tcW w:w="1634" w:type="pct"/>
                  <w:vMerge w:val="continue"/>
                  <w:tcBorders>
                    <w:top w:val="single" w:color="auto" w:sz="6" w:space="0"/>
                    <w:left w:val="single" w:color="auto" w:sz="6" w:space="0"/>
                    <w:bottom w:val="single" w:color="auto" w:sz="12" w:space="0"/>
                    <w:right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b/>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095" w:type="pct"/>
                  <w:vMerge w:val="continue"/>
                  <w:tcBorders>
                    <w:top w:val="single" w:color="auto" w:sz="6" w:space="0"/>
                    <w:left w:val="nil"/>
                    <w:bottom w:val="single" w:color="auto" w:sz="6" w:space="0"/>
                    <w:right w:val="single" w:color="auto" w:sz="6" w:space="0"/>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sz w:val="21"/>
                      <w:szCs w:val="21"/>
                    </w:rPr>
                  </w:pPr>
                </w:p>
              </w:tc>
              <w:tc>
                <w:tcPr>
                  <w:tcW w:w="1237" w:type="pct"/>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sz w:val="21"/>
                      <w:szCs w:val="21"/>
                    </w:rPr>
                  </w:pPr>
                  <w:r>
                    <w:rPr>
                      <w:rFonts w:hint="eastAsia" w:ascii="Times New Roman" w:hAnsi="Times New Roman" w:eastAsia="宋体"/>
                      <w:sz w:val="21"/>
                      <w:szCs w:val="21"/>
                    </w:rPr>
                    <w:t>日平均</w:t>
                  </w:r>
                </w:p>
              </w:tc>
              <w:tc>
                <w:tcPr>
                  <w:tcW w:w="1035" w:type="pct"/>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sz w:val="21"/>
                      <w:szCs w:val="21"/>
                    </w:rPr>
                  </w:pPr>
                  <w:r>
                    <w:rPr>
                      <w:rFonts w:ascii="Times New Roman" w:hAnsi="Times New Roman" w:eastAsia="宋体"/>
                      <w:sz w:val="21"/>
                      <w:szCs w:val="21"/>
                    </w:rPr>
                    <w:t>150</w:t>
                  </w:r>
                </w:p>
              </w:tc>
              <w:tc>
                <w:tcPr>
                  <w:tcW w:w="1634" w:type="pct"/>
                  <w:vMerge w:val="continue"/>
                  <w:tcBorders>
                    <w:top w:val="single" w:color="auto" w:sz="6" w:space="0"/>
                    <w:left w:val="single" w:color="auto" w:sz="6" w:space="0"/>
                    <w:bottom w:val="single" w:color="auto" w:sz="12" w:space="0"/>
                    <w:right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b/>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095" w:type="pct"/>
                  <w:vMerge w:val="restart"/>
                  <w:tcBorders>
                    <w:top w:val="single" w:color="auto" w:sz="6"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sz w:val="21"/>
                      <w:szCs w:val="21"/>
                    </w:rPr>
                  </w:pPr>
                  <w:r>
                    <w:rPr>
                      <w:rFonts w:ascii="Times New Roman" w:hAnsi="Times New Roman" w:eastAsia="宋体"/>
                      <w:sz w:val="21"/>
                      <w:szCs w:val="21"/>
                    </w:rPr>
                    <w:t>PM</w:t>
                  </w:r>
                  <w:r>
                    <w:rPr>
                      <w:rFonts w:ascii="Times New Roman" w:hAnsi="Times New Roman" w:eastAsia="宋体"/>
                      <w:sz w:val="21"/>
                      <w:szCs w:val="21"/>
                      <w:vertAlign w:val="subscript"/>
                    </w:rPr>
                    <w:t>2.5</w:t>
                  </w:r>
                </w:p>
              </w:tc>
              <w:tc>
                <w:tcPr>
                  <w:tcW w:w="1237" w:type="pct"/>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sz w:val="21"/>
                      <w:szCs w:val="21"/>
                    </w:rPr>
                  </w:pPr>
                  <w:r>
                    <w:rPr>
                      <w:rFonts w:hint="eastAsia" w:ascii="Times New Roman" w:hAnsi="Times New Roman" w:eastAsia="宋体"/>
                      <w:sz w:val="21"/>
                      <w:szCs w:val="21"/>
                    </w:rPr>
                    <w:t>年平均</w:t>
                  </w:r>
                </w:p>
              </w:tc>
              <w:tc>
                <w:tcPr>
                  <w:tcW w:w="1035" w:type="pct"/>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sz w:val="21"/>
                      <w:szCs w:val="21"/>
                    </w:rPr>
                  </w:pPr>
                  <w:r>
                    <w:rPr>
                      <w:rFonts w:ascii="Times New Roman" w:hAnsi="Times New Roman" w:eastAsia="宋体"/>
                      <w:sz w:val="21"/>
                      <w:szCs w:val="21"/>
                    </w:rPr>
                    <w:t>35</w:t>
                  </w:r>
                </w:p>
              </w:tc>
              <w:tc>
                <w:tcPr>
                  <w:tcW w:w="1634" w:type="pct"/>
                  <w:vMerge w:val="continue"/>
                  <w:tcBorders>
                    <w:top w:val="single" w:color="auto" w:sz="6" w:space="0"/>
                    <w:left w:val="single" w:color="auto" w:sz="6" w:space="0"/>
                    <w:bottom w:val="single" w:color="auto" w:sz="12" w:space="0"/>
                    <w:right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b/>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095" w:type="pct"/>
                  <w:vMerge w:val="continue"/>
                  <w:tcBorders>
                    <w:top w:val="single" w:color="auto" w:sz="6" w:space="0"/>
                    <w:left w:val="nil"/>
                    <w:bottom w:val="single" w:color="auto" w:sz="6" w:space="0"/>
                    <w:right w:val="single" w:color="auto" w:sz="6" w:space="0"/>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sz w:val="21"/>
                      <w:szCs w:val="21"/>
                    </w:rPr>
                  </w:pPr>
                </w:p>
              </w:tc>
              <w:tc>
                <w:tcPr>
                  <w:tcW w:w="1237" w:type="pct"/>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sz w:val="21"/>
                      <w:szCs w:val="21"/>
                    </w:rPr>
                  </w:pPr>
                  <w:r>
                    <w:rPr>
                      <w:rFonts w:ascii="Times New Roman" w:hAnsi="Times New Roman" w:eastAsia="宋体"/>
                      <w:sz w:val="21"/>
                      <w:szCs w:val="21"/>
                    </w:rPr>
                    <w:t>24h</w:t>
                  </w:r>
                  <w:r>
                    <w:rPr>
                      <w:rFonts w:hint="eastAsia" w:ascii="Times New Roman" w:hAnsi="Times New Roman" w:eastAsia="宋体"/>
                      <w:sz w:val="21"/>
                      <w:szCs w:val="21"/>
                    </w:rPr>
                    <w:t>平均</w:t>
                  </w:r>
                </w:p>
              </w:tc>
              <w:tc>
                <w:tcPr>
                  <w:tcW w:w="1035" w:type="pct"/>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sz w:val="21"/>
                      <w:szCs w:val="21"/>
                    </w:rPr>
                  </w:pPr>
                  <w:r>
                    <w:rPr>
                      <w:rFonts w:ascii="Times New Roman" w:hAnsi="Times New Roman" w:eastAsia="宋体"/>
                      <w:sz w:val="21"/>
                      <w:szCs w:val="21"/>
                    </w:rPr>
                    <w:t>75</w:t>
                  </w:r>
                </w:p>
              </w:tc>
              <w:tc>
                <w:tcPr>
                  <w:tcW w:w="1634" w:type="pct"/>
                  <w:vMerge w:val="continue"/>
                  <w:tcBorders>
                    <w:top w:val="single" w:color="auto" w:sz="6" w:space="0"/>
                    <w:left w:val="single" w:color="auto" w:sz="6" w:space="0"/>
                    <w:bottom w:val="single" w:color="auto" w:sz="12" w:space="0"/>
                    <w:right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b/>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095" w:type="pct"/>
                  <w:vMerge w:val="restart"/>
                  <w:tcBorders>
                    <w:top w:val="single" w:color="auto" w:sz="6"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sz w:val="21"/>
                      <w:szCs w:val="21"/>
                    </w:rPr>
                  </w:pPr>
                  <w:r>
                    <w:rPr>
                      <w:rFonts w:ascii="Times New Roman" w:hAnsi="Times New Roman" w:eastAsia="宋体"/>
                      <w:sz w:val="21"/>
                      <w:szCs w:val="21"/>
                    </w:rPr>
                    <w:t>CO</w:t>
                  </w:r>
                </w:p>
              </w:tc>
              <w:tc>
                <w:tcPr>
                  <w:tcW w:w="1237" w:type="pct"/>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sz w:val="21"/>
                      <w:szCs w:val="21"/>
                    </w:rPr>
                  </w:pPr>
                  <w:r>
                    <w:rPr>
                      <w:rFonts w:ascii="Times New Roman" w:hAnsi="Times New Roman" w:eastAsia="宋体"/>
                      <w:sz w:val="21"/>
                      <w:szCs w:val="21"/>
                    </w:rPr>
                    <w:t>24h</w:t>
                  </w:r>
                  <w:r>
                    <w:rPr>
                      <w:rFonts w:hint="eastAsia" w:ascii="Times New Roman" w:hAnsi="Times New Roman" w:eastAsia="宋体"/>
                      <w:sz w:val="21"/>
                      <w:szCs w:val="21"/>
                    </w:rPr>
                    <w:t>平均</w:t>
                  </w:r>
                </w:p>
              </w:tc>
              <w:tc>
                <w:tcPr>
                  <w:tcW w:w="1035" w:type="pct"/>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sz w:val="21"/>
                      <w:szCs w:val="21"/>
                    </w:rPr>
                  </w:pPr>
                  <w:r>
                    <w:rPr>
                      <w:rFonts w:ascii="Times New Roman" w:hAnsi="Times New Roman" w:eastAsia="宋体"/>
                      <w:sz w:val="21"/>
                      <w:szCs w:val="21"/>
                    </w:rPr>
                    <w:t>4</w:t>
                  </w:r>
                  <w:r>
                    <w:rPr>
                      <w:rFonts w:ascii="Times New Roman" w:hAnsi="Times New Roman" w:eastAsia="宋体"/>
                      <w:bCs/>
                      <w:color w:val="000000"/>
                      <w:sz w:val="21"/>
                      <w:szCs w:val="21"/>
                    </w:rPr>
                    <w:t>000</w:t>
                  </w:r>
                </w:p>
              </w:tc>
              <w:tc>
                <w:tcPr>
                  <w:tcW w:w="1634" w:type="pct"/>
                  <w:vMerge w:val="continue"/>
                  <w:tcBorders>
                    <w:top w:val="single" w:color="auto" w:sz="6" w:space="0"/>
                    <w:left w:val="single" w:color="auto" w:sz="6" w:space="0"/>
                    <w:bottom w:val="single" w:color="auto" w:sz="12" w:space="0"/>
                    <w:right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b/>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095" w:type="pct"/>
                  <w:vMerge w:val="continue"/>
                  <w:tcBorders>
                    <w:top w:val="single" w:color="auto" w:sz="6" w:space="0"/>
                    <w:left w:val="nil"/>
                    <w:bottom w:val="single" w:color="auto" w:sz="6" w:space="0"/>
                    <w:right w:val="single" w:color="auto" w:sz="6" w:space="0"/>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sz w:val="21"/>
                      <w:szCs w:val="21"/>
                    </w:rPr>
                  </w:pPr>
                </w:p>
              </w:tc>
              <w:tc>
                <w:tcPr>
                  <w:tcW w:w="1237" w:type="pct"/>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sz w:val="21"/>
                      <w:szCs w:val="21"/>
                    </w:rPr>
                  </w:pPr>
                  <w:r>
                    <w:rPr>
                      <w:rFonts w:ascii="Times New Roman" w:hAnsi="Times New Roman" w:eastAsia="宋体"/>
                      <w:sz w:val="21"/>
                      <w:szCs w:val="21"/>
                    </w:rPr>
                    <w:t>1h</w:t>
                  </w:r>
                  <w:r>
                    <w:rPr>
                      <w:rFonts w:hint="eastAsia" w:ascii="Times New Roman" w:hAnsi="Times New Roman" w:eastAsia="宋体"/>
                      <w:sz w:val="21"/>
                      <w:szCs w:val="21"/>
                    </w:rPr>
                    <w:t>平均</w:t>
                  </w:r>
                </w:p>
              </w:tc>
              <w:tc>
                <w:tcPr>
                  <w:tcW w:w="1035" w:type="pct"/>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sz w:val="21"/>
                      <w:szCs w:val="21"/>
                    </w:rPr>
                  </w:pPr>
                  <w:r>
                    <w:rPr>
                      <w:rFonts w:ascii="Times New Roman" w:hAnsi="Times New Roman" w:eastAsia="宋体"/>
                      <w:sz w:val="21"/>
                      <w:szCs w:val="21"/>
                    </w:rPr>
                    <w:t>10</w:t>
                  </w:r>
                  <w:r>
                    <w:rPr>
                      <w:rFonts w:ascii="Times New Roman" w:hAnsi="Times New Roman" w:eastAsia="宋体"/>
                      <w:bCs/>
                      <w:color w:val="000000"/>
                      <w:sz w:val="21"/>
                      <w:szCs w:val="21"/>
                    </w:rPr>
                    <w:t>000</w:t>
                  </w:r>
                </w:p>
              </w:tc>
              <w:tc>
                <w:tcPr>
                  <w:tcW w:w="1634" w:type="pct"/>
                  <w:vMerge w:val="continue"/>
                  <w:tcBorders>
                    <w:top w:val="single" w:color="auto" w:sz="6" w:space="0"/>
                    <w:left w:val="single" w:color="auto" w:sz="6" w:space="0"/>
                    <w:bottom w:val="single" w:color="auto" w:sz="12" w:space="0"/>
                    <w:right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b/>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095" w:type="pct"/>
                  <w:vMerge w:val="restart"/>
                  <w:tcBorders>
                    <w:top w:val="single" w:color="auto" w:sz="6" w:space="0"/>
                    <w:left w:val="nil"/>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sz w:val="21"/>
                      <w:szCs w:val="21"/>
                    </w:rPr>
                  </w:pPr>
                  <w:r>
                    <w:rPr>
                      <w:rFonts w:ascii="Times New Roman" w:hAnsi="Times New Roman" w:eastAsia="宋体"/>
                      <w:sz w:val="21"/>
                      <w:szCs w:val="21"/>
                    </w:rPr>
                    <w:t>O</w:t>
                  </w:r>
                  <w:r>
                    <w:rPr>
                      <w:rFonts w:ascii="Times New Roman" w:hAnsi="Times New Roman" w:eastAsia="宋体"/>
                      <w:sz w:val="21"/>
                      <w:szCs w:val="21"/>
                      <w:vertAlign w:val="subscript"/>
                    </w:rPr>
                    <w:t>3</w:t>
                  </w:r>
                </w:p>
              </w:tc>
              <w:tc>
                <w:tcPr>
                  <w:tcW w:w="1237" w:type="pct"/>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sz w:val="21"/>
                      <w:szCs w:val="21"/>
                    </w:rPr>
                  </w:pPr>
                  <w:r>
                    <w:rPr>
                      <w:rFonts w:hint="eastAsia" w:ascii="Times New Roman" w:hAnsi="Times New Roman" w:eastAsia="宋体"/>
                      <w:sz w:val="21"/>
                      <w:szCs w:val="21"/>
                    </w:rPr>
                    <w:t>日最大</w:t>
                  </w:r>
                  <w:r>
                    <w:rPr>
                      <w:rFonts w:ascii="Times New Roman" w:hAnsi="Times New Roman" w:eastAsia="宋体"/>
                      <w:sz w:val="21"/>
                      <w:szCs w:val="21"/>
                    </w:rPr>
                    <w:t>8h</w:t>
                  </w:r>
                  <w:r>
                    <w:rPr>
                      <w:rFonts w:hint="eastAsia" w:ascii="Times New Roman" w:hAnsi="Times New Roman" w:eastAsia="宋体"/>
                      <w:sz w:val="21"/>
                      <w:szCs w:val="21"/>
                    </w:rPr>
                    <w:t>平均</w:t>
                  </w:r>
                </w:p>
              </w:tc>
              <w:tc>
                <w:tcPr>
                  <w:tcW w:w="1035" w:type="pct"/>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sz w:val="21"/>
                      <w:szCs w:val="21"/>
                    </w:rPr>
                  </w:pPr>
                  <w:r>
                    <w:rPr>
                      <w:rFonts w:ascii="Times New Roman" w:hAnsi="Times New Roman" w:eastAsia="宋体"/>
                      <w:sz w:val="21"/>
                      <w:szCs w:val="21"/>
                    </w:rPr>
                    <w:t>160</w:t>
                  </w:r>
                </w:p>
              </w:tc>
              <w:tc>
                <w:tcPr>
                  <w:tcW w:w="1634" w:type="pct"/>
                  <w:vMerge w:val="continue"/>
                  <w:tcBorders>
                    <w:top w:val="single" w:color="auto" w:sz="6" w:space="0"/>
                    <w:left w:val="single" w:color="auto" w:sz="6" w:space="0"/>
                    <w:bottom w:val="single" w:color="auto" w:sz="12" w:space="0"/>
                    <w:right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b/>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095" w:type="pct"/>
                  <w:vMerge w:val="continue"/>
                  <w:tcBorders>
                    <w:top w:val="single" w:color="auto" w:sz="6" w:space="0"/>
                    <w:left w:val="nil"/>
                    <w:bottom w:val="single" w:color="auto" w:sz="6" w:space="0"/>
                    <w:right w:val="single" w:color="auto" w:sz="6" w:space="0"/>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sz w:val="21"/>
                      <w:szCs w:val="21"/>
                    </w:rPr>
                  </w:pPr>
                </w:p>
              </w:tc>
              <w:tc>
                <w:tcPr>
                  <w:tcW w:w="1237" w:type="pct"/>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sz w:val="21"/>
                      <w:szCs w:val="21"/>
                    </w:rPr>
                  </w:pPr>
                  <w:r>
                    <w:rPr>
                      <w:rFonts w:ascii="Times New Roman" w:hAnsi="Times New Roman" w:eastAsia="宋体"/>
                      <w:sz w:val="21"/>
                      <w:szCs w:val="21"/>
                    </w:rPr>
                    <w:t>1h</w:t>
                  </w:r>
                  <w:r>
                    <w:rPr>
                      <w:rFonts w:hint="eastAsia" w:ascii="Times New Roman" w:hAnsi="Times New Roman" w:eastAsia="宋体"/>
                      <w:sz w:val="21"/>
                      <w:szCs w:val="21"/>
                    </w:rPr>
                    <w:t>平均</w:t>
                  </w:r>
                </w:p>
              </w:tc>
              <w:tc>
                <w:tcPr>
                  <w:tcW w:w="1035" w:type="pct"/>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sz w:val="21"/>
                      <w:szCs w:val="21"/>
                    </w:rPr>
                  </w:pPr>
                  <w:r>
                    <w:rPr>
                      <w:rFonts w:ascii="Times New Roman" w:hAnsi="Times New Roman" w:eastAsia="宋体"/>
                      <w:sz w:val="21"/>
                      <w:szCs w:val="21"/>
                    </w:rPr>
                    <w:t>200</w:t>
                  </w:r>
                </w:p>
              </w:tc>
              <w:tc>
                <w:tcPr>
                  <w:tcW w:w="1634" w:type="pct"/>
                  <w:vMerge w:val="continue"/>
                  <w:tcBorders>
                    <w:top w:val="single" w:color="auto" w:sz="6" w:space="0"/>
                    <w:left w:val="single" w:color="auto" w:sz="6" w:space="0"/>
                    <w:bottom w:val="single" w:color="auto" w:sz="12" w:space="0"/>
                    <w:right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b/>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095" w:type="pct"/>
                  <w:vMerge w:val="restart"/>
                  <w:tcBorders>
                    <w:top w:val="single" w:color="auto" w:sz="6" w:space="0"/>
                    <w:left w:val="nil"/>
                    <w:bottom w:val="single" w:color="auto" w:sz="12" w:space="0"/>
                    <w:right w:val="single" w:color="auto" w:sz="6" w:space="0"/>
                  </w:tcBorders>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sz w:val="21"/>
                      <w:szCs w:val="21"/>
                    </w:rPr>
                  </w:pPr>
                  <w:r>
                    <w:rPr>
                      <w:rFonts w:hint="eastAsia" w:ascii="Times New Roman" w:hAnsi="Times New Roman" w:eastAsia="宋体"/>
                      <w:sz w:val="21"/>
                      <w:szCs w:val="21"/>
                    </w:rPr>
                    <w:t>二氧化氮</w:t>
                  </w:r>
                </w:p>
              </w:tc>
              <w:tc>
                <w:tcPr>
                  <w:tcW w:w="1237" w:type="pct"/>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sz w:val="21"/>
                      <w:szCs w:val="21"/>
                    </w:rPr>
                  </w:pPr>
                  <w:r>
                    <w:rPr>
                      <w:rFonts w:hint="eastAsia" w:ascii="Times New Roman" w:hAnsi="Times New Roman" w:eastAsia="宋体"/>
                      <w:sz w:val="21"/>
                      <w:szCs w:val="21"/>
                    </w:rPr>
                    <w:t>年平均</w:t>
                  </w:r>
                </w:p>
              </w:tc>
              <w:tc>
                <w:tcPr>
                  <w:tcW w:w="1035" w:type="pct"/>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sz w:val="21"/>
                      <w:szCs w:val="21"/>
                    </w:rPr>
                  </w:pPr>
                  <w:r>
                    <w:rPr>
                      <w:rFonts w:ascii="Times New Roman" w:hAnsi="Times New Roman" w:eastAsia="宋体"/>
                      <w:sz w:val="21"/>
                      <w:szCs w:val="21"/>
                    </w:rPr>
                    <w:t>40</w:t>
                  </w:r>
                </w:p>
              </w:tc>
              <w:tc>
                <w:tcPr>
                  <w:tcW w:w="1634" w:type="pct"/>
                  <w:vMerge w:val="continue"/>
                  <w:tcBorders>
                    <w:top w:val="single" w:color="auto" w:sz="6" w:space="0"/>
                    <w:left w:val="single" w:color="auto" w:sz="6" w:space="0"/>
                    <w:bottom w:val="single" w:color="auto" w:sz="12" w:space="0"/>
                    <w:right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b/>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095" w:type="pct"/>
                  <w:vMerge w:val="continue"/>
                  <w:tcBorders>
                    <w:top w:val="single" w:color="auto" w:sz="6" w:space="0"/>
                    <w:left w:val="nil"/>
                    <w:bottom w:val="single" w:color="auto" w:sz="12" w:space="0"/>
                    <w:right w:val="single" w:color="auto" w:sz="6" w:space="0"/>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sz w:val="21"/>
                      <w:szCs w:val="21"/>
                    </w:rPr>
                  </w:pPr>
                </w:p>
              </w:tc>
              <w:tc>
                <w:tcPr>
                  <w:tcW w:w="1237" w:type="pct"/>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sz w:val="21"/>
                      <w:szCs w:val="21"/>
                    </w:rPr>
                  </w:pPr>
                  <w:r>
                    <w:rPr>
                      <w:rFonts w:hint="eastAsia" w:ascii="Times New Roman" w:hAnsi="Times New Roman" w:eastAsia="宋体"/>
                      <w:sz w:val="21"/>
                      <w:szCs w:val="21"/>
                    </w:rPr>
                    <w:t>日平均</w:t>
                  </w:r>
                </w:p>
              </w:tc>
              <w:tc>
                <w:tcPr>
                  <w:tcW w:w="1035" w:type="pct"/>
                  <w:tcBorders>
                    <w:top w:val="single" w:color="auto" w:sz="6" w:space="0"/>
                    <w:left w:val="single" w:color="auto" w:sz="6" w:space="0"/>
                    <w:bottom w:val="single" w:color="auto" w:sz="6" w:space="0"/>
                    <w:right w:val="single" w:color="auto" w:sz="6" w:space="0"/>
                  </w:tcBorders>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sz w:val="21"/>
                      <w:szCs w:val="21"/>
                    </w:rPr>
                  </w:pPr>
                  <w:r>
                    <w:rPr>
                      <w:rFonts w:ascii="Times New Roman" w:hAnsi="Times New Roman" w:eastAsia="宋体"/>
                      <w:sz w:val="21"/>
                      <w:szCs w:val="21"/>
                    </w:rPr>
                    <w:t>80</w:t>
                  </w:r>
                </w:p>
              </w:tc>
              <w:tc>
                <w:tcPr>
                  <w:tcW w:w="1634" w:type="pct"/>
                  <w:vMerge w:val="continue"/>
                  <w:tcBorders>
                    <w:top w:val="single" w:color="auto" w:sz="6" w:space="0"/>
                    <w:left w:val="single" w:color="auto" w:sz="6" w:space="0"/>
                    <w:bottom w:val="single" w:color="auto" w:sz="12" w:space="0"/>
                    <w:right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b/>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095" w:type="pct"/>
                  <w:vMerge w:val="continue"/>
                  <w:tcBorders>
                    <w:top w:val="single" w:color="auto" w:sz="6" w:space="0"/>
                    <w:left w:val="nil"/>
                    <w:bottom w:val="single" w:color="auto" w:sz="12" w:space="0"/>
                    <w:right w:val="single" w:color="auto" w:sz="6" w:space="0"/>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sz w:val="21"/>
                      <w:szCs w:val="21"/>
                    </w:rPr>
                  </w:pPr>
                </w:p>
              </w:tc>
              <w:tc>
                <w:tcPr>
                  <w:tcW w:w="1237" w:type="pct"/>
                  <w:tcBorders>
                    <w:top w:val="single" w:color="auto" w:sz="6" w:space="0"/>
                    <w:left w:val="single" w:color="auto" w:sz="6" w:space="0"/>
                    <w:bottom w:val="single" w:color="auto" w:sz="12" w:space="0"/>
                    <w:right w:val="single" w:color="auto" w:sz="6" w:space="0"/>
                  </w:tcBorders>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sz w:val="21"/>
                      <w:szCs w:val="21"/>
                    </w:rPr>
                  </w:pPr>
                  <w:r>
                    <w:rPr>
                      <w:rFonts w:ascii="Times New Roman" w:hAnsi="Times New Roman" w:eastAsia="宋体"/>
                      <w:sz w:val="21"/>
                      <w:szCs w:val="21"/>
                    </w:rPr>
                    <w:t>1h</w:t>
                  </w:r>
                  <w:r>
                    <w:rPr>
                      <w:rFonts w:hint="eastAsia" w:ascii="Times New Roman" w:hAnsi="Times New Roman" w:eastAsia="宋体"/>
                      <w:sz w:val="21"/>
                      <w:szCs w:val="21"/>
                    </w:rPr>
                    <w:t>平均</w:t>
                  </w:r>
                </w:p>
              </w:tc>
              <w:tc>
                <w:tcPr>
                  <w:tcW w:w="1035" w:type="pct"/>
                  <w:tcBorders>
                    <w:top w:val="single" w:color="auto" w:sz="6" w:space="0"/>
                    <w:left w:val="single" w:color="auto" w:sz="6" w:space="0"/>
                    <w:bottom w:val="single" w:color="auto" w:sz="12" w:space="0"/>
                    <w:right w:val="single" w:color="auto" w:sz="6" w:space="0"/>
                  </w:tcBorders>
                  <w:vAlign w:val="center"/>
                </w:tcPr>
                <w:p>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sz w:val="21"/>
                      <w:szCs w:val="21"/>
                    </w:rPr>
                  </w:pPr>
                  <w:r>
                    <w:rPr>
                      <w:rFonts w:ascii="Times New Roman" w:hAnsi="Times New Roman" w:eastAsia="宋体"/>
                      <w:sz w:val="21"/>
                      <w:szCs w:val="21"/>
                    </w:rPr>
                    <w:t>200</w:t>
                  </w:r>
                </w:p>
              </w:tc>
              <w:tc>
                <w:tcPr>
                  <w:tcW w:w="1634" w:type="pct"/>
                  <w:vMerge w:val="continue"/>
                  <w:tcBorders>
                    <w:top w:val="single" w:color="auto" w:sz="6" w:space="0"/>
                    <w:left w:val="single" w:color="auto" w:sz="6" w:space="0"/>
                    <w:bottom w:val="single" w:color="auto" w:sz="12" w:space="0"/>
                    <w:right w:val="nil"/>
                  </w:tcBorders>
                  <w:vAlign w:val="center"/>
                </w:tcPr>
                <w:p>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b/>
                      <w:sz w:val="21"/>
                      <w:szCs w:val="21"/>
                    </w:rPr>
                  </w:pPr>
                </w:p>
              </w:tc>
            </w:tr>
          </w:tbl>
          <w:p>
            <w:pPr>
              <w:spacing w:line="520" w:lineRule="exact"/>
              <w:ind w:firstLine="482" w:firstLineChars="200"/>
              <w:rPr>
                <w:rFonts w:ascii="Times New Roman" w:hAnsi="Times New Roman" w:eastAsia="宋体"/>
                <w:b/>
                <w:sz w:val="24"/>
              </w:rPr>
            </w:pPr>
            <w:r>
              <w:rPr>
                <w:rFonts w:hint="eastAsia" w:ascii="Times New Roman" w:hAnsi="Times New Roman" w:eastAsia="宋体"/>
                <w:b/>
                <w:sz w:val="24"/>
              </w:rPr>
              <w:t>2</w:t>
            </w:r>
            <w:r>
              <w:rPr>
                <w:rFonts w:ascii="Times New Roman" w:hAnsi="Times New Roman" w:eastAsia="宋体"/>
                <w:b/>
                <w:sz w:val="24"/>
              </w:rPr>
              <w:t>、水环境</w:t>
            </w:r>
          </w:p>
          <w:p>
            <w:pPr>
              <w:spacing w:line="520" w:lineRule="exact"/>
              <w:ind w:firstLine="480" w:firstLineChars="200"/>
              <w:rPr>
                <w:rFonts w:ascii="Times New Roman" w:hAnsi="Times New Roman" w:eastAsia="宋体"/>
                <w:color w:val="000000" w:themeColor="text1"/>
                <w:sz w:val="24"/>
              </w:rPr>
            </w:pPr>
            <w:r>
              <w:rPr>
                <w:rFonts w:hint="eastAsia"/>
                <w:color w:val="000000" w:themeColor="text1"/>
                <w:sz w:val="24"/>
                <w:lang w:eastAsia="zh-CN"/>
              </w:rPr>
              <w:t>月台河</w:t>
            </w:r>
            <w:r>
              <w:rPr>
                <w:rFonts w:hint="eastAsia" w:ascii="Times New Roman" w:hAnsi="Times New Roman" w:eastAsia="宋体"/>
                <w:color w:val="000000" w:themeColor="text1"/>
                <w:sz w:val="24"/>
              </w:rPr>
              <w:t>、湛河</w:t>
            </w:r>
            <w:r>
              <w:rPr>
                <w:rFonts w:ascii="Times New Roman" w:hAnsi="Times New Roman" w:eastAsia="宋体"/>
                <w:color w:val="000000" w:themeColor="text1"/>
                <w:sz w:val="24"/>
              </w:rPr>
              <w:t>地表水</w:t>
            </w:r>
            <w:r>
              <w:rPr>
                <w:rFonts w:hint="eastAsia" w:ascii="Times New Roman" w:hAnsi="Times New Roman" w:eastAsia="宋体"/>
                <w:color w:val="000000" w:themeColor="text1"/>
                <w:sz w:val="24"/>
              </w:rPr>
              <w:t>水环境</w:t>
            </w:r>
            <w:r>
              <w:rPr>
                <w:rFonts w:ascii="Times New Roman" w:hAnsi="Times New Roman" w:eastAsia="宋体"/>
                <w:color w:val="000000" w:themeColor="text1"/>
                <w:sz w:val="24"/>
              </w:rPr>
              <w:t>执行《地表水环境质量标准》（GB3838－2002）</w:t>
            </w:r>
            <w:r>
              <w:rPr>
                <w:rFonts w:hint="eastAsia" w:ascii="Times New Roman" w:hAnsi="Times New Roman" w:eastAsia="宋体"/>
                <w:color w:val="000000" w:themeColor="text1"/>
                <w:sz w:val="24"/>
              </w:rPr>
              <w:t>中的III</w:t>
            </w:r>
            <w:r>
              <w:rPr>
                <w:rFonts w:ascii="Times New Roman" w:hAnsi="Times New Roman" w:eastAsia="宋体"/>
                <w:color w:val="000000" w:themeColor="text1"/>
                <w:sz w:val="24"/>
              </w:rPr>
              <w:t>类标准。具体标准限值见下表</w:t>
            </w:r>
            <w:r>
              <w:rPr>
                <w:rFonts w:hint="eastAsia" w:ascii="Times New Roman" w:hAnsi="Times New Roman" w:eastAsia="宋体"/>
                <w:color w:val="000000" w:themeColor="text1"/>
                <w:sz w:val="24"/>
              </w:rPr>
              <w:t>：</w:t>
            </w:r>
          </w:p>
          <w:p>
            <w:pPr>
              <w:pStyle w:val="7"/>
              <w:spacing w:beforeLines="50"/>
              <w:jc w:val="center"/>
              <w:rPr>
                <w:rFonts w:hint="eastAsia" w:ascii="Times New Roman" w:hAnsi="宋体" w:cs="Times New Roman"/>
                <w:b/>
                <w:bCs w:val="0"/>
                <w:sz w:val="24"/>
                <w:szCs w:val="24"/>
              </w:rPr>
            </w:pPr>
            <w:r>
              <w:rPr>
                <w:rFonts w:hint="eastAsia" w:ascii="Times New Roman" w:hAnsi="宋体" w:cs="Times New Roman"/>
                <w:b/>
                <w:bCs w:val="0"/>
                <w:sz w:val="24"/>
                <w:szCs w:val="24"/>
              </w:rPr>
              <w:t>表</w:t>
            </w:r>
            <w:r>
              <w:rPr>
                <w:rFonts w:hint="eastAsia" w:ascii="Times New Roman" w:hAnsi="宋体" w:cs="Times New Roman"/>
                <w:b/>
                <w:bCs w:val="0"/>
                <w:sz w:val="24"/>
                <w:szCs w:val="24"/>
                <w:lang w:val="en-US" w:eastAsia="zh-CN"/>
              </w:rPr>
              <w:t>1</w:t>
            </w:r>
            <w:r>
              <w:rPr>
                <w:rFonts w:hint="eastAsia" w:hAnsi="宋体" w:cs="Times New Roman"/>
                <w:b/>
                <w:bCs w:val="0"/>
                <w:sz w:val="24"/>
                <w:szCs w:val="24"/>
                <w:lang w:val="en-US" w:eastAsia="zh-CN"/>
              </w:rPr>
              <w:t>4</w:t>
            </w:r>
            <w:r>
              <w:rPr>
                <w:rFonts w:hint="eastAsia" w:ascii="Times New Roman" w:hAnsi="宋体" w:cs="Times New Roman"/>
                <w:b/>
                <w:bCs w:val="0"/>
                <w:sz w:val="24"/>
                <w:szCs w:val="24"/>
              </w:rPr>
              <w:t xml:space="preserve">  地表水环境质量标准  单位：mg/L </w:t>
            </w:r>
          </w:p>
          <w:tbl>
            <w:tblPr>
              <w:tblStyle w:val="23"/>
              <w:tblW w:w="8169"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3153"/>
              <w:gridCol w:w="2525"/>
              <w:gridCol w:w="249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3153" w:type="dxa"/>
                  <w:vMerge w:val="restart"/>
                  <w:vAlign w:val="center"/>
                </w:tcPr>
                <w:p>
                  <w:pPr>
                    <w:spacing w:line="240" w:lineRule="exact"/>
                    <w:jc w:val="center"/>
                    <w:rPr>
                      <w:rFonts w:ascii="Times New Roman" w:hAnsi="Times New Roman" w:eastAsia="宋体"/>
                      <w:color w:val="000000" w:themeColor="text1"/>
                      <w:szCs w:val="21"/>
                    </w:rPr>
                  </w:pPr>
                  <w:r>
                    <w:rPr>
                      <w:rFonts w:ascii="Times New Roman" w:hAnsi="Times New Roman" w:eastAsia="宋体"/>
                      <w:color w:val="000000" w:themeColor="text1"/>
                      <w:szCs w:val="21"/>
                    </w:rPr>
                    <w:t>项目</w:t>
                  </w:r>
                </w:p>
              </w:tc>
              <w:tc>
                <w:tcPr>
                  <w:tcW w:w="2525" w:type="dxa"/>
                  <w:tcBorders>
                    <w:left w:val="single" w:color="auto" w:sz="4" w:space="0"/>
                  </w:tcBorders>
                  <w:vAlign w:val="center"/>
                </w:tcPr>
                <w:p>
                  <w:pPr>
                    <w:spacing w:line="240" w:lineRule="exact"/>
                    <w:jc w:val="center"/>
                    <w:rPr>
                      <w:rFonts w:ascii="Times New Roman" w:hAnsi="Times New Roman" w:eastAsia="宋体"/>
                      <w:color w:val="000000" w:themeColor="text1"/>
                      <w:szCs w:val="21"/>
                    </w:rPr>
                  </w:pPr>
                  <w:r>
                    <w:rPr>
                      <w:rFonts w:ascii="Times New Roman" w:hAnsi="Times New Roman" w:eastAsia="宋体"/>
                      <w:color w:val="000000" w:themeColor="text1"/>
                      <w:szCs w:val="21"/>
                    </w:rPr>
                    <w:t>浓度限值</w:t>
                  </w:r>
                </w:p>
              </w:tc>
              <w:tc>
                <w:tcPr>
                  <w:tcW w:w="2491" w:type="dxa"/>
                  <w:vMerge w:val="restart"/>
                  <w:vAlign w:val="center"/>
                </w:tcPr>
                <w:p>
                  <w:pPr>
                    <w:spacing w:line="240" w:lineRule="exact"/>
                    <w:jc w:val="center"/>
                    <w:rPr>
                      <w:rFonts w:ascii="Times New Roman" w:hAnsi="Times New Roman" w:eastAsia="宋体"/>
                      <w:color w:val="000000" w:themeColor="text1"/>
                      <w:szCs w:val="21"/>
                    </w:rPr>
                  </w:pPr>
                  <w:r>
                    <w:rPr>
                      <w:rFonts w:ascii="Times New Roman" w:hAnsi="Times New Roman" w:eastAsia="宋体"/>
                      <w:color w:val="000000" w:themeColor="text1"/>
                      <w:szCs w:val="21"/>
                    </w:rPr>
                    <w:t>标准来源</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3153" w:type="dxa"/>
                  <w:vMerge w:val="continue"/>
                  <w:vAlign w:val="center"/>
                </w:tcPr>
                <w:p>
                  <w:pPr>
                    <w:spacing w:line="240" w:lineRule="exact"/>
                    <w:jc w:val="center"/>
                    <w:rPr>
                      <w:rFonts w:ascii="Times New Roman" w:hAnsi="Times New Roman" w:eastAsia="宋体"/>
                      <w:color w:val="000000" w:themeColor="text1"/>
                      <w:szCs w:val="21"/>
                    </w:rPr>
                  </w:pPr>
                </w:p>
              </w:tc>
              <w:tc>
                <w:tcPr>
                  <w:tcW w:w="2525" w:type="dxa"/>
                  <w:tcBorders>
                    <w:left w:val="single" w:color="auto" w:sz="4" w:space="0"/>
                  </w:tcBorders>
                  <w:vAlign w:val="center"/>
                </w:tcPr>
                <w:p>
                  <w:pPr>
                    <w:spacing w:line="240" w:lineRule="exact"/>
                    <w:jc w:val="center"/>
                    <w:rPr>
                      <w:rFonts w:ascii="Times New Roman" w:hAnsi="Times New Roman" w:eastAsia="宋体"/>
                      <w:color w:val="000000" w:themeColor="text1"/>
                      <w:szCs w:val="21"/>
                    </w:rPr>
                  </w:pPr>
                  <w:r>
                    <w:rPr>
                      <w:rFonts w:hint="eastAsia" w:ascii="Times New Roman" w:hAnsi="Times New Roman" w:eastAsia="宋体"/>
                      <w:color w:val="000000" w:themeColor="text1"/>
                      <w:szCs w:val="21"/>
                    </w:rPr>
                    <w:t>III</w:t>
                  </w:r>
                  <w:r>
                    <w:rPr>
                      <w:rFonts w:ascii="Times New Roman" w:hAnsi="Times New Roman" w:eastAsia="宋体"/>
                      <w:color w:val="000000" w:themeColor="text1"/>
                      <w:szCs w:val="21"/>
                    </w:rPr>
                    <w:t>类</w:t>
                  </w:r>
                </w:p>
              </w:tc>
              <w:tc>
                <w:tcPr>
                  <w:tcW w:w="2491" w:type="dxa"/>
                  <w:vMerge w:val="continue"/>
                  <w:vAlign w:val="center"/>
                </w:tcPr>
                <w:p>
                  <w:pPr>
                    <w:spacing w:line="240" w:lineRule="exact"/>
                    <w:jc w:val="center"/>
                    <w:rPr>
                      <w:rFonts w:ascii="Times New Roman" w:hAnsi="Times New Roman" w:eastAsia="宋体"/>
                      <w:color w:val="000000" w:themeColor="text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3153" w:type="dxa"/>
                  <w:vAlign w:val="center"/>
                </w:tcPr>
                <w:p>
                  <w:pPr>
                    <w:spacing w:line="240" w:lineRule="exact"/>
                    <w:jc w:val="center"/>
                    <w:rPr>
                      <w:rFonts w:ascii="Times New Roman" w:hAnsi="Times New Roman" w:eastAsia="宋体"/>
                      <w:color w:val="000000" w:themeColor="text1"/>
                      <w:szCs w:val="21"/>
                    </w:rPr>
                  </w:pPr>
                  <w:r>
                    <w:rPr>
                      <w:rFonts w:ascii="Times New Roman" w:hAnsi="Times New Roman" w:eastAsia="宋体"/>
                      <w:color w:val="000000" w:themeColor="text1"/>
                      <w:szCs w:val="21"/>
                    </w:rPr>
                    <w:t>pH（无量纲）</w:t>
                  </w:r>
                </w:p>
              </w:tc>
              <w:tc>
                <w:tcPr>
                  <w:tcW w:w="2525" w:type="dxa"/>
                  <w:tcBorders>
                    <w:left w:val="single" w:color="auto" w:sz="4" w:space="0"/>
                    <w:bottom w:val="single" w:color="auto" w:sz="4" w:space="0"/>
                  </w:tcBorders>
                  <w:vAlign w:val="center"/>
                </w:tcPr>
                <w:p>
                  <w:pPr>
                    <w:jc w:val="center"/>
                    <w:rPr>
                      <w:rFonts w:ascii="Times New Roman" w:hAnsi="Times New Roman" w:eastAsia="宋体"/>
                      <w:color w:val="000000" w:themeColor="text1"/>
                      <w:szCs w:val="21"/>
                    </w:rPr>
                  </w:pPr>
                  <w:r>
                    <w:rPr>
                      <w:rFonts w:ascii="Times New Roman" w:hAnsi="Times New Roman" w:eastAsia="宋体"/>
                      <w:color w:val="000000" w:themeColor="text1"/>
                      <w:szCs w:val="21"/>
                    </w:rPr>
                    <w:t>6～9</w:t>
                  </w:r>
                </w:p>
              </w:tc>
              <w:tc>
                <w:tcPr>
                  <w:tcW w:w="2491" w:type="dxa"/>
                  <w:vMerge w:val="restart"/>
                  <w:vAlign w:val="center"/>
                </w:tcPr>
                <w:p>
                  <w:pPr>
                    <w:spacing w:line="240" w:lineRule="exact"/>
                    <w:jc w:val="center"/>
                    <w:rPr>
                      <w:rFonts w:ascii="Times New Roman" w:hAnsi="Times New Roman" w:eastAsia="宋体"/>
                      <w:color w:val="000000" w:themeColor="text1"/>
                      <w:szCs w:val="21"/>
                    </w:rPr>
                  </w:pPr>
                  <w:r>
                    <w:rPr>
                      <w:rFonts w:ascii="Times New Roman" w:hAnsi="Times New Roman" w:eastAsia="宋体"/>
                      <w:color w:val="000000" w:themeColor="text1"/>
                      <w:szCs w:val="21"/>
                    </w:rPr>
                    <w:t>《地表水环境质量标准》（GB3838－2002）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3153" w:type="dxa"/>
                  <w:vAlign w:val="center"/>
                </w:tcPr>
                <w:p>
                  <w:pPr>
                    <w:spacing w:line="240" w:lineRule="exact"/>
                    <w:jc w:val="center"/>
                    <w:rPr>
                      <w:rFonts w:ascii="Times New Roman" w:hAnsi="Times New Roman" w:eastAsia="宋体"/>
                      <w:color w:val="000000" w:themeColor="text1"/>
                      <w:szCs w:val="21"/>
                    </w:rPr>
                  </w:pPr>
                  <w:r>
                    <w:rPr>
                      <w:rFonts w:ascii="Times New Roman" w:hAnsi="Times New Roman" w:eastAsia="宋体"/>
                      <w:color w:val="000000" w:themeColor="text1"/>
                      <w:szCs w:val="21"/>
                    </w:rPr>
                    <w:t>COD</w:t>
                  </w:r>
                </w:p>
              </w:tc>
              <w:tc>
                <w:tcPr>
                  <w:tcW w:w="2525" w:type="dxa"/>
                  <w:tcBorders>
                    <w:left w:val="single" w:color="auto" w:sz="4" w:space="0"/>
                  </w:tcBorders>
                  <w:vAlign w:val="center"/>
                </w:tcPr>
                <w:p>
                  <w:pPr>
                    <w:jc w:val="center"/>
                    <w:rPr>
                      <w:rFonts w:ascii="Times New Roman" w:hAnsi="Times New Roman" w:eastAsia="宋体"/>
                      <w:color w:val="000000" w:themeColor="text1"/>
                      <w:szCs w:val="21"/>
                    </w:rPr>
                  </w:pPr>
                  <w:r>
                    <w:rPr>
                      <w:rFonts w:hint="eastAsia" w:ascii="Times New Roman" w:hAnsi="Times New Roman" w:eastAsia="宋体"/>
                      <w:color w:val="000000" w:themeColor="text1"/>
                      <w:szCs w:val="21"/>
                    </w:rPr>
                    <w:t>20</w:t>
                  </w:r>
                </w:p>
              </w:tc>
              <w:tc>
                <w:tcPr>
                  <w:tcW w:w="2491" w:type="dxa"/>
                  <w:vMerge w:val="continue"/>
                  <w:vAlign w:val="center"/>
                </w:tcPr>
                <w:p>
                  <w:pPr>
                    <w:spacing w:line="240" w:lineRule="exact"/>
                    <w:jc w:val="center"/>
                    <w:rPr>
                      <w:rFonts w:ascii="Times New Roman" w:hAnsi="Times New Roman" w:eastAsia="宋体"/>
                      <w:color w:val="000000" w:themeColor="text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3153" w:type="dxa"/>
                  <w:vAlign w:val="center"/>
                </w:tcPr>
                <w:p>
                  <w:pPr>
                    <w:spacing w:line="240" w:lineRule="exact"/>
                    <w:jc w:val="center"/>
                    <w:rPr>
                      <w:rFonts w:ascii="Times New Roman" w:hAnsi="Times New Roman" w:eastAsia="宋体"/>
                      <w:color w:val="000000" w:themeColor="text1"/>
                      <w:szCs w:val="21"/>
                    </w:rPr>
                  </w:pPr>
                  <w:r>
                    <w:rPr>
                      <w:rFonts w:ascii="Times New Roman" w:hAnsi="Times New Roman" w:eastAsia="宋体"/>
                      <w:color w:val="000000" w:themeColor="text1"/>
                      <w:szCs w:val="21"/>
                    </w:rPr>
                    <w:t>BOD</w:t>
                  </w:r>
                </w:p>
              </w:tc>
              <w:tc>
                <w:tcPr>
                  <w:tcW w:w="2525" w:type="dxa"/>
                  <w:tcBorders>
                    <w:left w:val="single" w:color="auto" w:sz="4" w:space="0"/>
                  </w:tcBorders>
                  <w:vAlign w:val="center"/>
                </w:tcPr>
                <w:p>
                  <w:pPr>
                    <w:jc w:val="center"/>
                    <w:rPr>
                      <w:rFonts w:ascii="Times New Roman" w:hAnsi="Times New Roman" w:eastAsia="宋体"/>
                      <w:color w:val="000000" w:themeColor="text1"/>
                      <w:szCs w:val="21"/>
                    </w:rPr>
                  </w:pPr>
                  <w:r>
                    <w:rPr>
                      <w:rFonts w:hint="eastAsia" w:ascii="Times New Roman" w:hAnsi="Times New Roman" w:eastAsia="宋体"/>
                      <w:color w:val="000000" w:themeColor="text1"/>
                      <w:szCs w:val="21"/>
                    </w:rPr>
                    <w:t>4</w:t>
                  </w:r>
                </w:p>
              </w:tc>
              <w:tc>
                <w:tcPr>
                  <w:tcW w:w="2491" w:type="dxa"/>
                  <w:vMerge w:val="continue"/>
                  <w:vAlign w:val="center"/>
                </w:tcPr>
                <w:p>
                  <w:pPr>
                    <w:spacing w:line="240" w:lineRule="exact"/>
                    <w:jc w:val="center"/>
                    <w:rPr>
                      <w:rFonts w:ascii="Times New Roman" w:hAnsi="Times New Roman" w:eastAsia="宋体"/>
                      <w:color w:val="000000" w:themeColor="text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3153" w:type="dxa"/>
                  <w:vAlign w:val="center"/>
                </w:tcPr>
                <w:p>
                  <w:pPr>
                    <w:spacing w:line="240" w:lineRule="exact"/>
                    <w:jc w:val="center"/>
                    <w:rPr>
                      <w:rFonts w:ascii="Times New Roman" w:hAnsi="Times New Roman" w:eastAsia="宋体"/>
                      <w:color w:val="000000" w:themeColor="text1"/>
                      <w:szCs w:val="21"/>
                    </w:rPr>
                  </w:pPr>
                  <w:r>
                    <w:rPr>
                      <w:rFonts w:ascii="Times New Roman" w:hAnsi="Times New Roman" w:eastAsia="宋体"/>
                      <w:color w:val="000000" w:themeColor="text1"/>
                      <w:szCs w:val="21"/>
                    </w:rPr>
                    <w:t>NH</w:t>
                  </w:r>
                  <w:r>
                    <w:rPr>
                      <w:rFonts w:ascii="Times New Roman" w:hAnsi="Times New Roman" w:eastAsia="宋体"/>
                      <w:color w:val="000000" w:themeColor="text1"/>
                      <w:szCs w:val="21"/>
                      <w:vertAlign w:val="subscript"/>
                    </w:rPr>
                    <w:t>3</w:t>
                  </w:r>
                  <w:r>
                    <w:rPr>
                      <w:rFonts w:ascii="Times New Roman" w:hAnsi="Times New Roman" w:eastAsia="宋体"/>
                      <w:color w:val="000000" w:themeColor="text1"/>
                      <w:szCs w:val="21"/>
                    </w:rPr>
                    <w:t>-N</w:t>
                  </w:r>
                </w:p>
              </w:tc>
              <w:tc>
                <w:tcPr>
                  <w:tcW w:w="2525" w:type="dxa"/>
                  <w:tcBorders>
                    <w:left w:val="single" w:color="auto" w:sz="4" w:space="0"/>
                  </w:tcBorders>
                  <w:vAlign w:val="center"/>
                </w:tcPr>
                <w:p>
                  <w:pPr>
                    <w:jc w:val="center"/>
                    <w:rPr>
                      <w:rFonts w:ascii="Times New Roman" w:hAnsi="Times New Roman" w:eastAsia="宋体"/>
                      <w:color w:val="000000" w:themeColor="text1"/>
                      <w:szCs w:val="21"/>
                    </w:rPr>
                  </w:pPr>
                  <w:r>
                    <w:rPr>
                      <w:rFonts w:hint="eastAsia" w:ascii="Times New Roman" w:hAnsi="Times New Roman" w:eastAsia="宋体"/>
                      <w:color w:val="000000" w:themeColor="text1"/>
                      <w:szCs w:val="21"/>
                    </w:rPr>
                    <w:t>1.0</w:t>
                  </w:r>
                </w:p>
              </w:tc>
              <w:tc>
                <w:tcPr>
                  <w:tcW w:w="2491" w:type="dxa"/>
                  <w:vMerge w:val="continue"/>
                  <w:vAlign w:val="center"/>
                </w:tcPr>
                <w:p>
                  <w:pPr>
                    <w:spacing w:line="240" w:lineRule="exact"/>
                    <w:jc w:val="center"/>
                    <w:rPr>
                      <w:rFonts w:ascii="Times New Roman" w:hAnsi="Times New Roman" w:eastAsia="宋体"/>
                      <w:color w:val="000000" w:themeColor="text1"/>
                      <w:szCs w:val="21"/>
                    </w:rPr>
                  </w:pPr>
                </w:p>
              </w:tc>
            </w:tr>
          </w:tbl>
          <w:p>
            <w:pPr>
              <w:spacing w:line="520" w:lineRule="exact"/>
              <w:ind w:firstLine="482" w:firstLineChars="200"/>
              <w:rPr>
                <w:rFonts w:ascii="Times New Roman" w:hAnsi="Times New Roman" w:eastAsia="宋体"/>
                <w:b/>
                <w:color w:val="000000"/>
                <w:sz w:val="24"/>
              </w:rPr>
            </w:pPr>
            <w:r>
              <w:rPr>
                <w:rFonts w:hint="eastAsia" w:ascii="Times New Roman" w:hAnsi="Times New Roman" w:eastAsia="宋体"/>
                <w:b/>
                <w:color w:val="000000"/>
                <w:sz w:val="24"/>
              </w:rPr>
              <w:t>3</w:t>
            </w:r>
            <w:r>
              <w:rPr>
                <w:rFonts w:ascii="Times New Roman" w:hAnsi="Times New Roman" w:eastAsia="宋体"/>
                <w:b/>
                <w:color w:val="000000"/>
                <w:sz w:val="24"/>
              </w:rPr>
              <w:t>、声环境</w:t>
            </w:r>
          </w:p>
          <w:p>
            <w:pPr>
              <w:spacing w:line="520" w:lineRule="exact"/>
              <w:ind w:firstLine="480" w:firstLineChars="200"/>
              <w:rPr>
                <w:rFonts w:hint="eastAsia" w:ascii="Times New Roman" w:hAnsi="Times New Roman" w:eastAsia="宋体"/>
                <w:sz w:val="24"/>
              </w:rPr>
            </w:pPr>
            <w:r>
              <w:rPr>
                <w:rFonts w:ascii="Times New Roman" w:hAnsi="Times New Roman" w:eastAsia="宋体"/>
                <w:sz w:val="24"/>
              </w:rPr>
              <w:t>本项目声环境质量执行《声环境质量标准》（GB3096-2008）修改单</w:t>
            </w:r>
            <w:r>
              <w:rPr>
                <w:rFonts w:hint="eastAsia" w:ascii="Times New Roman" w:hAnsi="Times New Roman" w:eastAsia="宋体"/>
                <w:sz w:val="24"/>
                <w:lang w:eastAsia="zh-CN"/>
              </w:rPr>
              <w:t>（公告2018年第29号）</w:t>
            </w:r>
            <w:r>
              <w:rPr>
                <w:rFonts w:ascii="Times New Roman" w:hAnsi="Times New Roman" w:eastAsia="宋体"/>
                <w:sz w:val="24"/>
              </w:rPr>
              <w:t>表1中</w:t>
            </w:r>
            <w:r>
              <w:rPr>
                <w:rFonts w:hint="eastAsia"/>
                <w:sz w:val="24"/>
                <w:lang w:val="en-US" w:eastAsia="zh-CN"/>
              </w:rPr>
              <w:t>2</w:t>
            </w:r>
            <w:r>
              <w:rPr>
                <w:rFonts w:ascii="Times New Roman" w:hAnsi="Times New Roman" w:eastAsia="宋体"/>
                <w:sz w:val="24"/>
              </w:rPr>
              <w:t>类标准，具体标准限值见</w:t>
            </w:r>
            <w:r>
              <w:rPr>
                <w:rFonts w:hint="eastAsia" w:ascii="Times New Roman" w:hAnsi="Times New Roman" w:eastAsia="宋体"/>
                <w:sz w:val="24"/>
              </w:rPr>
              <w:t>下表：</w:t>
            </w:r>
          </w:p>
          <w:p>
            <w:pPr>
              <w:pStyle w:val="7"/>
              <w:spacing w:beforeLines="50"/>
              <w:jc w:val="center"/>
              <w:rPr>
                <w:rFonts w:hint="eastAsia" w:ascii="Times New Roman" w:hAnsi="宋体" w:cs="Times New Roman"/>
                <w:b/>
                <w:bCs w:val="0"/>
                <w:sz w:val="24"/>
                <w:szCs w:val="24"/>
              </w:rPr>
            </w:pPr>
            <w:r>
              <w:rPr>
                <w:rFonts w:hint="eastAsia" w:ascii="Times New Roman" w:hAnsi="宋体" w:cs="Times New Roman"/>
                <w:b/>
                <w:bCs w:val="0"/>
                <w:sz w:val="24"/>
                <w:szCs w:val="24"/>
                <w:lang w:val="en-US" w:eastAsia="zh-CN"/>
              </w:rPr>
              <w:t>1</w:t>
            </w:r>
            <w:r>
              <w:rPr>
                <w:rFonts w:hint="eastAsia" w:hAnsi="宋体" w:cs="Times New Roman"/>
                <w:b/>
                <w:bCs w:val="0"/>
                <w:sz w:val="24"/>
                <w:szCs w:val="24"/>
                <w:lang w:val="en-US" w:eastAsia="zh-CN"/>
              </w:rPr>
              <w:t>5</w:t>
            </w:r>
            <w:r>
              <w:rPr>
                <w:rFonts w:hint="eastAsia" w:ascii="Times New Roman" w:hAnsi="宋体" w:cs="Times New Roman"/>
                <w:b/>
                <w:bCs w:val="0"/>
                <w:sz w:val="24"/>
                <w:szCs w:val="24"/>
              </w:rPr>
              <w:t xml:space="preserve">  声环境质量标准                 等效声级LAeq：dB</w:t>
            </w:r>
          </w:p>
          <w:tbl>
            <w:tblPr>
              <w:tblStyle w:val="23"/>
              <w:tblW w:w="4946"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3123"/>
              <w:gridCol w:w="2188"/>
              <w:gridCol w:w="261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969" w:type="pct"/>
                  <w:vAlign w:val="center"/>
                </w:tcPr>
                <w:p>
                  <w:pPr>
                    <w:jc w:val="center"/>
                    <w:rPr>
                      <w:rFonts w:ascii="Times New Roman" w:hAnsi="Times New Roman" w:eastAsia="宋体"/>
                      <w:color w:val="000000"/>
                    </w:rPr>
                  </w:pPr>
                  <w:r>
                    <w:rPr>
                      <w:rFonts w:ascii="Times New Roman" w:hAnsi="Times New Roman" w:eastAsia="宋体"/>
                      <w:color w:val="000000"/>
                    </w:rPr>
                    <w:t>类别</w:t>
                  </w:r>
                </w:p>
              </w:tc>
              <w:tc>
                <w:tcPr>
                  <w:tcW w:w="1379" w:type="pct"/>
                  <w:vAlign w:val="center"/>
                </w:tcPr>
                <w:p>
                  <w:pPr>
                    <w:jc w:val="center"/>
                    <w:rPr>
                      <w:rFonts w:ascii="Times New Roman" w:hAnsi="Times New Roman" w:eastAsia="宋体"/>
                      <w:color w:val="000000"/>
                    </w:rPr>
                  </w:pPr>
                  <w:r>
                    <w:rPr>
                      <w:rFonts w:ascii="Times New Roman" w:hAnsi="Times New Roman" w:eastAsia="宋体"/>
                      <w:color w:val="000000"/>
                    </w:rPr>
                    <w:t>昼间</w:t>
                  </w:r>
                </w:p>
              </w:tc>
              <w:tc>
                <w:tcPr>
                  <w:tcW w:w="1650" w:type="pct"/>
                  <w:vAlign w:val="center"/>
                </w:tcPr>
                <w:p>
                  <w:pPr>
                    <w:jc w:val="center"/>
                    <w:rPr>
                      <w:rFonts w:ascii="Times New Roman" w:hAnsi="Times New Roman" w:eastAsia="宋体"/>
                      <w:color w:val="000000"/>
                    </w:rPr>
                  </w:pPr>
                  <w:r>
                    <w:rPr>
                      <w:rFonts w:ascii="Times New Roman" w:hAnsi="Times New Roman" w:eastAsia="宋体"/>
                      <w:color w:val="000000"/>
                    </w:rPr>
                    <w:t>夜间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969" w:type="pct"/>
                  <w:vAlign w:val="center"/>
                </w:tcPr>
                <w:p>
                  <w:pPr>
                    <w:jc w:val="center"/>
                    <w:rPr>
                      <w:rFonts w:hint="default"/>
                      <w:color w:val="000000"/>
                      <w:lang w:val="en-US" w:eastAsia="zh-CN"/>
                    </w:rPr>
                  </w:pPr>
                  <w:r>
                    <w:rPr>
                      <w:rFonts w:hint="eastAsia"/>
                      <w:color w:val="000000"/>
                      <w:lang w:val="en-US" w:eastAsia="zh-CN"/>
                    </w:rPr>
                    <w:t>2类</w:t>
                  </w:r>
                </w:p>
              </w:tc>
              <w:tc>
                <w:tcPr>
                  <w:tcW w:w="1379" w:type="pct"/>
                  <w:vAlign w:val="center"/>
                </w:tcPr>
                <w:p>
                  <w:pPr>
                    <w:pStyle w:val="12"/>
                    <w:adjustRightInd/>
                    <w:jc w:val="center"/>
                    <w:textAlignment w:val="auto"/>
                    <w:rPr>
                      <w:rFonts w:hint="default"/>
                      <w:color w:val="000000"/>
                      <w:sz w:val="21"/>
                      <w:lang w:val="en-US" w:eastAsia="zh-CN"/>
                    </w:rPr>
                  </w:pPr>
                  <w:r>
                    <w:rPr>
                      <w:rFonts w:hint="eastAsia"/>
                      <w:color w:val="000000"/>
                      <w:sz w:val="21"/>
                      <w:lang w:val="en-US" w:eastAsia="zh-CN"/>
                    </w:rPr>
                    <w:t>60</w:t>
                  </w:r>
                </w:p>
              </w:tc>
              <w:tc>
                <w:tcPr>
                  <w:tcW w:w="1650" w:type="pct"/>
                  <w:vAlign w:val="center"/>
                </w:tcPr>
                <w:p>
                  <w:pPr>
                    <w:jc w:val="center"/>
                    <w:rPr>
                      <w:rFonts w:hint="default"/>
                      <w:color w:val="000000"/>
                      <w:lang w:val="en-US" w:eastAsia="zh-CN"/>
                    </w:rPr>
                  </w:pPr>
                  <w:r>
                    <w:rPr>
                      <w:rFonts w:hint="eastAsia"/>
                      <w:color w:val="000000"/>
                      <w:lang w:val="en-US" w:eastAsia="zh-CN"/>
                    </w:rPr>
                    <w:t>50</w:t>
                  </w:r>
                </w:p>
              </w:tc>
            </w:tr>
          </w:tbl>
          <w:p>
            <w:pPr>
              <w:spacing w:line="360" w:lineRule="auto"/>
              <w:rPr>
                <w:rFonts w:ascii="Times New Roman" w:hAnsi="Times New Roman" w:eastAsia="宋体"/>
                <w:sz w:val="24"/>
              </w:rPr>
            </w:pP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c>
          <w:tcPr>
            <w:tcW w:w="1053" w:type="dxa"/>
            <w:tcBorders>
              <w:top w:val="single" w:color="auto" w:sz="6" w:space="0"/>
              <w:left w:val="single" w:color="auto" w:sz="12" w:space="0"/>
              <w:bottom w:val="single" w:color="auto" w:sz="6" w:space="0"/>
              <w:right w:val="single" w:color="auto" w:sz="6" w:space="0"/>
            </w:tcBorders>
            <w:vAlign w:val="center"/>
          </w:tcPr>
          <w:p>
            <w:pPr>
              <w:spacing w:line="360" w:lineRule="auto"/>
              <w:jc w:val="center"/>
              <w:rPr>
                <w:rFonts w:ascii="Times New Roman" w:hAnsi="Times New Roman" w:eastAsia="宋体"/>
                <w:b/>
                <w:sz w:val="28"/>
              </w:rPr>
            </w:pPr>
            <w:r>
              <w:rPr>
                <w:rFonts w:ascii="Times New Roman" w:hAnsi="Times New Roman" w:eastAsia="宋体"/>
                <w:b/>
                <w:sz w:val="28"/>
              </w:rPr>
              <w:t>污</w:t>
            </w:r>
          </w:p>
          <w:p>
            <w:pPr>
              <w:spacing w:line="360" w:lineRule="auto"/>
              <w:jc w:val="center"/>
              <w:rPr>
                <w:rFonts w:ascii="Times New Roman" w:hAnsi="Times New Roman" w:eastAsia="宋体"/>
                <w:b/>
                <w:sz w:val="28"/>
              </w:rPr>
            </w:pPr>
            <w:r>
              <w:rPr>
                <w:rFonts w:ascii="Times New Roman" w:hAnsi="Times New Roman" w:eastAsia="宋体"/>
                <w:b/>
                <w:sz w:val="28"/>
              </w:rPr>
              <w:t>染</w:t>
            </w:r>
          </w:p>
          <w:p>
            <w:pPr>
              <w:spacing w:line="360" w:lineRule="auto"/>
              <w:jc w:val="center"/>
              <w:rPr>
                <w:rFonts w:ascii="Times New Roman" w:hAnsi="Times New Roman" w:eastAsia="宋体"/>
                <w:b/>
                <w:sz w:val="28"/>
              </w:rPr>
            </w:pPr>
            <w:r>
              <w:rPr>
                <w:rFonts w:ascii="Times New Roman" w:hAnsi="Times New Roman" w:eastAsia="宋体"/>
                <w:b/>
                <w:sz w:val="28"/>
              </w:rPr>
              <w:t>物</w:t>
            </w:r>
          </w:p>
          <w:p>
            <w:pPr>
              <w:spacing w:line="360" w:lineRule="auto"/>
              <w:jc w:val="center"/>
              <w:rPr>
                <w:rFonts w:ascii="Times New Roman" w:hAnsi="Times New Roman" w:eastAsia="宋体"/>
                <w:b/>
                <w:sz w:val="28"/>
              </w:rPr>
            </w:pPr>
            <w:r>
              <w:rPr>
                <w:rFonts w:ascii="Times New Roman" w:hAnsi="Times New Roman" w:eastAsia="宋体"/>
                <w:b/>
                <w:sz w:val="28"/>
              </w:rPr>
              <w:t>排</w:t>
            </w:r>
          </w:p>
          <w:p>
            <w:pPr>
              <w:spacing w:line="360" w:lineRule="auto"/>
              <w:jc w:val="center"/>
              <w:rPr>
                <w:rFonts w:ascii="Times New Roman" w:hAnsi="Times New Roman" w:eastAsia="宋体"/>
                <w:b/>
                <w:sz w:val="28"/>
              </w:rPr>
            </w:pPr>
            <w:r>
              <w:rPr>
                <w:rFonts w:ascii="Times New Roman" w:hAnsi="Times New Roman" w:eastAsia="宋体"/>
                <w:b/>
                <w:sz w:val="28"/>
              </w:rPr>
              <w:t>放</w:t>
            </w:r>
          </w:p>
          <w:p>
            <w:pPr>
              <w:spacing w:line="360" w:lineRule="auto"/>
              <w:jc w:val="center"/>
              <w:rPr>
                <w:rFonts w:ascii="Times New Roman" w:hAnsi="Times New Roman" w:eastAsia="宋体"/>
                <w:b/>
                <w:sz w:val="28"/>
              </w:rPr>
            </w:pPr>
            <w:r>
              <w:rPr>
                <w:rFonts w:ascii="Times New Roman" w:hAnsi="Times New Roman" w:eastAsia="宋体"/>
                <w:b/>
                <w:sz w:val="28"/>
              </w:rPr>
              <w:t>标</w:t>
            </w:r>
          </w:p>
          <w:p>
            <w:pPr>
              <w:spacing w:line="360" w:lineRule="auto"/>
              <w:jc w:val="center"/>
              <w:rPr>
                <w:rFonts w:ascii="Times New Roman" w:hAnsi="Times New Roman" w:eastAsia="宋体"/>
                <w:b/>
                <w:sz w:val="28"/>
              </w:rPr>
            </w:pPr>
            <w:r>
              <w:rPr>
                <w:rFonts w:ascii="Times New Roman" w:hAnsi="Times New Roman" w:eastAsia="宋体"/>
                <w:b/>
                <w:sz w:val="28"/>
              </w:rPr>
              <w:t>准</w:t>
            </w:r>
          </w:p>
        </w:tc>
        <w:tc>
          <w:tcPr>
            <w:tcW w:w="8233" w:type="dxa"/>
            <w:tcBorders>
              <w:top w:val="single" w:color="auto" w:sz="6" w:space="0"/>
              <w:left w:val="single" w:color="auto" w:sz="6" w:space="0"/>
              <w:bottom w:val="single" w:color="auto" w:sz="6" w:space="0"/>
              <w:right w:val="single" w:color="auto" w:sz="12" w:space="0"/>
            </w:tcBorders>
          </w:tcPr>
          <w:p>
            <w:pPr>
              <w:spacing w:line="520" w:lineRule="exact"/>
              <w:ind w:firstLine="482" w:firstLineChars="200"/>
              <w:rPr>
                <w:rFonts w:ascii="Times New Roman" w:hAnsi="Times New Roman" w:eastAsia="宋体"/>
                <w:b/>
                <w:color w:val="000000" w:themeColor="text1"/>
                <w:sz w:val="24"/>
              </w:rPr>
            </w:pPr>
            <w:r>
              <w:rPr>
                <w:rFonts w:ascii="Times New Roman" w:hAnsi="Times New Roman" w:eastAsia="宋体"/>
                <w:b/>
                <w:color w:val="000000" w:themeColor="text1"/>
                <w:sz w:val="24"/>
              </w:rPr>
              <w:t>1、废水</w:t>
            </w:r>
          </w:p>
          <w:p>
            <w:pPr>
              <w:spacing w:line="520" w:lineRule="exact"/>
              <w:ind w:firstLine="480" w:firstLineChars="200"/>
              <w:rPr>
                <w:rFonts w:hint="eastAsia" w:ascii="Times New Roman" w:hAnsi="Times New Roman" w:eastAsia="宋体" w:cs="Times New Roman"/>
                <w:sz w:val="24"/>
              </w:rPr>
            </w:pPr>
            <w:r>
              <w:rPr>
                <w:rFonts w:ascii="Times New Roman" w:hAnsi="Times New Roman" w:eastAsia="宋体" w:cs="Times New Roman"/>
                <w:sz w:val="24"/>
              </w:rPr>
              <w:t>该项目废气执行《污水综合排放标准》（GB8978—1996）</w:t>
            </w:r>
            <w:r>
              <w:rPr>
                <w:rFonts w:hint="eastAsia" w:ascii="Times New Roman" w:hAnsi="Times New Roman" w:eastAsia="宋体" w:cs="Times New Roman"/>
                <w:sz w:val="24"/>
              </w:rPr>
              <w:t>表4</w:t>
            </w:r>
            <w:r>
              <w:rPr>
                <w:rFonts w:hint="eastAsia" w:ascii="Times New Roman" w:hAnsi="Times New Roman" w:eastAsia="宋体" w:cs="Times New Roman"/>
                <w:sz w:val="24"/>
                <w:lang w:eastAsia="zh-CN"/>
              </w:rPr>
              <w:t>三</w:t>
            </w:r>
            <w:r>
              <w:rPr>
                <w:rFonts w:ascii="Times New Roman" w:hAnsi="Times New Roman" w:eastAsia="宋体" w:cs="Times New Roman"/>
                <w:sz w:val="24"/>
              </w:rPr>
              <w:t>级</w:t>
            </w:r>
            <w:r>
              <w:rPr>
                <w:rFonts w:hint="eastAsia" w:ascii="Times New Roman" w:hAnsi="Times New Roman" w:eastAsia="宋体" w:cs="Times New Roman"/>
                <w:sz w:val="24"/>
              </w:rPr>
              <w:t>标准</w:t>
            </w:r>
            <w:r>
              <w:rPr>
                <w:rFonts w:ascii="Times New Roman" w:hAnsi="Times New Roman" w:eastAsia="宋体" w:cs="Times New Roman"/>
                <w:sz w:val="24"/>
              </w:rPr>
              <w:t>。具体标准限值见</w:t>
            </w:r>
            <w:r>
              <w:rPr>
                <w:rFonts w:hint="eastAsia" w:ascii="Times New Roman" w:hAnsi="Times New Roman" w:eastAsia="宋体" w:cs="Times New Roman"/>
                <w:sz w:val="24"/>
              </w:rPr>
              <w:t>下表：</w:t>
            </w:r>
          </w:p>
          <w:p>
            <w:pPr>
              <w:pStyle w:val="7"/>
              <w:spacing w:beforeLines="50"/>
              <w:jc w:val="center"/>
              <w:rPr>
                <w:rFonts w:hint="eastAsia" w:ascii="Times New Roman" w:hAnsi="宋体" w:cs="Times New Roman"/>
                <w:b/>
                <w:bCs w:val="0"/>
                <w:sz w:val="24"/>
                <w:szCs w:val="24"/>
              </w:rPr>
            </w:pPr>
            <w:r>
              <w:rPr>
                <w:rFonts w:hint="eastAsia" w:ascii="Times New Roman" w:hAnsi="宋体" w:cs="Times New Roman"/>
                <w:b/>
                <w:bCs w:val="0"/>
                <w:sz w:val="24"/>
                <w:szCs w:val="24"/>
              </w:rPr>
              <w:t>表</w:t>
            </w:r>
            <w:r>
              <w:rPr>
                <w:rFonts w:hint="eastAsia" w:ascii="Times New Roman" w:hAnsi="宋体" w:cs="Times New Roman"/>
                <w:b/>
                <w:bCs w:val="0"/>
                <w:sz w:val="24"/>
                <w:szCs w:val="24"/>
                <w:lang w:val="en-US" w:eastAsia="zh-CN"/>
              </w:rPr>
              <w:t>1</w:t>
            </w:r>
            <w:r>
              <w:rPr>
                <w:rFonts w:hint="eastAsia" w:hAnsi="宋体" w:cs="Times New Roman"/>
                <w:b/>
                <w:bCs w:val="0"/>
                <w:sz w:val="24"/>
                <w:szCs w:val="24"/>
                <w:lang w:val="en-US" w:eastAsia="zh-CN"/>
              </w:rPr>
              <w:t>6</w:t>
            </w:r>
            <w:r>
              <w:rPr>
                <w:rFonts w:hint="eastAsia" w:ascii="Times New Roman" w:hAnsi="宋体" w:cs="Times New Roman"/>
                <w:b/>
                <w:bCs w:val="0"/>
                <w:sz w:val="24"/>
                <w:szCs w:val="24"/>
              </w:rPr>
              <w:t xml:space="preserve">  《污水综合排放标准》（GB8978—1996）表4</w:t>
            </w:r>
            <w:r>
              <w:rPr>
                <w:rFonts w:hint="eastAsia" w:ascii="Times New Roman" w:hAnsi="宋体" w:cs="Times New Roman"/>
                <w:b/>
                <w:bCs w:val="0"/>
                <w:sz w:val="24"/>
                <w:szCs w:val="24"/>
                <w:lang w:eastAsia="zh-CN"/>
              </w:rPr>
              <w:t>三</w:t>
            </w:r>
            <w:r>
              <w:rPr>
                <w:rFonts w:hint="eastAsia" w:ascii="Times New Roman" w:hAnsi="宋体" w:cs="Times New Roman"/>
                <w:b/>
                <w:bCs w:val="0"/>
                <w:sz w:val="24"/>
                <w:szCs w:val="24"/>
              </w:rPr>
              <w:t>级标准</w:t>
            </w:r>
          </w:p>
          <w:tbl>
            <w:tblPr>
              <w:tblStyle w:val="23"/>
              <w:tblW w:w="8079"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804"/>
              <w:gridCol w:w="627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90" w:hRule="atLeast"/>
              </w:trPr>
              <w:tc>
                <w:tcPr>
                  <w:tcW w:w="1804" w:type="dxa"/>
                  <w:vAlign w:val="center"/>
                </w:tcPr>
                <w:p>
                  <w:pPr>
                    <w:snapToGrid w:val="0"/>
                    <w:jc w:val="center"/>
                    <w:rPr>
                      <w:rFonts w:ascii="Times New Roman" w:hAnsi="Times New Roman" w:eastAsia="宋体" w:cs="Arial"/>
                      <w:szCs w:val="21"/>
                    </w:rPr>
                  </w:pPr>
                  <w:r>
                    <w:rPr>
                      <w:rFonts w:ascii="Times New Roman" w:hAnsi="Times New Roman" w:eastAsia="宋体" w:cs="Arial"/>
                      <w:szCs w:val="21"/>
                    </w:rPr>
                    <w:t>污染物</w:t>
                  </w:r>
                </w:p>
              </w:tc>
              <w:tc>
                <w:tcPr>
                  <w:tcW w:w="6275" w:type="dxa"/>
                  <w:vAlign w:val="center"/>
                </w:tcPr>
                <w:p>
                  <w:pPr>
                    <w:snapToGrid w:val="0"/>
                    <w:jc w:val="center"/>
                    <w:rPr>
                      <w:rFonts w:ascii="Times New Roman" w:hAnsi="Times New Roman" w:eastAsia="宋体" w:cs="Arial"/>
                      <w:szCs w:val="21"/>
                    </w:rPr>
                  </w:pPr>
                  <w:r>
                    <w:rPr>
                      <w:rFonts w:ascii="Times New Roman" w:cs="Times New Roman"/>
                      <w:bCs/>
                      <w:kern w:val="0"/>
                      <w:sz w:val="21"/>
                      <w:szCs w:val="21"/>
                    </w:rPr>
                    <w:t>排放限值</w:t>
                  </w:r>
                  <w:r>
                    <w:rPr>
                      <w:rFonts w:hint="eastAsia" w:ascii="Times New Roman" w:cs="Times New Roman"/>
                      <w:bCs/>
                      <w:kern w:val="0"/>
                      <w:sz w:val="21"/>
                      <w:szCs w:val="21"/>
                      <w:lang w:eastAsia="zh-CN"/>
                    </w:rPr>
                    <w:t>（</w:t>
                  </w:r>
                  <w:r>
                    <w:rPr>
                      <w:rFonts w:ascii="Times New Roman" w:cs="Times New Roman"/>
                      <w:sz w:val="21"/>
                      <w:szCs w:val="21"/>
                    </w:rPr>
                    <w:t>mg/L</w:t>
                  </w:r>
                  <w:r>
                    <w:rPr>
                      <w:rFonts w:hint="eastAsia" w:ascii="Times New Roman" w:cs="Times New Roman"/>
                      <w:sz w:val="21"/>
                      <w:szCs w:val="21"/>
                      <w:lang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90" w:hRule="atLeast"/>
              </w:trPr>
              <w:tc>
                <w:tcPr>
                  <w:tcW w:w="1804" w:type="dxa"/>
                  <w:vAlign w:val="center"/>
                </w:tcPr>
                <w:p>
                  <w:pPr>
                    <w:widowControl/>
                    <w:snapToGrid w:val="0"/>
                    <w:spacing w:line="400" w:lineRule="exact"/>
                    <w:jc w:val="center"/>
                    <w:rPr>
                      <w:rFonts w:ascii="Times New Roman" w:hAnsi="Times New Roman" w:eastAsia="宋体" w:cs="Arial"/>
                      <w:szCs w:val="21"/>
                    </w:rPr>
                  </w:pPr>
                  <w:r>
                    <w:rPr>
                      <w:rFonts w:ascii="Times New Roman" w:hAnsi="Times New Roman" w:cs="Times New Roman"/>
                      <w:sz w:val="21"/>
                      <w:szCs w:val="21"/>
                    </w:rPr>
                    <w:t>COD</w:t>
                  </w:r>
                </w:p>
              </w:tc>
              <w:tc>
                <w:tcPr>
                  <w:tcW w:w="6275" w:type="dxa"/>
                  <w:vAlign w:val="center"/>
                </w:tcPr>
                <w:p>
                  <w:pPr>
                    <w:widowControl/>
                    <w:snapToGrid w:val="0"/>
                    <w:spacing w:line="400" w:lineRule="exact"/>
                    <w:jc w:val="center"/>
                    <w:rPr>
                      <w:rFonts w:ascii="Times New Roman" w:hAnsi="Times New Roman" w:eastAsia="宋体" w:cs="Arial"/>
                      <w:szCs w:val="21"/>
                    </w:rPr>
                  </w:pPr>
                  <w:r>
                    <w:rPr>
                      <w:rFonts w:hint="eastAsia" w:cs="Times New Roman"/>
                      <w:sz w:val="21"/>
                      <w:szCs w:val="21"/>
                      <w:lang w:val="en-US" w:eastAsia="zh-CN"/>
                    </w:rPr>
                    <w:t>50</w:t>
                  </w:r>
                  <w:r>
                    <w:rPr>
                      <w:rFonts w:hint="eastAsia" w:ascii="Times New Roman" w:cs="Times New Roman"/>
                      <w:sz w:val="21"/>
                      <w:szCs w:val="21"/>
                    </w:rPr>
                    <w:t>0</w:t>
                  </w:r>
                  <w:r>
                    <w:rPr>
                      <w:rFonts w:ascii="Times New Roman" w:cs="Times New Roman"/>
                      <w:sz w:val="21"/>
                      <w:szCs w:val="21"/>
                    </w:rPr>
                    <w:t>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90" w:hRule="atLeast"/>
              </w:trPr>
              <w:tc>
                <w:tcPr>
                  <w:tcW w:w="1804" w:type="dxa"/>
                  <w:vAlign w:val="center"/>
                </w:tcPr>
                <w:p>
                  <w:pPr>
                    <w:widowControl/>
                    <w:snapToGrid w:val="0"/>
                    <w:spacing w:line="400" w:lineRule="exact"/>
                    <w:jc w:val="center"/>
                    <w:rPr>
                      <w:rFonts w:ascii="Times New Roman" w:hAnsi="Times New Roman" w:eastAsia="宋体" w:cs="Arial"/>
                      <w:szCs w:val="21"/>
                    </w:rPr>
                  </w:pPr>
                  <w:r>
                    <w:rPr>
                      <w:rFonts w:hint="eastAsia" w:cs="Times New Roman"/>
                      <w:sz w:val="21"/>
                      <w:szCs w:val="21"/>
                      <w:lang w:eastAsia="zh-CN"/>
                    </w:rPr>
                    <w:t>氨氮</w:t>
                  </w:r>
                </w:p>
              </w:tc>
              <w:tc>
                <w:tcPr>
                  <w:tcW w:w="6275" w:type="dxa"/>
                  <w:vAlign w:val="center"/>
                </w:tcPr>
                <w:p>
                  <w:pPr>
                    <w:widowControl/>
                    <w:snapToGrid w:val="0"/>
                    <w:spacing w:line="400" w:lineRule="exact"/>
                    <w:jc w:val="center"/>
                    <w:rPr>
                      <w:rFonts w:ascii="Times New Roman" w:hAnsi="Times New Roman" w:eastAsia="宋体" w:cs="Arial"/>
                      <w:szCs w:val="21"/>
                    </w:rPr>
                  </w:pPr>
                  <w:r>
                    <w:rPr>
                      <w:rFonts w:hint="eastAsia" w:cs="Times New Roman"/>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90" w:hRule="atLeast"/>
              </w:trPr>
              <w:tc>
                <w:tcPr>
                  <w:tcW w:w="1804" w:type="dxa"/>
                  <w:vAlign w:val="center"/>
                </w:tcPr>
                <w:p>
                  <w:pPr>
                    <w:widowControl/>
                    <w:snapToGrid w:val="0"/>
                    <w:spacing w:line="400" w:lineRule="exact"/>
                    <w:jc w:val="center"/>
                    <w:rPr>
                      <w:rFonts w:ascii="Times New Roman" w:hAnsi="Times New Roman" w:eastAsia="宋体" w:cs="Arial"/>
                      <w:szCs w:val="21"/>
                    </w:rPr>
                  </w:pPr>
                  <w:r>
                    <w:rPr>
                      <w:rFonts w:ascii="Times New Roman" w:hAnsi="Times New Roman" w:cs="Times New Roman"/>
                      <w:sz w:val="21"/>
                      <w:szCs w:val="21"/>
                    </w:rPr>
                    <w:t>BOD</w:t>
                  </w:r>
                  <w:r>
                    <w:rPr>
                      <w:rFonts w:ascii="Times New Roman" w:hAnsi="Times New Roman" w:cs="Times New Roman"/>
                      <w:sz w:val="21"/>
                      <w:szCs w:val="21"/>
                      <w:vertAlign w:val="subscript"/>
                    </w:rPr>
                    <w:t>5</w:t>
                  </w:r>
                </w:p>
              </w:tc>
              <w:tc>
                <w:tcPr>
                  <w:tcW w:w="6275" w:type="dxa"/>
                  <w:vAlign w:val="center"/>
                </w:tcPr>
                <w:p>
                  <w:pPr>
                    <w:widowControl/>
                    <w:snapToGrid w:val="0"/>
                    <w:spacing w:line="400" w:lineRule="exact"/>
                    <w:jc w:val="center"/>
                    <w:rPr>
                      <w:rFonts w:ascii="Times New Roman" w:hAnsi="Times New Roman" w:eastAsia="宋体" w:cs="Arial"/>
                      <w:szCs w:val="21"/>
                    </w:rPr>
                  </w:pPr>
                  <w:r>
                    <w:rPr>
                      <w:rFonts w:hint="eastAsia" w:cs="Times New Roman"/>
                      <w:sz w:val="21"/>
                      <w:szCs w:val="21"/>
                      <w:lang w:val="en-US" w:eastAsia="zh-CN"/>
                    </w:rPr>
                    <w:t>300</w:t>
                  </w:r>
                  <w:r>
                    <w:rPr>
                      <w:rFonts w:ascii="Times New Roman" w:cs="Times New Roman"/>
                      <w:sz w:val="21"/>
                      <w:szCs w:val="21"/>
                    </w:rPr>
                    <w:t>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9" w:hRule="atLeast"/>
              </w:trPr>
              <w:tc>
                <w:tcPr>
                  <w:tcW w:w="1804" w:type="dxa"/>
                  <w:vAlign w:val="center"/>
                </w:tcPr>
                <w:p>
                  <w:pPr>
                    <w:widowControl/>
                    <w:snapToGrid w:val="0"/>
                    <w:spacing w:line="400" w:lineRule="exact"/>
                    <w:jc w:val="center"/>
                    <w:rPr>
                      <w:rFonts w:ascii="Times New Roman" w:hAnsi="Times New Roman" w:eastAsia="宋体" w:cs="Arial"/>
                      <w:szCs w:val="21"/>
                    </w:rPr>
                  </w:pPr>
                  <w:r>
                    <w:rPr>
                      <w:rFonts w:ascii="Times New Roman" w:hAnsi="Times New Roman" w:cs="Times New Roman"/>
                      <w:sz w:val="21"/>
                      <w:szCs w:val="21"/>
                    </w:rPr>
                    <w:t>SS</w:t>
                  </w:r>
                </w:p>
              </w:tc>
              <w:tc>
                <w:tcPr>
                  <w:tcW w:w="6275" w:type="dxa"/>
                  <w:vAlign w:val="center"/>
                </w:tcPr>
                <w:p>
                  <w:pPr>
                    <w:widowControl/>
                    <w:snapToGrid w:val="0"/>
                    <w:spacing w:line="400" w:lineRule="exact"/>
                    <w:jc w:val="center"/>
                    <w:rPr>
                      <w:rFonts w:ascii="Times New Roman" w:hAnsi="Times New Roman" w:eastAsia="宋体" w:cs="Arial"/>
                      <w:szCs w:val="21"/>
                    </w:rPr>
                  </w:pPr>
                  <w:r>
                    <w:rPr>
                      <w:rFonts w:hint="eastAsia" w:cs="Times New Roman"/>
                      <w:sz w:val="21"/>
                      <w:szCs w:val="21"/>
                      <w:lang w:val="en-US" w:eastAsia="zh-CN"/>
                    </w:rPr>
                    <w:t>400</w:t>
                  </w:r>
                  <w:r>
                    <w:rPr>
                      <w:rFonts w:ascii="Times New Roman" w:cs="Times New Roman"/>
                      <w:sz w:val="21"/>
                      <w:szCs w:val="21"/>
                    </w:rPr>
                    <w:t>mg/L</w:t>
                  </w:r>
                </w:p>
              </w:tc>
            </w:tr>
          </w:tbl>
          <w:p>
            <w:pPr>
              <w:spacing w:line="520" w:lineRule="exact"/>
              <w:ind w:firstLine="482" w:firstLineChars="200"/>
              <w:rPr>
                <w:rFonts w:ascii="Times New Roman" w:hAnsi="Times New Roman" w:eastAsia="宋体"/>
                <w:b/>
                <w:sz w:val="24"/>
              </w:rPr>
            </w:pPr>
            <w:r>
              <w:rPr>
                <w:rFonts w:ascii="Times New Roman" w:hAnsi="Times New Roman" w:eastAsia="宋体"/>
                <w:b/>
                <w:sz w:val="24"/>
              </w:rPr>
              <w:t>2、大气污染物</w:t>
            </w:r>
          </w:p>
          <w:p>
            <w:pPr>
              <w:spacing w:line="520" w:lineRule="exact"/>
              <w:ind w:firstLine="480" w:firstLineChars="200"/>
              <w:rPr>
                <w:rFonts w:ascii="Times New Roman" w:hAnsi="Times New Roman" w:eastAsia="宋体"/>
                <w:sz w:val="24"/>
              </w:rPr>
            </w:pPr>
            <w:r>
              <w:rPr>
                <w:rFonts w:ascii="Times New Roman" w:hAnsi="Times New Roman" w:eastAsia="宋体"/>
                <w:sz w:val="24"/>
              </w:rPr>
              <w:t>该项目废气执行《大气污染物综合排放标准》（GB16297－1996）表2中新污染源大气污染物排放限值。具体标准限值见</w:t>
            </w:r>
            <w:r>
              <w:rPr>
                <w:rFonts w:hint="eastAsia" w:ascii="Times New Roman" w:hAnsi="Times New Roman" w:eastAsia="宋体"/>
                <w:sz w:val="24"/>
              </w:rPr>
              <w:t>下表：</w:t>
            </w:r>
          </w:p>
          <w:p>
            <w:pPr>
              <w:pStyle w:val="7"/>
              <w:spacing w:beforeLines="50"/>
              <w:jc w:val="center"/>
              <w:rPr>
                <w:rFonts w:hint="eastAsia" w:ascii="Times New Roman" w:hAnsi="宋体" w:cs="Times New Roman"/>
                <w:b/>
                <w:bCs w:val="0"/>
                <w:sz w:val="24"/>
                <w:szCs w:val="24"/>
              </w:rPr>
            </w:pPr>
            <w:r>
              <w:rPr>
                <w:rFonts w:hint="eastAsia" w:ascii="Times New Roman" w:hAnsi="宋体" w:cs="Times New Roman"/>
                <w:b/>
                <w:bCs w:val="0"/>
                <w:sz w:val="24"/>
                <w:szCs w:val="24"/>
              </w:rPr>
              <w:t>表</w:t>
            </w:r>
            <w:r>
              <w:rPr>
                <w:rFonts w:hint="eastAsia" w:ascii="Times New Roman" w:hAnsi="宋体" w:cs="Times New Roman"/>
                <w:b/>
                <w:bCs w:val="0"/>
                <w:sz w:val="24"/>
                <w:szCs w:val="24"/>
                <w:lang w:val="en-US" w:eastAsia="zh-CN"/>
              </w:rPr>
              <w:t>1</w:t>
            </w:r>
            <w:r>
              <w:rPr>
                <w:rFonts w:hint="eastAsia" w:hAnsi="宋体" w:cs="Times New Roman"/>
                <w:b/>
                <w:bCs w:val="0"/>
                <w:sz w:val="24"/>
                <w:szCs w:val="24"/>
                <w:lang w:val="en-US" w:eastAsia="zh-CN"/>
              </w:rPr>
              <w:t>7</w:t>
            </w:r>
            <w:r>
              <w:rPr>
                <w:rFonts w:hint="eastAsia" w:ascii="Times New Roman" w:hAnsi="宋体" w:cs="Times New Roman"/>
                <w:b/>
                <w:bCs w:val="0"/>
                <w:sz w:val="24"/>
                <w:szCs w:val="24"/>
              </w:rPr>
              <w:t xml:space="preserve">  《大气污染物综合排放标准》二级标准</w:t>
            </w:r>
          </w:p>
          <w:tbl>
            <w:tblPr>
              <w:tblStyle w:val="23"/>
              <w:tblW w:w="8079"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3976"/>
              <w:gridCol w:w="410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9" w:hRule="atLeast"/>
              </w:trPr>
              <w:tc>
                <w:tcPr>
                  <w:tcW w:w="3976" w:type="dxa"/>
                  <w:vAlign w:val="center"/>
                </w:tcPr>
                <w:p>
                  <w:pPr>
                    <w:snapToGrid w:val="0"/>
                    <w:jc w:val="center"/>
                    <w:rPr>
                      <w:rFonts w:ascii="Times New Roman" w:hAnsi="Times New Roman" w:eastAsia="宋体" w:cs="Arial"/>
                      <w:szCs w:val="21"/>
                    </w:rPr>
                  </w:pPr>
                  <w:r>
                    <w:rPr>
                      <w:rFonts w:ascii="Times New Roman" w:hAnsi="Times New Roman" w:eastAsia="宋体" w:cs="Arial"/>
                      <w:szCs w:val="21"/>
                    </w:rPr>
                    <w:t>污染物</w:t>
                  </w:r>
                </w:p>
              </w:tc>
              <w:tc>
                <w:tcPr>
                  <w:tcW w:w="4103" w:type="dxa"/>
                  <w:vAlign w:val="center"/>
                </w:tcPr>
                <w:p>
                  <w:pPr>
                    <w:snapToGrid w:val="0"/>
                    <w:jc w:val="center"/>
                    <w:rPr>
                      <w:rFonts w:ascii="Times New Roman" w:hAnsi="Times New Roman" w:eastAsia="宋体" w:cs="Arial"/>
                      <w:szCs w:val="21"/>
                    </w:rPr>
                  </w:pPr>
                  <w:r>
                    <w:rPr>
                      <w:rFonts w:ascii="Times New Roman" w:hAnsi="Times New Roman" w:eastAsia="宋体" w:cs="Arial"/>
                      <w:szCs w:val="21"/>
                    </w:rPr>
                    <w:t>无组织排放监控浓度限值浓度（mg/m</w:t>
                  </w:r>
                  <w:r>
                    <w:rPr>
                      <w:rFonts w:ascii="Times New Roman" w:hAnsi="Times New Roman" w:eastAsia="宋体" w:cs="Arial"/>
                      <w:szCs w:val="21"/>
                      <w:vertAlign w:val="superscript"/>
                    </w:rPr>
                    <w:t>3</w:t>
                  </w:r>
                  <w:r>
                    <w:rPr>
                      <w:rFonts w:ascii="Times New Roman" w:hAnsi="Times New Roman" w:eastAsia="宋体" w:cs="Arial"/>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90" w:hRule="atLeast"/>
              </w:trPr>
              <w:tc>
                <w:tcPr>
                  <w:tcW w:w="3976" w:type="dxa"/>
                  <w:vAlign w:val="center"/>
                </w:tcPr>
                <w:p>
                  <w:pPr>
                    <w:snapToGrid w:val="0"/>
                    <w:jc w:val="center"/>
                    <w:rPr>
                      <w:rFonts w:ascii="Times New Roman" w:hAnsi="Times New Roman" w:eastAsia="宋体" w:cs="Arial"/>
                      <w:szCs w:val="21"/>
                    </w:rPr>
                  </w:pPr>
                  <w:r>
                    <w:rPr>
                      <w:rFonts w:ascii="Times New Roman" w:hAnsi="Times New Roman" w:eastAsia="宋体" w:cs="Arial"/>
                      <w:szCs w:val="21"/>
                    </w:rPr>
                    <w:t>颗粒物</w:t>
                  </w:r>
                </w:p>
              </w:tc>
              <w:tc>
                <w:tcPr>
                  <w:tcW w:w="4103" w:type="dxa"/>
                  <w:vAlign w:val="center"/>
                </w:tcPr>
                <w:p>
                  <w:pPr>
                    <w:snapToGrid w:val="0"/>
                    <w:jc w:val="center"/>
                    <w:rPr>
                      <w:rFonts w:ascii="Times New Roman" w:hAnsi="Times New Roman" w:eastAsia="宋体" w:cs="Arial"/>
                      <w:szCs w:val="21"/>
                    </w:rPr>
                  </w:pPr>
                  <w:r>
                    <w:rPr>
                      <w:rFonts w:ascii="Times New Roman" w:hAnsi="Times New Roman" w:eastAsia="宋体" w:cs="Arial"/>
                      <w:szCs w:val="21"/>
                    </w:rPr>
                    <w:t>1.0</w:t>
                  </w:r>
                </w:p>
              </w:tc>
            </w:tr>
          </w:tbl>
          <w:p>
            <w:pPr>
              <w:spacing w:line="520" w:lineRule="exact"/>
              <w:ind w:firstLine="590" w:firstLineChars="245"/>
              <w:rPr>
                <w:rFonts w:ascii="Times New Roman" w:hAnsi="Times New Roman" w:eastAsia="宋体"/>
                <w:b/>
                <w:color w:val="000000"/>
                <w:sz w:val="24"/>
              </w:rPr>
            </w:pPr>
            <w:r>
              <w:rPr>
                <w:rFonts w:ascii="Times New Roman" w:hAnsi="Times New Roman" w:eastAsia="宋体"/>
                <w:b/>
                <w:color w:val="000000"/>
                <w:sz w:val="24"/>
              </w:rPr>
              <w:t>3、噪声</w:t>
            </w:r>
          </w:p>
          <w:p>
            <w:pPr>
              <w:spacing w:line="520" w:lineRule="exact"/>
              <w:ind w:firstLine="480" w:firstLineChars="200"/>
              <w:rPr>
                <w:rFonts w:ascii="Times New Roman" w:hAnsi="Times New Roman" w:eastAsia="宋体"/>
                <w:sz w:val="24"/>
              </w:rPr>
            </w:pPr>
            <w:r>
              <w:rPr>
                <w:rFonts w:ascii="Times New Roman" w:hAnsi="Times New Roman" w:eastAsia="宋体"/>
                <w:sz w:val="24"/>
              </w:rPr>
              <w:t>运营期噪声执行《工业企业厂界环境噪声排放标准》（GB12348－2008）表1中</w:t>
            </w:r>
            <w:r>
              <w:rPr>
                <w:rFonts w:hint="eastAsia"/>
                <w:sz w:val="24"/>
                <w:lang w:val="en-US" w:eastAsia="zh-CN"/>
              </w:rPr>
              <w:t>2类</w:t>
            </w:r>
            <w:r>
              <w:rPr>
                <w:rFonts w:ascii="Times New Roman" w:hAnsi="Times New Roman" w:eastAsia="宋体"/>
                <w:sz w:val="24"/>
              </w:rPr>
              <w:t>标准，具体标准限值见</w:t>
            </w:r>
            <w:r>
              <w:rPr>
                <w:rFonts w:hint="eastAsia" w:ascii="Times New Roman" w:hAnsi="Times New Roman" w:eastAsia="宋体"/>
                <w:sz w:val="24"/>
              </w:rPr>
              <w:t>下表：</w:t>
            </w:r>
          </w:p>
          <w:p>
            <w:pPr>
              <w:pStyle w:val="7"/>
              <w:spacing w:beforeLines="50"/>
              <w:jc w:val="center"/>
              <w:rPr>
                <w:rFonts w:hint="eastAsia" w:ascii="Times New Roman" w:hAnsi="宋体" w:cs="Times New Roman"/>
                <w:b/>
                <w:bCs w:val="0"/>
                <w:sz w:val="24"/>
                <w:szCs w:val="24"/>
              </w:rPr>
            </w:pPr>
            <w:r>
              <w:rPr>
                <w:rFonts w:hint="eastAsia" w:ascii="Times New Roman" w:hAnsi="宋体" w:cs="Times New Roman"/>
                <w:b/>
                <w:bCs w:val="0"/>
                <w:sz w:val="24"/>
                <w:szCs w:val="24"/>
              </w:rPr>
              <w:t>表</w:t>
            </w:r>
            <w:r>
              <w:rPr>
                <w:rFonts w:hint="eastAsia" w:ascii="Times New Roman" w:hAnsi="宋体" w:cs="Times New Roman"/>
                <w:b/>
                <w:bCs w:val="0"/>
                <w:sz w:val="24"/>
                <w:szCs w:val="24"/>
                <w:lang w:val="en-US" w:eastAsia="zh-CN"/>
              </w:rPr>
              <w:t>1</w:t>
            </w:r>
            <w:r>
              <w:rPr>
                <w:rFonts w:hint="eastAsia" w:hAnsi="宋体" w:cs="Times New Roman"/>
                <w:b/>
                <w:bCs w:val="0"/>
                <w:sz w:val="24"/>
                <w:szCs w:val="24"/>
                <w:lang w:val="en-US" w:eastAsia="zh-CN"/>
              </w:rPr>
              <w:t>8</w:t>
            </w:r>
            <w:r>
              <w:rPr>
                <w:rFonts w:hint="eastAsia" w:ascii="Times New Roman" w:hAnsi="宋体" w:cs="Times New Roman"/>
                <w:b/>
                <w:bCs w:val="0"/>
                <w:sz w:val="24"/>
                <w:szCs w:val="24"/>
              </w:rPr>
              <w:t xml:space="preserve">  工业企业厂界环境噪声排放标准        单位：dB（A）</w:t>
            </w:r>
          </w:p>
          <w:tbl>
            <w:tblPr>
              <w:tblStyle w:val="23"/>
              <w:tblW w:w="8077"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692"/>
              <w:gridCol w:w="2692"/>
              <w:gridCol w:w="269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2692" w:type="dxa"/>
                  <w:vAlign w:val="center"/>
                </w:tcPr>
                <w:p>
                  <w:pPr>
                    <w:spacing w:line="240" w:lineRule="exact"/>
                    <w:jc w:val="center"/>
                    <w:rPr>
                      <w:rFonts w:ascii="Times New Roman" w:hAnsi="Times New Roman" w:eastAsia="宋体"/>
                      <w:szCs w:val="21"/>
                    </w:rPr>
                  </w:pPr>
                  <w:r>
                    <w:rPr>
                      <w:rFonts w:ascii="Times New Roman" w:hAnsi="Times New Roman" w:eastAsia="宋体"/>
                      <w:szCs w:val="21"/>
                    </w:rPr>
                    <w:t>类别</w:t>
                  </w:r>
                </w:p>
              </w:tc>
              <w:tc>
                <w:tcPr>
                  <w:tcW w:w="2692" w:type="dxa"/>
                  <w:vAlign w:val="center"/>
                </w:tcPr>
                <w:p>
                  <w:pPr>
                    <w:spacing w:line="240" w:lineRule="exact"/>
                    <w:jc w:val="center"/>
                    <w:rPr>
                      <w:rFonts w:ascii="Times New Roman" w:hAnsi="Times New Roman" w:eastAsia="宋体"/>
                      <w:szCs w:val="21"/>
                    </w:rPr>
                  </w:pPr>
                  <w:r>
                    <w:rPr>
                      <w:rFonts w:ascii="Times New Roman" w:hAnsi="Times New Roman" w:eastAsia="宋体"/>
                      <w:szCs w:val="21"/>
                    </w:rPr>
                    <w:t>昼间</w:t>
                  </w:r>
                </w:p>
              </w:tc>
              <w:tc>
                <w:tcPr>
                  <w:tcW w:w="2693" w:type="dxa"/>
                  <w:vAlign w:val="center"/>
                </w:tcPr>
                <w:p>
                  <w:pPr>
                    <w:spacing w:line="240" w:lineRule="exact"/>
                    <w:jc w:val="center"/>
                    <w:rPr>
                      <w:rFonts w:ascii="Times New Roman" w:hAnsi="Times New Roman" w:eastAsia="宋体"/>
                      <w:szCs w:val="21"/>
                    </w:rPr>
                  </w:pPr>
                  <w:r>
                    <w:rPr>
                      <w:rFonts w:ascii="Times New Roman" w:hAnsi="Times New Roman" w:eastAsia="宋体"/>
                      <w:szCs w:val="21"/>
                    </w:rPr>
                    <w:t>夜间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2692" w:type="dxa"/>
                  <w:vAlign w:val="center"/>
                </w:tcPr>
                <w:p>
                  <w:pPr>
                    <w:spacing w:line="240" w:lineRule="exact"/>
                    <w:jc w:val="center"/>
                    <w:rPr>
                      <w:rFonts w:hint="default"/>
                      <w:szCs w:val="21"/>
                      <w:lang w:val="en-US" w:eastAsia="zh-CN"/>
                    </w:rPr>
                  </w:pPr>
                  <w:r>
                    <w:rPr>
                      <w:rFonts w:hint="eastAsia"/>
                      <w:szCs w:val="21"/>
                      <w:lang w:val="en-US" w:eastAsia="zh-CN"/>
                    </w:rPr>
                    <w:t>2类</w:t>
                  </w:r>
                </w:p>
              </w:tc>
              <w:tc>
                <w:tcPr>
                  <w:tcW w:w="2692" w:type="dxa"/>
                  <w:vAlign w:val="center"/>
                </w:tcPr>
                <w:p>
                  <w:pPr>
                    <w:pStyle w:val="50"/>
                    <w:ind w:left="269" w:hanging="269"/>
                    <w:rPr>
                      <w:rFonts w:hint="default" w:ascii="Times New Roman" w:hAnsi="Times New Roman"/>
                      <w:sz w:val="21"/>
                      <w:szCs w:val="21"/>
                      <w:lang w:val="en-US" w:eastAsia="zh-CN"/>
                    </w:rPr>
                  </w:pPr>
                  <w:r>
                    <w:rPr>
                      <w:rFonts w:hint="eastAsia" w:ascii="Times New Roman" w:hAnsi="Times New Roman"/>
                      <w:sz w:val="21"/>
                      <w:szCs w:val="21"/>
                      <w:lang w:val="en-US" w:eastAsia="zh-CN"/>
                    </w:rPr>
                    <w:t>60</w:t>
                  </w:r>
                </w:p>
              </w:tc>
              <w:tc>
                <w:tcPr>
                  <w:tcW w:w="2693" w:type="dxa"/>
                  <w:vAlign w:val="center"/>
                </w:tcPr>
                <w:p>
                  <w:pPr>
                    <w:pStyle w:val="50"/>
                    <w:ind w:left="269" w:hanging="269"/>
                    <w:rPr>
                      <w:rFonts w:hint="default" w:ascii="Times New Roman" w:hAnsi="Times New Roman"/>
                      <w:sz w:val="21"/>
                      <w:szCs w:val="21"/>
                      <w:lang w:val="en-US" w:eastAsia="zh-CN"/>
                    </w:rPr>
                  </w:pPr>
                  <w:r>
                    <w:rPr>
                      <w:rFonts w:hint="eastAsia" w:ascii="Times New Roman" w:hAnsi="Times New Roman"/>
                      <w:sz w:val="21"/>
                      <w:szCs w:val="21"/>
                      <w:lang w:val="en-US" w:eastAsia="zh-CN"/>
                    </w:rPr>
                    <w:t>50</w:t>
                  </w:r>
                </w:p>
              </w:tc>
            </w:tr>
          </w:tbl>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rPr>
                <w:rFonts w:ascii="Times New Roman" w:hAnsi="Times New Roman" w:eastAsia="宋体"/>
                <w:b/>
                <w:sz w:val="24"/>
              </w:rPr>
            </w:pPr>
            <w:r>
              <w:rPr>
                <w:rFonts w:hint="eastAsia" w:ascii="Times New Roman" w:hAnsi="Times New Roman" w:eastAsia="宋体"/>
                <w:b/>
                <w:sz w:val="24"/>
              </w:rPr>
              <w:t>4</w:t>
            </w:r>
            <w:r>
              <w:rPr>
                <w:rFonts w:ascii="Times New Roman" w:hAnsi="Times New Roman" w:eastAsia="宋体"/>
                <w:b/>
                <w:sz w:val="24"/>
              </w:rPr>
              <w:t>、</w:t>
            </w:r>
            <w:r>
              <w:rPr>
                <w:rFonts w:hint="eastAsia" w:ascii="Times New Roman" w:hAnsi="Times New Roman" w:eastAsia="宋体"/>
                <w:b/>
                <w:sz w:val="24"/>
              </w:rPr>
              <w:t>固废</w:t>
            </w:r>
          </w:p>
          <w:p>
            <w:pPr>
              <w:keepNext w:val="0"/>
              <w:keepLines w:val="0"/>
              <w:pageBreakBefore w:val="0"/>
              <w:widowControl w:val="0"/>
              <w:kinsoku/>
              <w:wordWrap/>
              <w:overflowPunct/>
              <w:topLinePunct w:val="0"/>
              <w:autoSpaceDE/>
              <w:autoSpaceDN/>
              <w:bidi w:val="0"/>
              <w:adjustRightInd w:val="0"/>
              <w:snapToGrid w:val="0"/>
              <w:spacing w:line="520" w:lineRule="exact"/>
              <w:ind w:firstLine="480"/>
              <w:textAlignment w:val="auto"/>
              <w:rPr>
                <w:rFonts w:ascii="Times New Roman" w:hAnsi="Times New Roman" w:eastAsia="宋体"/>
                <w:sz w:val="24"/>
              </w:rPr>
            </w:pPr>
            <w:r>
              <w:rPr>
                <w:rFonts w:ascii="Times New Roman" w:hAnsi="Times New Roman" w:eastAsia="宋体"/>
                <w:sz w:val="24"/>
              </w:rPr>
              <w:t>一般工业固体废物的贮存和处置方法执行《一般工业固体废物贮存、处置场污染物控制标准》（GB18599-2001）</w:t>
            </w:r>
            <w:r>
              <w:rPr>
                <w:rFonts w:hint="eastAsia" w:ascii="Times New Roman" w:hAnsi="Times New Roman" w:eastAsia="宋体"/>
                <w:sz w:val="24"/>
              </w:rPr>
              <w:t>及修改单标准</w:t>
            </w:r>
            <w:r>
              <w:rPr>
                <w:rFonts w:ascii="Times New Roman" w:hAnsi="Times New Roman" w:eastAsia="宋体"/>
                <w:sz w:val="24"/>
              </w:rPr>
              <w:t>。</w:t>
            </w:r>
          </w:p>
          <w:p>
            <w:pPr>
              <w:keepNext w:val="0"/>
              <w:keepLines w:val="0"/>
              <w:pageBreakBefore w:val="0"/>
              <w:widowControl w:val="0"/>
              <w:kinsoku/>
              <w:wordWrap/>
              <w:overflowPunct/>
              <w:topLinePunct w:val="0"/>
              <w:autoSpaceDE/>
              <w:autoSpaceDN/>
              <w:bidi w:val="0"/>
              <w:adjustRightInd w:val="0"/>
              <w:snapToGrid w:val="0"/>
              <w:spacing w:line="520" w:lineRule="exact"/>
              <w:ind w:firstLine="480"/>
              <w:textAlignment w:val="auto"/>
              <w:rPr>
                <w:rFonts w:ascii="Times New Roman" w:hAnsi="Times New Roman" w:eastAsia="宋体"/>
                <w:sz w:val="24"/>
              </w:rPr>
            </w:pPr>
            <w:r>
              <w:rPr>
                <w:rFonts w:hint="eastAsia" w:ascii="Times New Roman" w:hAnsi="Times New Roman" w:eastAsia="宋体"/>
                <w:sz w:val="24"/>
              </w:rPr>
              <w:t>危险废物的贮存和处置方法执行《危险废物贮存污染控制标准》（GB18597-2001）及修改单标准</w:t>
            </w:r>
            <w:r>
              <w:rPr>
                <w:rFonts w:ascii="Times New Roman" w:hAnsi="Times New Roman" w:eastAsia="宋体"/>
                <w:sz w:val="24"/>
              </w:rPr>
              <w:t>。</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3225" w:hRule="atLeast"/>
        </w:trPr>
        <w:tc>
          <w:tcPr>
            <w:tcW w:w="1053" w:type="dxa"/>
            <w:tcBorders>
              <w:top w:val="single" w:color="auto" w:sz="6" w:space="0"/>
              <w:left w:val="single" w:color="auto" w:sz="12" w:space="0"/>
              <w:bottom w:val="single" w:color="auto" w:sz="12" w:space="0"/>
              <w:right w:val="single" w:color="auto" w:sz="6" w:space="0"/>
            </w:tcBorders>
            <w:vAlign w:val="center"/>
          </w:tcPr>
          <w:p>
            <w:pPr>
              <w:jc w:val="center"/>
              <w:rPr>
                <w:rFonts w:ascii="Times New Roman" w:hAnsi="Times New Roman" w:eastAsia="宋体"/>
                <w:b/>
                <w:sz w:val="28"/>
              </w:rPr>
            </w:pPr>
            <w:r>
              <w:rPr>
                <w:rFonts w:ascii="Times New Roman" w:hAnsi="Times New Roman" w:eastAsia="宋体"/>
                <w:b/>
                <w:sz w:val="28"/>
              </w:rPr>
              <w:t>总</w:t>
            </w:r>
          </w:p>
          <w:p>
            <w:pPr>
              <w:jc w:val="center"/>
              <w:rPr>
                <w:rFonts w:ascii="Times New Roman" w:hAnsi="Times New Roman" w:eastAsia="宋体"/>
                <w:b/>
                <w:sz w:val="28"/>
              </w:rPr>
            </w:pPr>
            <w:r>
              <w:rPr>
                <w:rFonts w:ascii="Times New Roman" w:hAnsi="Times New Roman" w:eastAsia="宋体"/>
                <w:b/>
                <w:sz w:val="28"/>
              </w:rPr>
              <w:t>量</w:t>
            </w:r>
          </w:p>
          <w:p>
            <w:pPr>
              <w:jc w:val="center"/>
              <w:rPr>
                <w:rFonts w:ascii="Times New Roman" w:hAnsi="Times New Roman" w:eastAsia="宋体"/>
                <w:b/>
                <w:sz w:val="28"/>
              </w:rPr>
            </w:pPr>
            <w:r>
              <w:rPr>
                <w:rFonts w:ascii="Times New Roman" w:hAnsi="Times New Roman" w:eastAsia="宋体"/>
                <w:b/>
                <w:sz w:val="28"/>
              </w:rPr>
              <w:t>控</w:t>
            </w:r>
          </w:p>
          <w:p>
            <w:pPr>
              <w:jc w:val="center"/>
              <w:rPr>
                <w:rFonts w:ascii="Times New Roman" w:hAnsi="Times New Roman" w:eastAsia="宋体"/>
                <w:b/>
                <w:sz w:val="28"/>
              </w:rPr>
            </w:pPr>
            <w:r>
              <w:rPr>
                <w:rFonts w:ascii="Times New Roman" w:hAnsi="Times New Roman" w:eastAsia="宋体"/>
                <w:b/>
                <w:sz w:val="28"/>
              </w:rPr>
              <w:t>制</w:t>
            </w:r>
          </w:p>
          <w:p>
            <w:pPr>
              <w:jc w:val="center"/>
              <w:rPr>
                <w:rFonts w:ascii="Times New Roman" w:hAnsi="Times New Roman" w:eastAsia="宋体"/>
                <w:b/>
                <w:sz w:val="28"/>
              </w:rPr>
            </w:pPr>
            <w:r>
              <w:rPr>
                <w:rFonts w:ascii="Times New Roman" w:hAnsi="Times New Roman" w:eastAsia="宋体"/>
                <w:b/>
                <w:sz w:val="28"/>
              </w:rPr>
              <w:t>指</w:t>
            </w:r>
          </w:p>
          <w:p>
            <w:pPr>
              <w:jc w:val="center"/>
              <w:rPr>
                <w:rFonts w:ascii="Times New Roman" w:hAnsi="Times New Roman" w:eastAsia="宋体"/>
                <w:b/>
                <w:sz w:val="28"/>
              </w:rPr>
            </w:pPr>
            <w:r>
              <w:rPr>
                <w:rFonts w:ascii="Times New Roman" w:hAnsi="Times New Roman" w:eastAsia="宋体"/>
                <w:b/>
                <w:sz w:val="28"/>
              </w:rPr>
              <w:t>标</w:t>
            </w:r>
          </w:p>
        </w:tc>
        <w:tc>
          <w:tcPr>
            <w:tcW w:w="8233" w:type="dxa"/>
            <w:tcBorders>
              <w:top w:val="single" w:color="auto" w:sz="6" w:space="0"/>
              <w:left w:val="single" w:color="auto" w:sz="6" w:space="0"/>
              <w:bottom w:val="single" w:color="auto" w:sz="12" w:space="0"/>
              <w:right w:val="single" w:color="auto" w:sz="12" w:space="0"/>
            </w:tcBorders>
          </w:tcPr>
          <w:p>
            <w:pPr>
              <w:adjustRightInd w:val="0"/>
              <w:snapToGrid w:val="0"/>
              <w:spacing w:line="500" w:lineRule="exact"/>
              <w:ind w:firstLine="480" w:firstLineChars="200"/>
              <w:rPr>
                <w:rFonts w:hint="eastAsia"/>
                <w:sz w:val="24"/>
                <w:szCs w:val="24"/>
              </w:rPr>
            </w:pPr>
            <w:r>
              <w:rPr>
                <w:rFonts w:hint="eastAsia"/>
                <w:sz w:val="24"/>
                <w:szCs w:val="24"/>
              </w:rPr>
              <w:t>国家“十三五”期间对二氧化硫、氮氧化物、氨氮、化学需氧量实行排放总量控制。</w:t>
            </w:r>
          </w:p>
          <w:p>
            <w:pPr>
              <w:adjustRightInd w:val="0"/>
              <w:snapToGrid w:val="0"/>
              <w:spacing w:line="500" w:lineRule="exact"/>
              <w:ind w:firstLine="480" w:firstLineChars="200"/>
              <w:rPr>
                <w:rFonts w:hint="eastAsia" w:ascii="Times New Roman" w:hAnsi="Times New Roman" w:cs="Times New Roman"/>
                <w:sz w:val="24"/>
                <w:szCs w:val="24"/>
              </w:rPr>
            </w:pPr>
            <w:r>
              <w:rPr>
                <w:rFonts w:hint="eastAsia" w:ascii="Times New Roman" w:hAnsi="Times New Roman" w:cs="Times New Roman"/>
                <w:sz w:val="24"/>
                <w:szCs w:val="24"/>
                <w:lang w:eastAsia="zh-CN"/>
              </w:rPr>
              <w:t>项目</w:t>
            </w:r>
            <w:r>
              <w:rPr>
                <w:rFonts w:hint="default" w:ascii="Times New Roman" w:hAnsi="Times New Roman" w:cs="Times New Roman"/>
                <w:sz w:val="24"/>
                <w:szCs w:val="24"/>
              </w:rPr>
              <w:t>职工生活污水产生量为</w:t>
            </w:r>
            <w:r>
              <w:rPr>
                <w:rFonts w:hint="eastAsia" w:ascii="Times New Roman" w:hAnsi="Times New Roman" w:cs="Times New Roman"/>
                <w:sz w:val="24"/>
                <w:szCs w:val="24"/>
                <w:lang w:val="en-US" w:eastAsia="zh-CN"/>
              </w:rPr>
              <w:t>0.64</w:t>
            </w:r>
            <w:r>
              <w:rPr>
                <w:rFonts w:hint="default" w:ascii="Times New Roman" w:hAnsi="Times New Roman" w:cs="Times New Roman"/>
                <w:sz w:val="24"/>
                <w:szCs w:val="24"/>
              </w:rPr>
              <w:t>m</w:t>
            </w:r>
            <w:r>
              <w:rPr>
                <w:rFonts w:hint="default" w:ascii="Times New Roman" w:hAnsi="Times New Roman" w:cs="Times New Roman"/>
                <w:sz w:val="24"/>
                <w:szCs w:val="24"/>
                <w:vertAlign w:val="superscript"/>
              </w:rPr>
              <w:t>3</w:t>
            </w:r>
            <w:r>
              <w:rPr>
                <w:rFonts w:hint="default" w:ascii="Times New Roman" w:hAnsi="Times New Roman" w:cs="Times New Roman"/>
                <w:sz w:val="24"/>
                <w:szCs w:val="24"/>
              </w:rPr>
              <w:t>/d，</w:t>
            </w:r>
            <w:r>
              <w:rPr>
                <w:rFonts w:hint="eastAsia" w:ascii="Times New Roman" w:hAnsi="Times New Roman" w:cs="Times New Roman"/>
                <w:sz w:val="24"/>
                <w:szCs w:val="24"/>
                <w:lang w:val="en-US" w:eastAsia="zh-CN"/>
              </w:rPr>
              <w:t>192</w:t>
            </w:r>
            <w:r>
              <w:rPr>
                <w:rFonts w:hint="default" w:ascii="Times New Roman" w:hAnsi="Times New Roman" w:cs="Times New Roman"/>
                <w:sz w:val="24"/>
                <w:szCs w:val="24"/>
              </w:rPr>
              <w:t>m</w:t>
            </w:r>
            <w:r>
              <w:rPr>
                <w:rFonts w:hint="default" w:ascii="Times New Roman" w:hAnsi="Times New Roman" w:cs="Times New Roman"/>
                <w:sz w:val="24"/>
                <w:szCs w:val="24"/>
                <w:vertAlign w:val="superscript"/>
              </w:rPr>
              <w:t>3</w:t>
            </w:r>
            <w:r>
              <w:rPr>
                <w:rFonts w:hint="default" w:ascii="Times New Roman" w:hAnsi="Times New Roman" w:cs="Times New Roman"/>
                <w:sz w:val="24"/>
                <w:szCs w:val="24"/>
              </w:rPr>
              <w:t>/a</w:t>
            </w:r>
            <w:r>
              <w:rPr>
                <w:rFonts w:hint="eastAsia" w:ascii="Times New Roman" w:hAnsi="Times New Roman" w:cs="Times New Roman"/>
                <w:sz w:val="24"/>
                <w:szCs w:val="24"/>
                <w:lang w:eastAsia="zh-CN"/>
              </w:rPr>
              <w:t>，</w:t>
            </w:r>
            <w:r>
              <w:rPr>
                <w:rFonts w:hint="eastAsia" w:cs="Times New Roman"/>
                <w:sz w:val="24"/>
                <w:szCs w:val="24"/>
                <w:lang w:eastAsia="zh-CN"/>
              </w:rPr>
              <w:t>依托</w:t>
            </w:r>
            <w:r>
              <w:rPr>
                <w:rFonts w:hint="eastAsia"/>
                <w:color w:val="000000" w:themeColor="text1"/>
                <w:sz w:val="24"/>
                <w:lang w:eastAsia="zh-CN"/>
              </w:rPr>
              <w:t>豫中地质勘查工程公司平顶山第四工程处</w:t>
            </w:r>
            <w:r>
              <w:rPr>
                <w:rFonts w:hint="eastAsia" w:ascii="Times New Roman" w:hAnsi="Times New Roman" w:cs="Times New Roman"/>
                <w:sz w:val="24"/>
                <w:szCs w:val="24"/>
                <w:lang w:val="en-US" w:eastAsia="zh-CN"/>
              </w:rPr>
              <w:t>院内化粪池处理后经市政管网最终进入城市污水处理厂做进一步处理</w:t>
            </w:r>
            <w:r>
              <w:rPr>
                <w:rFonts w:hint="eastAsia" w:ascii="Times New Roman" w:hAnsi="Times New Roman" w:cs="Times New Roman"/>
                <w:sz w:val="24"/>
                <w:szCs w:val="24"/>
              </w:rPr>
              <w:t>。出水执行《城镇污水处理厂污染物排放标准》（GB18918-2002）一级A标准（COD≤50mg/L、氨氮≤5mg/L），污染物排放浓度以该标准核算后，本项目各污染物的排放量为：COD</w:t>
            </w:r>
            <w:r>
              <w:rPr>
                <w:rFonts w:hint="eastAsia" w:cs="Times New Roman"/>
                <w:sz w:val="24"/>
                <w:szCs w:val="24"/>
                <w:lang w:val="en-US" w:eastAsia="zh-CN"/>
              </w:rPr>
              <w:t>0.0096</w:t>
            </w:r>
            <w:r>
              <w:rPr>
                <w:rFonts w:hint="eastAsia" w:ascii="Times New Roman" w:hAnsi="Times New Roman" w:cs="Times New Roman"/>
                <w:sz w:val="24"/>
                <w:szCs w:val="24"/>
              </w:rPr>
              <w:t>t/a，氨氮</w:t>
            </w:r>
            <w:r>
              <w:rPr>
                <w:rFonts w:hint="eastAsia" w:ascii="Times New Roman" w:hAnsi="Times New Roman" w:cs="Times New Roman"/>
                <w:sz w:val="24"/>
                <w:szCs w:val="24"/>
                <w:lang w:val="en-US" w:eastAsia="zh-CN"/>
              </w:rPr>
              <w:t>0.00</w:t>
            </w:r>
            <w:r>
              <w:rPr>
                <w:rFonts w:hint="eastAsia" w:cs="Times New Roman"/>
                <w:sz w:val="24"/>
                <w:szCs w:val="24"/>
                <w:lang w:val="en-US" w:eastAsia="zh-CN"/>
              </w:rPr>
              <w:t>096</w:t>
            </w:r>
            <w:r>
              <w:rPr>
                <w:rFonts w:hint="eastAsia" w:ascii="Times New Roman" w:hAnsi="Times New Roman" w:cs="Times New Roman"/>
                <w:sz w:val="24"/>
                <w:szCs w:val="24"/>
              </w:rPr>
              <w:t>t/a。</w:t>
            </w:r>
          </w:p>
          <w:p>
            <w:pPr>
              <w:adjustRightInd w:val="0"/>
              <w:snapToGrid w:val="0"/>
              <w:spacing w:line="500" w:lineRule="exact"/>
              <w:ind w:firstLine="480" w:firstLineChars="200"/>
              <w:rPr>
                <w:rFonts w:hint="eastAsia" w:ascii="Times New Roman" w:hAnsi="Times New Roman" w:cs="Times New Roman"/>
                <w:sz w:val="24"/>
                <w:szCs w:val="24"/>
              </w:rPr>
            </w:pPr>
            <w:r>
              <w:rPr>
                <w:rFonts w:hint="eastAsia" w:ascii="Times New Roman" w:hAnsi="Times New Roman" w:cs="Times New Roman"/>
                <w:sz w:val="24"/>
                <w:szCs w:val="24"/>
              </w:rPr>
              <w:t>本项目各污染物的排放量为：COD</w:t>
            </w:r>
            <w:r>
              <w:rPr>
                <w:rFonts w:hint="eastAsia" w:ascii="Times New Roman" w:hAnsi="Times New Roman" w:cs="Times New Roman"/>
                <w:sz w:val="24"/>
                <w:szCs w:val="24"/>
                <w:lang w:val="en-US" w:eastAsia="zh-CN"/>
              </w:rPr>
              <w:t>0.0096</w:t>
            </w:r>
            <w:r>
              <w:rPr>
                <w:rFonts w:hint="eastAsia" w:ascii="Times New Roman" w:hAnsi="Times New Roman" w:cs="Times New Roman"/>
                <w:sz w:val="24"/>
                <w:szCs w:val="24"/>
              </w:rPr>
              <w:t>t/a，氨氮</w:t>
            </w:r>
            <w:r>
              <w:rPr>
                <w:rFonts w:hint="eastAsia" w:ascii="Times New Roman" w:hAnsi="Times New Roman" w:cs="Times New Roman"/>
                <w:sz w:val="24"/>
                <w:szCs w:val="24"/>
                <w:lang w:val="en-US" w:eastAsia="zh-CN"/>
              </w:rPr>
              <w:t>0.00096</w:t>
            </w:r>
            <w:r>
              <w:rPr>
                <w:rFonts w:hint="eastAsia" w:ascii="Times New Roman" w:hAnsi="Times New Roman" w:cs="Times New Roman"/>
                <w:sz w:val="24"/>
                <w:szCs w:val="24"/>
              </w:rPr>
              <w:t>t/a。</w:t>
            </w:r>
          </w:p>
          <w:p>
            <w:pPr>
              <w:adjustRightInd w:val="0"/>
              <w:snapToGrid w:val="0"/>
              <w:spacing w:line="500" w:lineRule="exact"/>
              <w:ind w:firstLine="480" w:firstLineChars="200"/>
              <w:rPr>
                <w:rFonts w:ascii="Times New Roman" w:hAnsi="Times New Roman" w:eastAsia="宋体"/>
                <w:sz w:val="24"/>
              </w:rPr>
            </w:pPr>
            <w:r>
              <w:rPr>
                <w:rFonts w:hint="eastAsia" w:ascii="Times New Roman" w:hAnsi="Times New Roman" w:cs="Times New Roman"/>
                <w:sz w:val="24"/>
                <w:szCs w:val="24"/>
              </w:rPr>
              <w:t>本项目</w:t>
            </w:r>
            <w:r>
              <w:rPr>
                <w:rFonts w:hint="eastAsia" w:cs="Times New Roman"/>
                <w:sz w:val="24"/>
                <w:szCs w:val="24"/>
                <w:lang w:eastAsia="zh-CN"/>
              </w:rPr>
              <w:t>申请总量为</w:t>
            </w:r>
            <w:r>
              <w:rPr>
                <w:rFonts w:hint="eastAsia" w:ascii="Times New Roman" w:hAnsi="Times New Roman" w:cs="Times New Roman"/>
                <w:sz w:val="24"/>
                <w:szCs w:val="24"/>
              </w:rPr>
              <w:t>：COD</w:t>
            </w:r>
            <w:r>
              <w:rPr>
                <w:rFonts w:hint="eastAsia" w:ascii="Times New Roman" w:hAnsi="Times New Roman" w:cs="Times New Roman"/>
                <w:sz w:val="24"/>
                <w:szCs w:val="24"/>
                <w:lang w:val="en-US" w:eastAsia="zh-CN"/>
              </w:rPr>
              <w:t>0.0096</w:t>
            </w:r>
            <w:r>
              <w:rPr>
                <w:rFonts w:hint="eastAsia" w:ascii="Times New Roman" w:hAnsi="Times New Roman" w:cs="Times New Roman"/>
                <w:sz w:val="24"/>
                <w:szCs w:val="24"/>
              </w:rPr>
              <w:t>t/a，氨氮</w:t>
            </w:r>
            <w:r>
              <w:rPr>
                <w:rFonts w:hint="eastAsia" w:ascii="Times New Roman" w:hAnsi="Times New Roman" w:cs="Times New Roman"/>
                <w:sz w:val="24"/>
                <w:szCs w:val="24"/>
                <w:lang w:val="en-US" w:eastAsia="zh-CN"/>
              </w:rPr>
              <w:t>0.00096</w:t>
            </w:r>
            <w:r>
              <w:rPr>
                <w:rFonts w:hint="eastAsia" w:ascii="Times New Roman" w:hAnsi="Times New Roman" w:cs="Times New Roman"/>
                <w:sz w:val="24"/>
                <w:szCs w:val="24"/>
              </w:rPr>
              <w:t>t/a。</w:t>
            </w:r>
          </w:p>
        </w:tc>
      </w:tr>
    </w:tbl>
    <w:p>
      <w:pPr>
        <w:rPr>
          <w:rFonts w:eastAsia="黑体"/>
          <w:b/>
          <w:sz w:val="30"/>
        </w:rPr>
      </w:pPr>
      <w:r>
        <w:rPr>
          <w:rFonts w:eastAsia="黑体"/>
          <w:b/>
          <w:sz w:val="30"/>
        </w:rPr>
        <w:br w:type="page"/>
      </w:r>
    </w:p>
    <w:p>
      <w:pPr>
        <w:spacing w:line="360" w:lineRule="auto"/>
        <w:rPr>
          <w:rFonts w:eastAsia="黑体"/>
          <w:b/>
          <w:sz w:val="30"/>
        </w:rPr>
      </w:pPr>
      <w:r>
        <w:rPr>
          <w:rFonts w:eastAsia="黑体"/>
          <w:b/>
          <w:sz w:val="30"/>
        </w:rPr>
        <w:t>建设项目工程分析</w:t>
      </w:r>
    </w:p>
    <w:tbl>
      <w:tblPr>
        <w:tblStyle w:val="23"/>
        <w:tblW w:w="0" w:type="auto"/>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12" w:space="0"/>
        </w:tblBorders>
        <w:tblLayout w:type="autofit"/>
        <w:tblCellMar>
          <w:top w:w="0" w:type="dxa"/>
          <w:left w:w="108" w:type="dxa"/>
          <w:bottom w:w="0" w:type="dxa"/>
          <w:right w:w="108" w:type="dxa"/>
        </w:tblCellMar>
      </w:tblPr>
      <w:tblGrid>
        <w:gridCol w:w="9286"/>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12" w:space="0"/>
          </w:tblBorders>
          <w:tblCellMar>
            <w:top w:w="0" w:type="dxa"/>
            <w:left w:w="108" w:type="dxa"/>
            <w:bottom w:w="0" w:type="dxa"/>
            <w:right w:w="108" w:type="dxa"/>
          </w:tblCellMar>
        </w:tblPrEx>
        <w:trPr>
          <w:trHeight w:val="13060" w:hRule="atLeast"/>
        </w:trPr>
        <w:tc>
          <w:tcPr>
            <w:tcW w:w="9286" w:type="dxa"/>
          </w:tcPr>
          <w:p>
            <w:pPr>
              <w:adjustRightInd w:val="0"/>
              <w:snapToGrid w:val="0"/>
              <w:spacing w:beforeLines="50" w:line="360" w:lineRule="auto"/>
              <w:rPr>
                <w:rFonts w:ascii="Times New Roman" w:hAnsi="Times New Roman" w:eastAsia="宋体"/>
                <w:b/>
                <w:sz w:val="28"/>
              </w:rPr>
            </w:pPr>
            <w:r>
              <w:rPr>
                <w:rFonts w:ascii="Times New Roman" w:hAnsi="Times New Roman" w:eastAsia="宋体"/>
                <w:b/>
                <w:sz w:val="28"/>
              </w:rPr>
              <w:t>工艺流程简述(图示)：</w:t>
            </w:r>
          </w:p>
          <w:p>
            <w:pPr>
              <w:spacing w:line="360" w:lineRule="auto"/>
              <w:rPr>
                <w:rFonts w:ascii="Times New Roman" w:hAnsi="Times New Roman" w:eastAsia="宋体"/>
                <w:b/>
                <w:sz w:val="24"/>
              </w:rPr>
            </w:pPr>
            <w:r>
              <w:rPr>
                <w:rFonts w:hint="eastAsia" w:ascii="Times New Roman" w:hAnsi="Times New Roman" w:eastAsia="宋体"/>
                <w:b/>
                <w:sz w:val="24"/>
              </w:rPr>
              <w:t>施工期</w:t>
            </w:r>
          </w:p>
          <w:p>
            <w:pPr>
              <w:spacing w:line="360" w:lineRule="auto"/>
              <w:ind w:firstLine="480" w:firstLineChars="200"/>
              <w:rPr>
                <w:rFonts w:hint="eastAsia" w:ascii="Times New Roman" w:hAnsi="Times New Roman" w:eastAsia="宋体" w:cs="Times New Roman"/>
                <w:sz w:val="24"/>
                <w:lang w:eastAsia="zh-CN"/>
              </w:rPr>
            </w:pPr>
            <w:r>
              <w:rPr>
                <w:rFonts w:hint="eastAsia" w:ascii="Times New Roman" w:hAnsi="Times New Roman" w:eastAsia="宋体" w:cs="Times New Roman"/>
                <w:sz w:val="24"/>
              </w:rPr>
              <w:t>本项目为</w:t>
            </w:r>
            <w:r>
              <w:rPr>
                <w:rFonts w:hint="eastAsia" w:ascii="Times New Roman" w:hAnsi="Times New Roman" w:eastAsia="宋体" w:cs="Times New Roman"/>
                <w:sz w:val="24"/>
                <w:lang w:eastAsia="zh-CN"/>
              </w:rPr>
              <w:t>租赁豫中地质勘查工程公司平顶山第四工程处现有厂房进行建设，用地性质符合要求，仅进行设备安装，</w:t>
            </w:r>
            <w:r>
              <w:rPr>
                <w:rFonts w:hint="eastAsia" w:ascii="Times New Roman" w:hAnsi="Times New Roman" w:eastAsia="宋体" w:cs="Times New Roman"/>
                <w:sz w:val="24"/>
              </w:rPr>
              <w:t>不涉及施工期，故不对施工期环境影响进行分析。</w:t>
            </w:r>
          </w:p>
          <w:p>
            <w:pPr>
              <w:spacing w:line="360" w:lineRule="auto"/>
              <w:rPr>
                <w:rFonts w:ascii="Times New Roman" w:hAnsi="Times New Roman" w:eastAsia="宋体"/>
                <w:b/>
                <w:sz w:val="24"/>
              </w:rPr>
            </w:pPr>
            <w:r>
              <w:rPr>
                <w:rFonts w:hint="eastAsia" w:ascii="Times New Roman" w:hAnsi="Times New Roman" w:eastAsia="宋体"/>
                <w:b/>
                <w:sz w:val="24"/>
              </w:rPr>
              <w:t>营运期</w:t>
            </w:r>
          </w:p>
          <w:p>
            <w:pPr>
              <w:spacing w:line="360" w:lineRule="auto"/>
              <w:ind w:firstLine="482" w:firstLineChars="200"/>
              <w:rPr>
                <w:rFonts w:ascii="Times New Roman" w:hAnsi="Times New Roman" w:eastAsia="宋体"/>
                <w:b/>
                <w:sz w:val="24"/>
              </w:rPr>
            </w:pPr>
            <w:r>
              <w:rPr>
                <w:rFonts w:hint="eastAsia" w:ascii="Times New Roman" w:hAnsi="Times New Roman" w:eastAsia="宋体"/>
                <w:b/>
                <w:sz w:val="24"/>
              </w:rPr>
              <w:t>一、项目产品的工艺流程及工艺简介</w:t>
            </w:r>
          </w:p>
          <w:p>
            <w:pPr>
              <w:spacing w:line="360" w:lineRule="auto"/>
              <w:ind w:firstLine="480" w:firstLineChars="200"/>
              <w:rPr>
                <w:rFonts w:ascii="Times New Roman" w:hAnsi="Times New Roman" w:eastAsia="宋体"/>
                <w:sz w:val="24"/>
              </w:rPr>
            </w:pPr>
            <w:r>
              <w:rPr>
                <w:rFonts w:hint="eastAsia" w:ascii="Times New Roman" w:hAnsi="Times New Roman" w:eastAsia="宋体"/>
                <w:sz w:val="24"/>
              </w:rPr>
              <w:t>1、项目产品</w:t>
            </w:r>
            <w:r>
              <w:rPr>
                <w:rFonts w:hint="eastAsia" w:ascii="Times New Roman" w:hAnsi="Times New Roman" w:eastAsia="宋体"/>
                <w:sz w:val="24"/>
                <w:lang w:eastAsia="zh-CN"/>
              </w:rPr>
              <w:t>钻头</w:t>
            </w:r>
            <w:r>
              <w:rPr>
                <w:rFonts w:hint="eastAsia" w:ascii="Times New Roman" w:hAnsi="Times New Roman" w:eastAsia="宋体"/>
                <w:sz w:val="24"/>
              </w:rPr>
              <w:t>的工艺流程及产污环节图</w:t>
            </w:r>
          </w:p>
          <w:p>
            <w:pPr>
              <w:spacing w:line="360" w:lineRule="auto"/>
              <w:ind w:firstLine="480" w:firstLineChars="200"/>
              <w:rPr>
                <w:rFonts w:hint="default" w:ascii="Times New Roman" w:hAnsi="Times New Roman" w:eastAsia="宋体"/>
                <w:sz w:val="24"/>
                <w:lang w:val="en-US" w:eastAsia="zh-CN"/>
              </w:rPr>
            </w:pPr>
            <w:r>
              <w:rPr>
                <w:rFonts w:hint="eastAsia" w:ascii="Times New Roman" w:hAnsi="Times New Roman" w:eastAsia="宋体"/>
                <w:sz w:val="24"/>
                <w:lang w:eastAsia="zh-CN"/>
              </w:rPr>
              <w:t>项目工艺流程图见图</w:t>
            </w:r>
            <w:r>
              <w:rPr>
                <w:rFonts w:hint="eastAsia"/>
                <w:sz w:val="24"/>
                <w:lang w:val="en-US" w:eastAsia="zh-CN"/>
              </w:rPr>
              <w:t>1</w:t>
            </w:r>
            <w:r>
              <w:rPr>
                <w:rFonts w:hint="eastAsia" w:ascii="Times New Roman" w:hAnsi="Times New Roman" w:eastAsia="宋体"/>
                <w:sz w:val="24"/>
                <w:lang w:val="en-US" w:eastAsia="zh-CN"/>
              </w:rPr>
              <w:t>.</w:t>
            </w:r>
          </w:p>
          <w:p>
            <w:pPr>
              <w:spacing w:line="360" w:lineRule="auto"/>
              <w:ind w:firstLine="480" w:firstLineChars="200"/>
              <w:rPr>
                <w:rFonts w:hint="eastAsia" w:ascii="Times New Roman" w:hAnsi="Times New Roman" w:eastAsia="宋体"/>
                <w:sz w:val="24"/>
                <w:lang w:eastAsia="zh-CN"/>
              </w:rPr>
            </w:pPr>
            <w:r>
              <w:rPr>
                <w:rFonts w:hint="eastAsia" w:ascii="Times New Roman" w:hAnsi="Times New Roman" w:eastAsia="宋体"/>
                <w:sz w:val="24"/>
                <w:lang w:eastAsia="zh-CN"/>
              </w:rPr>
              <w:drawing>
                <wp:inline distT="0" distB="0" distL="114300" distR="114300">
                  <wp:extent cx="4932045" cy="2879725"/>
                  <wp:effectExtent l="0" t="0" r="1905" b="15875"/>
                  <wp:docPr id="4" name="图片 4" descr="绘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绘图1.jpg"/>
                          <pic:cNvPicPr>
                            <a:picLocks noChangeAspect="1"/>
                          </pic:cNvPicPr>
                        </pic:nvPicPr>
                        <pic:blipFill>
                          <a:blip r:embed="rId17"/>
                          <a:stretch>
                            <a:fillRect/>
                          </a:stretch>
                        </pic:blipFill>
                        <pic:spPr>
                          <a:xfrm>
                            <a:off x="0" y="0"/>
                            <a:ext cx="4932045" cy="2879725"/>
                          </a:xfrm>
                          <a:prstGeom prst="rect">
                            <a:avLst/>
                          </a:prstGeom>
                        </pic:spPr>
                      </pic:pic>
                    </a:graphicData>
                  </a:graphic>
                </wp:inline>
              </w:drawing>
            </w:r>
          </w:p>
          <w:p>
            <w:pPr>
              <w:spacing w:line="360" w:lineRule="auto"/>
              <w:jc w:val="center"/>
              <w:rPr>
                <w:rFonts w:ascii="Times New Roman" w:hAnsi="Times New Roman" w:eastAsia="宋体"/>
                <w:b/>
                <w:bCs/>
                <w:sz w:val="24"/>
              </w:rPr>
            </w:pPr>
            <w:r>
              <w:rPr>
                <w:rFonts w:hint="eastAsia"/>
                <w:b/>
                <w:bCs/>
                <w:sz w:val="24"/>
                <w:lang w:eastAsia="zh-CN"/>
              </w:rPr>
              <w:t>附图</w:t>
            </w:r>
            <w:r>
              <w:rPr>
                <w:rFonts w:hint="eastAsia"/>
                <w:b/>
                <w:bCs/>
                <w:sz w:val="24"/>
                <w:lang w:val="en-US" w:eastAsia="zh-CN"/>
              </w:rPr>
              <w:t>2  产品生产工艺及产污流程图</w:t>
            </w:r>
          </w:p>
          <w:p>
            <w:pPr>
              <w:adjustRightInd w:val="0"/>
              <w:snapToGrid w:val="0"/>
              <w:spacing w:line="360" w:lineRule="auto"/>
              <w:ind w:firstLine="480" w:firstLineChars="200"/>
              <w:rPr>
                <w:rFonts w:hint="default" w:ascii="Times New Roman" w:hAnsi="Times New Roman" w:eastAsia="宋体"/>
                <w:bCs/>
                <w:sz w:val="24"/>
                <w:lang w:val="en-US" w:eastAsia="zh-CN"/>
              </w:rPr>
            </w:pPr>
            <w:r>
              <w:rPr>
                <w:rFonts w:hint="eastAsia" w:ascii="Times New Roman" w:hAnsi="Times New Roman" w:eastAsia="宋体"/>
                <w:sz w:val="24"/>
                <w:lang w:val="en-US" w:eastAsia="zh-CN"/>
              </w:rPr>
              <w:t>1、</w:t>
            </w:r>
            <w:r>
              <w:rPr>
                <w:rFonts w:hint="eastAsia" w:ascii="Times New Roman" w:hAnsi="Times New Roman" w:eastAsia="宋体"/>
                <w:sz w:val="24"/>
              </w:rPr>
              <w:t>本</w:t>
            </w:r>
            <w:r>
              <w:rPr>
                <w:rFonts w:hint="eastAsia" w:ascii="Times New Roman" w:hAnsi="Times New Roman" w:eastAsia="宋体"/>
                <w:sz w:val="24"/>
                <w:lang w:eastAsia="zh-CN"/>
              </w:rPr>
              <w:t>项目主要钻头生产主要工艺流程为</w:t>
            </w:r>
            <w:r>
              <w:rPr>
                <w:rFonts w:hint="eastAsia" w:ascii="Times New Roman" w:hAnsi="Times New Roman" w:eastAsia="宋体"/>
                <w:sz w:val="24"/>
              </w:rPr>
              <w:t>：</w:t>
            </w:r>
            <w:r>
              <w:rPr>
                <w:rFonts w:hint="eastAsia" w:ascii="Times New Roman" w:hAnsi="Times New Roman" w:eastAsia="宋体"/>
                <w:bCs/>
                <w:sz w:val="24"/>
              </w:rPr>
              <w:t>（1）</w:t>
            </w:r>
            <w:r>
              <w:rPr>
                <w:rFonts w:hint="eastAsia" w:ascii="Times New Roman" w:hAnsi="Times New Roman" w:eastAsia="宋体"/>
                <w:bCs/>
                <w:sz w:val="24"/>
                <w:lang w:eastAsia="zh-CN"/>
              </w:rPr>
              <w:t>配料：外购经过锻压、热处理的钢材构件。</w:t>
            </w:r>
            <w:r>
              <w:rPr>
                <w:rFonts w:hint="eastAsia" w:ascii="Times New Roman" w:hAnsi="Times New Roman" w:eastAsia="宋体"/>
                <w:bCs/>
                <w:sz w:val="24"/>
              </w:rPr>
              <w:t>（2）</w:t>
            </w:r>
            <w:r>
              <w:rPr>
                <w:rFonts w:hint="eastAsia" w:ascii="Times New Roman" w:hAnsi="Times New Roman" w:eastAsia="宋体"/>
                <w:bCs/>
                <w:sz w:val="24"/>
                <w:lang w:eastAsia="zh-CN"/>
              </w:rPr>
              <w:t>机加工：经车床、铣床、钻床加工成所需尺寸钻头。此过程产生粉尘、噪声、金属废料。（</w:t>
            </w:r>
            <w:r>
              <w:rPr>
                <w:rFonts w:hint="eastAsia" w:ascii="Times New Roman" w:hAnsi="Times New Roman" w:eastAsia="宋体"/>
                <w:bCs/>
                <w:sz w:val="24"/>
                <w:lang w:val="en-US" w:eastAsia="zh-CN"/>
              </w:rPr>
              <w:t>3）入库：将加工好的钻头进行包装入库待售。</w:t>
            </w:r>
          </w:p>
          <w:p>
            <w:pPr>
              <w:adjustRightInd w:val="0"/>
              <w:snapToGrid w:val="0"/>
              <w:spacing w:line="360" w:lineRule="auto"/>
              <w:ind w:firstLine="480" w:firstLineChars="200"/>
              <w:rPr>
                <w:rFonts w:hint="default" w:ascii="Times New Roman" w:hAnsi="Times New Roman" w:eastAsia="宋体"/>
                <w:bCs/>
                <w:sz w:val="24"/>
                <w:lang w:val="en-US" w:eastAsia="zh-CN"/>
              </w:rPr>
            </w:pPr>
            <w:r>
              <w:rPr>
                <w:rFonts w:hint="eastAsia" w:ascii="Times New Roman" w:hAnsi="Times New Roman" w:eastAsia="宋体"/>
                <w:sz w:val="24"/>
                <w:lang w:val="en-US" w:eastAsia="zh-CN"/>
              </w:rPr>
              <w:t>2、</w:t>
            </w:r>
            <w:r>
              <w:rPr>
                <w:rFonts w:hint="eastAsia" w:ascii="Times New Roman" w:hAnsi="Times New Roman" w:eastAsia="宋体"/>
                <w:sz w:val="24"/>
              </w:rPr>
              <w:t>本</w:t>
            </w:r>
            <w:r>
              <w:rPr>
                <w:rFonts w:hint="eastAsia" w:ascii="Times New Roman" w:hAnsi="Times New Roman" w:eastAsia="宋体"/>
                <w:sz w:val="24"/>
                <w:lang w:eastAsia="zh-CN"/>
              </w:rPr>
              <w:t>项目主要钻具生产主要工艺流程为</w:t>
            </w:r>
            <w:r>
              <w:rPr>
                <w:rFonts w:hint="eastAsia" w:ascii="Times New Roman" w:hAnsi="Times New Roman" w:eastAsia="宋体"/>
                <w:sz w:val="24"/>
              </w:rPr>
              <w:t>：</w:t>
            </w:r>
            <w:r>
              <w:rPr>
                <w:rFonts w:hint="eastAsia" w:ascii="Times New Roman" w:hAnsi="Times New Roman" w:eastAsia="宋体"/>
                <w:bCs/>
                <w:sz w:val="24"/>
              </w:rPr>
              <w:t>（1）</w:t>
            </w:r>
            <w:r>
              <w:rPr>
                <w:rFonts w:hint="eastAsia" w:ascii="Times New Roman" w:hAnsi="Times New Roman" w:eastAsia="宋体"/>
                <w:bCs/>
                <w:sz w:val="24"/>
                <w:lang w:eastAsia="zh-CN"/>
              </w:rPr>
              <w:t>下料：外购经过锻压、热处理的钢材构件，并切割成钻具所需尺寸。此过程产生金属废料、噪声、切割粉尘。</w:t>
            </w:r>
            <w:r>
              <w:rPr>
                <w:rFonts w:hint="eastAsia" w:ascii="Times New Roman" w:hAnsi="Times New Roman" w:eastAsia="宋体"/>
                <w:bCs/>
                <w:sz w:val="24"/>
              </w:rPr>
              <w:t>（2）</w:t>
            </w:r>
            <w:r>
              <w:rPr>
                <w:rFonts w:hint="eastAsia" w:ascii="Times New Roman" w:hAnsi="Times New Roman" w:eastAsia="宋体"/>
                <w:bCs/>
                <w:sz w:val="24"/>
                <w:lang w:eastAsia="zh-CN"/>
              </w:rPr>
              <w:t>机加工：符合尺寸工件进行车床、铣床等加工。此过程产生粉尘、噪声、金属废料。（</w:t>
            </w:r>
            <w:r>
              <w:rPr>
                <w:rFonts w:hint="eastAsia" w:ascii="Times New Roman" w:hAnsi="Times New Roman" w:eastAsia="宋体"/>
                <w:bCs/>
                <w:sz w:val="24"/>
                <w:lang w:val="en-US" w:eastAsia="zh-CN"/>
              </w:rPr>
              <w:t>3）焊接：将加工好的工件进行焊接。此过程产生焊接烟尘</w:t>
            </w:r>
            <w:r>
              <w:rPr>
                <w:rFonts w:hint="eastAsia"/>
                <w:bCs/>
                <w:sz w:val="24"/>
                <w:lang w:val="en-US" w:eastAsia="zh-CN"/>
              </w:rPr>
              <w:t>、金属粉尘</w:t>
            </w:r>
            <w:r>
              <w:rPr>
                <w:rFonts w:hint="eastAsia" w:ascii="Times New Roman" w:hAnsi="Times New Roman" w:eastAsia="宋体"/>
                <w:bCs/>
                <w:sz w:val="24"/>
                <w:lang w:val="en-US" w:eastAsia="zh-CN"/>
              </w:rPr>
              <w:t>和噪声。（4）</w:t>
            </w:r>
            <w:r>
              <w:rPr>
                <w:rFonts w:hint="eastAsia"/>
                <w:bCs/>
                <w:sz w:val="24"/>
                <w:lang w:val="en-US" w:eastAsia="zh-CN"/>
              </w:rPr>
              <w:t>组装</w:t>
            </w:r>
            <w:r>
              <w:rPr>
                <w:rFonts w:hint="eastAsia" w:ascii="Times New Roman" w:hAnsi="Times New Roman" w:eastAsia="宋体"/>
                <w:bCs/>
                <w:sz w:val="24"/>
                <w:lang w:val="en-US" w:eastAsia="zh-CN"/>
              </w:rPr>
              <w:t>：</w:t>
            </w:r>
            <w:r>
              <w:rPr>
                <w:rFonts w:hint="eastAsia"/>
                <w:bCs/>
                <w:sz w:val="24"/>
                <w:lang w:val="en-US" w:eastAsia="zh-CN"/>
              </w:rPr>
              <w:t>将加工好的子母工件接头进行组装</w:t>
            </w:r>
            <w:r>
              <w:rPr>
                <w:rFonts w:hint="eastAsia" w:ascii="Times New Roman" w:hAnsi="Times New Roman" w:eastAsia="宋体"/>
                <w:bCs/>
                <w:sz w:val="24"/>
                <w:lang w:val="en-US" w:eastAsia="zh-CN"/>
              </w:rPr>
              <w:t>。</w:t>
            </w:r>
          </w:p>
          <w:p>
            <w:pPr>
              <w:spacing w:line="360" w:lineRule="auto"/>
              <w:ind w:firstLine="482"/>
              <w:rPr>
                <w:rFonts w:ascii="Times New Roman" w:hAnsi="Times New Roman" w:eastAsia="宋体"/>
                <w:b/>
                <w:sz w:val="24"/>
              </w:rPr>
            </w:pPr>
            <w:r>
              <w:rPr>
                <w:rFonts w:hint="eastAsia"/>
                <w:b/>
                <w:sz w:val="24"/>
                <w:lang w:eastAsia="zh-CN"/>
              </w:rPr>
              <w:t>二</w:t>
            </w:r>
            <w:r>
              <w:rPr>
                <w:rFonts w:hint="eastAsia" w:ascii="Times New Roman" w:hAnsi="Times New Roman" w:eastAsia="宋体"/>
                <w:b/>
                <w:sz w:val="24"/>
              </w:rPr>
              <w:t>、产污环节</w:t>
            </w:r>
          </w:p>
          <w:p>
            <w:pPr>
              <w:spacing w:line="360" w:lineRule="auto"/>
              <w:ind w:firstLine="480" w:firstLineChars="200"/>
              <w:rPr>
                <w:rFonts w:ascii="Times New Roman" w:hAnsi="Times New Roman" w:eastAsia="宋体" w:cs="Calibri"/>
                <w:bCs/>
                <w:sz w:val="24"/>
              </w:rPr>
            </w:pPr>
            <w:r>
              <w:rPr>
                <w:rFonts w:hint="eastAsia" w:ascii="Times New Roman" w:hAnsi="Times New Roman" w:eastAsia="宋体" w:cs="Calibri"/>
                <w:bCs/>
                <w:sz w:val="24"/>
              </w:rPr>
              <w:t>本项目产污环节如下：</w:t>
            </w:r>
          </w:p>
          <w:p>
            <w:pPr>
              <w:numPr>
                <w:ilvl w:val="0"/>
                <w:numId w:val="2"/>
              </w:numPr>
              <w:spacing w:line="360" w:lineRule="auto"/>
              <w:ind w:firstLine="480" w:firstLineChars="200"/>
              <w:rPr>
                <w:rFonts w:ascii="Times New Roman" w:hAnsi="Times New Roman" w:eastAsia="宋体" w:cs="Calibri"/>
                <w:bCs/>
                <w:sz w:val="24"/>
              </w:rPr>
            </w:pPr>
            <w:r>
              <w:rPr>
                <w:rFonts w:hint="eastAsia" w:ascii="Times New Roman" w:hAnsi="Times New Roman" w:eastAsia="宋体" w:cs="Calibri"/>
                <w:bCs/>
                <w:sz w:val="24"/>
              </w:rPr>
              <w:t>废气：本</w:t>
            </w:r>
            <w:r>
              <w:rPr>
                <w:rFonts w:hint="eastAsia" w:ascii="Times New Roman" w:hAnsi="Times New Roman" w:eastAsia="宋体" w:cs="Calibri"/>
                <w:bCs/>
                <w:sz w:val="24"/>
                <w:lang w:eastAsia="zh-CN"/>
              </w:rPr>
              <w:t>钻头、钻具机加工过程产生的粉尘、钻机下料产生的粉尘及焊接烟尘。</w:t>
            </w:r>
          </w:p>
          <w:p>
            <w:pPr>
              <w:numPr>
                <w:ilvl w:val="0"/>
                <w:numId w:val="2"/>
              </w:numPr>
              <w:spacing w:line="360" w:lineRule="auto"/>
              <w:ind w:firstLine="480" w:firstLineChars="200"/>
              <w:rPr>
                <w:rFonts w:ascii="Times New Roman" w:hAnsi="Times New Roman" w:eastAsia="宋体" w:cs="Calibri"/>
                <w:bCs/>
                <w:sz w:val="24"/>
              </w:rPr>
            </w:pPr>
            <w:r>
              <w:rPr>
                <w:rFonts w:hint="eastAsia" w:ascii="Times New Roman" w:hAnsi="Times New Roman" w:eastAsia="宋体" w:cs="Calibri"/>
                <w:bCs/>
                <w:sz w:val="24"/>
              </w:rPr>
              <w:t>废水：本项目</w:t>
            </w:r>
            <w:r>
              <w:rPr>
                <w:rFonts w:hint="eastAsia" w:ascii="Times New Roman" w:hAnsi="Times New Roman" w:eastAsia="宋体" w:cs="Calibri"/>
                <w:bCs/>
                <w:sz w:val="24"/>
                <w:lang w:eastAsia="zh-CN"/>
              </w:rPr>
              <w:t>生产过程不产生废水，主要为职工生活污水</w:t>
            </w:r>
            <w:r>
              <w:rPr>
                <w:rFonts w:hint="eastAsia" w:ascii="Times New Roman" w:hAnsi="Times New Roman" w:eastAsia="宋体" w:cs="Calibri"/>
                <w:bCs/>
                <w:sz w:val="24"/>
              </w:rPr>
              <w:t>。</w:t>
            </w:r>
          </w:p>
          <w:p>
            <w:pPr>
              <w:spacing w:line="360" w:lineRule="auto"/>
              <w:ind w:firstLine="480" w:firstLineChars="200"/>
              <w:rPr>
                <w:rFonts w:hint="eastAsia" w:ascii="Times New Roman" w:hAnsi="Times New Roman" w:eastAsia="宋体" w:cs="Calibri"/>
                <w:bCs/>
                <w:color w:val="000000"/>
                <w:sz w:val="24"/>
                <w:lang w:eastAsia="zh-CN"/>
              </w:rPr>
            </w:pPr>
            <w:r>
              <w:rPr>
                <w:rFonts w:hint="eastAsia" w:ascii="Times New Roman" w:hAnsi="Times New Roman" w:eastAsia="宋体" w:cs="Calibri"/>
                <w:bCs/>
                <w:color w:val="000000"/>
                <w:sz w:val="24"/>
              </w:rPr>
              <w:t>（</w:t>
            </w:r>
            <w:r>
              <w:rPr>
                <w:rFonts w:ascii="Times New Roman" w:hAnsi="Times New Roman" w:eastAsia="宋体" w:cs="Calibri"/>
                <w:bCs/>
                <w:color w:val="000000"/>
                <w:sz w:val="24"/>
              </w:rPr>
              <w:t>3</w:t>
            </w:r>
            <w:r>
              <w:rPr>
                <w:rFonts w:hint="eastAsia" w:ascii="Times New Roman" w:hAnsi="Times New Roman" w:eastAsia="宋体" w:cs="Calibri"/>
                <w:bCs/>
                <w:color w:val="000000"/>
                <w:sz w:val="24"/>
              </w:rPr>
              <w:t>）噪声：本项目噪声主要为</w:t>
            </w:r>
            <w:r>
              <w:rPr>
                <w:rFonts w:hint="eastAsia" w:ascii="Times New Roman" w:hAnsi="Times New Roman" w:eastAsia="宋体" w:cs="Calibri"/>
                <w:bCs/>
                <w:color w:val="000000"/>
                <w:sz w:val="24"/>
                <w:lang w:eastAsia="zh-CN"/>
              </w:rPr>
              <w:t>机加工、下料、焊接过程产生的设备运行噪声。</w:t>
            </w:r>
          </w:p>
          <w:p>
            <w:pPr>
              <w:spacing w:line="360" w:lineRule="auto"/>
              <w:ind w:firstLine="480" w:firstLineChars="200"/>
              <w:rPr>
                <w:rFonts w:ascii="Times New Roman" w:hAnsi="Times New Roman" w:eastAsia="宋体"/>
                <w:sz w:val="24"/>
              </w:rPr>
            </w:pPr>
            <w:r>
              <w:rPr>
                <w:rFonts w:hint="eastAsia" w:ascii="Times New Roman" w:hAnsi="Times New Roman" w:eastAsia="宋体" w:cs="Calibri"/>
                <w:bCs/>
                <w:color w:val="000000"/>
                <w:sz w:val="24"/>
              </w:rPr>
              <w:t>（</w:t>
            </w:r>
            <w:r>
              <w:rPr>
                <w:rFonts w:ascii="Times New Roman" w:hAnsi="Times New Roman" w:eastAsia="宋体" w:cs="Calibri"/>
                <w:bCs/>
                <w:color w:val="000000"/>
                <w:sz w:val="24"/>
              </w:rPr>
              <w:t>4</w:t>
            </w:r>
            <w:r>
              <w:rPr>
                <w:rFonts w:hint="eastAsia" w:ascii="Times New Roman" w:hAnsi="Times New Roman" w:eastAsia="宋体" w:cs="Calibri"/>
                <w:bCs/>
                <w:color w:val="000000"/>
                <w:sz w:val="24"/>
              </w:rPr>
              <w:t>）固废：</w:t>
            </w:r>
            <w:r>
              <w:rPr>
                <w:rFonts w:hint="eastAsia" w:ascii="Times New Roman" w:hAnsi="Times New Roman" w:eastAsia="宋体"/>
                <w:bCs/>
                <w:sz w:val="24"/>
              </w:rPr>
              <w:t>项目运行过程产生的固废主要为</w:t>
            </w:r>
            <w:r>
              <w:rPr>
                <w:rFonts w:hint="eastAsia" w:ascii="Times New Roman" w:hAnsi="Times New Roman" w:eastAsia="宋体"/>
                <w:bCs/>
                <w:sz w:val="24"/>
                <w:lang w:eastAsia="zh-CN"/>
              </w:rPr>
              <w:t>下料、机加工产生的金属废料</w:t>
            </w:r>
            <w:r>
              <w:rPr>
                <w:rFonts w:hint="eastAsia" w:ascii="Times New Roman" w:hAnsi="Times New Roman" w:eastAsia="宋体" w:cs="Calibri"/>
                <w:bCs/>
                <w:color w:val="000000"/>
                <w:sz w:val="24"/>
              </w:rPr>
              <w:t>以及加工设备产生的废机油和废乳化油。</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12" w:space="0"/>
          </w:tblBorders>
          <w:tblCellMar>
            <w:top w:w="0" w:type="dxa"/>
            <w:left w:w="108" w:type="dxa"/>
            <w:bottom w:w="0" w:type="dxa"/>
            <w:right w:w="108" w:type="dxa"/>
          </w:tblCellMar>
        </w:tblPrEx>
        <w:trPr>
          <w:trHeight w:val="13335" w:hRule="atLeast"/>
        </w:trPr>
        <w:tc>
          <w:tcPr>
            <w:tcW w:w="9286" w:type="dxa"/>
          </w:tcPr>
          <w:p>
            <w:pPr>
              <w:adjustRightInd w:val="0"/>
              <w:snapToGrid w:val="0"/>
              <w:spacing w:beforeLines="50" w:line="360" w:lineRule="auto"/>
              <w:rPr>
                <w:rFonts w:ascii="Times New Roman" w:hAnsi="Times New Roman" w:eastAsia="宋体"/>
                <w:b/>
                <w:sz w:val="28"/>
              </w:rPr>
            </w:pPr>
            <w:r>
              <w:rPr>
                <w:rFonts w:ascii="Times New Roman" w:hAnsi="Times New Roman" w:eastAsia="宋体"/>
                <w:b/>
                <w:sz w:val="28"/>
              </w:rPr>
              <w:t>主要污染工序：</w:t>
            </w:r>
          </w:p>
          <w:p>
            <w:pPr>
              <w:spacing w:beforeLines="50" w:line="360" w:lineRule="auto"/>
              <w:rPr>
                <w:rFonts w:ascii="Times New Roman" w:hAnsi="Times New Roman" w:eastAsia="宋体"/>
                <w:sz w:val="24"/>
              </w:rPr>
            </w:pPr>
            <w:r>
              <w:rPr>
                <w:rFonts w:ascii="Times New Roman" w:hAnsi="Times New Roman" w:eastAsia="宋体"/>
                <w:sz w:val="24"/>
              </w:rPr>
              <w:t>营运期</w:t>
            </w:r>
          </w:p>
          <w:p>
            <w:pPr>
              <w:spacing w:line="360" w:lineRule="auto"/>
              <w:ind w:firstLine="472" w:firstLineChars="196"/>
              <w:rPr>
                <w:rFonts w:ascii="Times New Roman" w:hAnsi="Times New Roman" w:eastAsia="宋体"/>
                <w:b/>
                <w:sz w:val="24"/>
              </w:rPr>
            </w:pPr>
            <w:r>
              <w:rPr>
                <w:rFonts w:hint="eastAsia" w:ascii="Times New Roman" w:hAnsi="Times New Roman" w:eastAsia="宋体"/>
                <w:b/>
                <w:sz w:val="24"/>
              </w:rPr>
              <w:t>1</w:t>
            </w:r>
            <w:r>
              <w:rPr>
                <w:rFonts w:ascii="Times New Roman" w:hAnsi="Times New Roman" w:eastAsia="宋体"/>
                <w:b/>
                <w:sz w:val="24"/>
              </w:rPr>
              <w:t>、大气污染因素分析</w:t>
            </w:r>
          </w:p>
          <w:p>
            <w:pPr>
              <w:spacing w:line="360" w:lineRule="auto"/>
              <w:ind w:firstLine="480" w:firstLineChars="200"/>
              <w:rPr>
                <w:rFonts w:hint="default" w:ascii="Times New Roman" w:hAnsi="Times New Roman" w:eastAsia="宋体" w:cs="Times New Roman"/>
                <w:kern w:val="0"/>
                <w:sz w:val="24"/>
              </w:rPr>
            </w:pPr>
            <w:r>
              <w:rPr>
                <w:rFonts w:hint="default" w:ascii="Times New Roman" w:hAnsi="Times New Roman" w:eastAsia="宋体" w:cs="Times New Roman"/>
                <w:kern w:val="0"/>
                <w:sz w:val="24"/>
              </w:rPr>
              <w:t>本项目运行过程</w:t>
            </w:r>
            <w:r>
              <w:rPr>
                <w:rFonts w:hint="default" w:ascii="Times New Roman" w:hAnsi="Times New Roman" w:eastAsia="宋体" w:cs="Times New Roman"/>
                <w:bCs/>
                <w:sz w:val="24"/>
              </w:rPr>
              <w:t>产生的废气主要为焊接设备在运行过程产生的焊接烟尘和</w:t>
            </w:r>
            <w:r>
              <w:rPr>
                <w:rFonts w:hint="default" w:ascii="Times New Roman" w:hAnsi="Times New Roman" w:eastAsia="宋体" w:cs="Times New Roman"/>
                <w:bCs/>
                <w:sz w:val="24"/>
                <w:lang w:eastAsia="zh-CN"/>
              </w:rPr>
              <w:t>下料、机加工产生的粉尘</w:t>
            </w:r>
            <w:r>
              <w:rPr>
                <w:rFonts w:hint="default" w:ascii="Times New Roman" w:hAnsi="Times New Roman" w:eastAsia="宋体" w:cs="Times New Roman"/>
                <w:bCs/>
                <w:sz w:val="24"/>
              </w:rPr>
              <w:t>。</w:t>
            </w:r>
          </w:p>
          <w:p>
            <w:pPr>
              <w:spacing w:line="360" w:lineRule="auto"/>
              <w:ind w:firstLine="470" w:firstLineChars="196"/>
              <w:rPr>
                <w:rFonts w:hint="default" w:ascii="Times New Roman" w:hAnsi="Times New Roman" w:eastAsia="宋体" w:cs="Times New Roman"/>
                <w:sz w:val="24"/>
              </w:rPr>
            </w:pPr>
            <w:r>
              <w:rPr>
                <w:rFonts w:hint="default" w:ascii="Times New Roman" w:hAnsi="Times New Roman" w:eastAsia="宋体" w:cs="Times New Roman"/>
                <w:sz w:val="24"/>
              </w:rPr>
              <w:t>（1）焊接烟尘</w:t>
            </w:r>
          </w:p>
          <w:p>
            <w:pPr>
              <w:snapToGrid w:val="0"/>
              <w:spacing w:line="360" w:lineRule="auto"/>
              <w:ind w:firstLine="480" w:firstLineChars="200"/>
              <w:rPr>
                <w:rFonts w:hint="default" w:ascii="Times New Roman" w:hAnsi="Times New Roman" w:eastAsia="宋体" w:cs="Times New Roman"/>
                <w:sz w:val="24"/>
                <w:lang w:val="en-US" w:eastAsia="zh-CN"/>
              </w:rPr>
            </w:pPr>
            <w:r>
              <w:rPr>
                <w:rFonts w:hint="default" w:ascii="Times New Roman" w:hAnsi="Times New Roman" w:eastAsia="宋体" w:cs="Times New Roman"/>
                <w:sz w:val="24"/>
              </w:rPr>
              <w:t>根据</w:t>
            </w:r>
            <w:r>
              <w:rPr>
                <w:rFonts w:hint="default" w:ascii="Times New Roman" w:hAnsi="Times New Roman" w:eastAsia="宋体" w:cs="Times New Roman"/>
                <w:sz w:val="24"/>
                <w:lang w:eastAsia="zh-CN"/>
              </w:rPr>
              <w:t>《焊接车间环境污染及控制技术发展》，焊接材料发尘量为</w:t>
            </w:r>
            <w:r>
              <w:rPr>
                <w:rFonts w:hint="default" w:ascii="Times New Roman" w:hAnsi="Times New Roman" w:eastAsia="宋体" w:cs="Times New Roman"/>
                <w:sz w:val="24"/>
                <w:lang w:val="en-US" w:eastAsia="zh-CN"/>
              </w:rPr>
              <w:t>5~8g/kg，本项目焊接烟尘发尘量取8g/kg</w:t>
            </w:r>
            <w:r>
              <w:rPr>
                <w:rFonts w:hint="default" w:ascii="Times New Roman" w:hAnsi="Times New Roman" w:eastAsia="宋体" w:cs="Times New Roman"/>
                <w:sz w:val="24"/>
              </w:rPr>
              <w:t>，</w:t>
            </w:r>
            <w:r>
              <w:rPr>
                <w:rFonts w:hint="default" w:ascii="Times New Roman" w:hAnsi="Times New Roman" w:eastAsia="宋体" w:cs="Times New Roman"/>
                <w:sz w:val="24"/>
                <w:lang w:eastAsia="zh-CN"/>
              </w:rPr>
              <w:t>年耗费焊材</w:t>
            </w:r>
            <w:r>
              <w:rPr>
                <w:rFonts w:hint="default" w:ascii="Times New Roman" w:hAnsi="Times New Roman" w:eastAsia="宋体" w:cs="Times New Roman"/>
                <w:sz w:val="24"/>
                <w:lang w:val="en-US" w:eastAsia="zh-CN"/>
              </w:rPr>
              <w:t>20t，焊接烟尘产生量为0.16t/a，通过1台移动式焊接烟尘气净化后无组织排放。</w:t>
            </w:r>
            <w:r>
              <w:rPr>
                <w:rFonts w:hint="default" w:ascii="Times New Roman" w:hAnsi="Times New Roman" w:cs="Times New Roman"/>
                <w:kern w:val="0"/>
                <w:sz w:val="24"/>
              </w:rPr>
              <w:t>收集效率</w:t>
            </w:r>
            <w:r>
              <w:rPr>
                <w:rFonts w:hint="default" w:ascii="Times New Roman" w:hAnsi="Times New Roman" w:cs="Times New Roman"/>
                <w:kern w:val="0"/>
                <w:sz w:val="24"/>
                <w:lang w:eastAsia="zh-CN"/>
              </w:rPr>
              <w:t>约</w:t>
            </w:r>
            <w:r>
              <w:rPr>
                <w:rFonts w:hint="default" w:ascii="Times New Roman" w:hAnsi="Times New Roman" w:cs="Times New Roman"/>
                <w:kern w:val="0"/>
                <w:sz w:val="24"/>
                <w:lang w:val="en-US" w:eastAsia="zh-CN"/>
              </w:rPr>
              <w:t>80</w:t>
            </w:r>
            <w:r>
              <w:rPr>
                <w:rFonts w:hint="default" w:ascii="Times New Roman" w:hAnsi="Times New Roman" w:cs="Times New Roman"/>
                <w:kern w:val="0"/>
                <w:sz w:val="24"/>
              </w:rPr>
              <w:t>%</w:t>
            </w:r>
            <w:r>
              <w:rPr>
                <w:rFonts w:hint="default" w:ascii="Times New Roman" w:hAnsi="Times New Roman" w:cs="Times New Roman"/>
                <w:kern w:val="0"/>
                <w:sz w:val="24"/>
                <w:lang w:eastAsia="zh-CN"/>
              </w:rPr>
              <w:t>，处理效率约为</w:t>
            </w:r>
            <w:r>
              <w:rPr>
                <w:rFonts w:hint="default" w:ascii="Times New Roman" w:hAnsi="Times New Roman" w:cs="Times New Roman"/>
                <w:kern w:val="0"/>
                <w:sz w:val="24"/>
                <w:lang w:val="en-US" w:eastAsia="zh-CN"/>
              </w:rPr>
              <w:t>99%</w:t>
            </w:r>
            <w:r>
              <w:rPr>
                <w:rFonts w:hint="default" w:ascii="Times New Roman" w:hAnsi="Times New Roman" w:eastAsia="宋体" w:cs="Times New Roman"/>
                <w:sz w:val="24"/>
                <w:lang w:val="en-US" w:eastAsia="zh-CN"/>
              </w:rPr>
              <w:t>，则焊接烟尘无组织排放量为0.03328t/a。</w:t>
            </w:r>
          </w:p>
          <w:p>
            <w:pPr>
              <w:spacing w:line="360" w:lineRule="auto"/>
              <w:ind w:firstLine="470" w:firstLineChars="196"/>
              <w:rPr>
                <w:rFonts w:hint="default" w:ascii="Times New Roman" w:hAnsi="Times New Roman" w:eastAsia="宋体" w:cs="Times New Roman"/>
                <w:sz w:val="24"/>
                <w:lang w:eastAsia="zh-CN"/>
              </w:rPr>
            </w:pPr>
            <w:r>
              <w:rPr>
                <w:rFonts w:hint="default" w:ascii="Times New Roman" w:hAnsi="Times New Roman" w:eastAsia="宋体" w:cs="Times New Roman"/>
                <w:sz w:val="24"/>
              </w:rPr>
              <w:t>（</w:t>
            </w:r>
            <w:r>
              <w:rPr>
                <w:rFonts w:hint="default" w:ascii="Times New Roman" w:hAnsi="Times New Roman" w:eastAsia="宋体" w:cs="Times New Roman"/>
                <w:sz w:val="24"/>
                <w:lang w:val="en-US" w:eastAsia="zh-CN"/>
              </w:rPr>
              <w:t>2</w:t>
            </w:r>
            <w:r>
              <w:rPr>
                <w:rFonts w:hint="default" w:ascii="Times New Roman" w:hAnsi="Times New Roman" w:eastAsia="宋体" w:cs="Times New Roman"/>
                <w:sz w:val="24"/>
              </w:rPr>
              <w:t>）</w:t>
            </w:r>
            <w:r>
              <w:rPr>
                <w:rFonts w:hint="default" w:ascii="Times New Roman" w:hAnsi="Times New Roman" w:eastAsia="宋体" w:cs="Times New Roman"/>
                <w:sz w:val="24"/>
                <w:lang w:eastAsia="zh-CN"/>
              </w:rPr>
              <w:t>下料、机加工粉尘</w:t>
            </w:r>
          </w:p>
          <w:p>
            <w:pPr>
              <w:pStyle w:val="31"/>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both"/>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类比同类工程，下料机机加工粉尘产生量约占钢材使用量的0.025%，本项目年使用钢材8000t/a，产生粉尘量约为2t/a，约95%的粉尘自然沉降至地面，作为固体废弃物收集，沉降粉尘为1.9t/a，5%的粉尘悬浮于空气中，约0.1t/a，通过车间通风以无组织形式排放。</w:t>
            </w:r>
          </w:p>
          <w:p>
            <w:pPr>
              <w:spacing w:line="360" w:lineRule="auto"/>
              <w:ind w:firstLine="482" w:firstLineChars="200"/>
              <w:rPr>
                <w:rFonts w:ascii="Times New Roman" w:hAnsi="Times New Roman" w:eastAsia="宋体"/>
                <w:b/>
                <w:sz w:val="24"/>
                <w:lang w:val="sq-AL"/>
              </w:rPr>
            </w:pPr>
            <w:r>
              <w:rPr>
                <w:rFonts w:ascii="Times New Roman" w:hAnsi="Times New Roman" w:eastAsia="宋体"/>
                <w:b/>
                <w:sz w:val="24"/>
                <w:lang w:val="sq-AL"/>
              </w:rPr>
              <w:t>2、水污染因素分析</w:t>
            </w:r>
          </w:p>
          <w:p>
            <w:pPr>
              <w:keepNext w:val="0"/>
              <w:keepLines w:val="0"/>
              <w:pageBreakBefore w:val="0"/>
              <w:widowControl w:val="0"/>
              <w:kinsoku/>
              <w:wordWrap/>
              <w:overflowPunct/>
              <w:topLinePunct w:val="0"/>
              <w:autoSpaceDE w:val="0"/>
              <w:autoSpaceDN w:val="0"/>
              <w:bidi w:val="0"/>
              <w:adjustRightInd/>
              <w:snapToGrid/>
              <w:spacing w:before="50" w:line="360" w:lineRule="auto"/>
              <w:ind w:firstLine="480" w:firstLineChars="200"/>
              <w:textAlignment w:val="auto"/>
              <w:rPr>
                <w:rFonts w:hint="default" w:ascii="Times New Roman" w:hAnsi="Times New Roman" w:cs="Times New Roman"/>
                <w:sz w:val="24"/>
                <w:szCs w:val="24"/>
                <w:lang w:eastAsia="zh-CN"/>
              </w:rPr>
            </w:pPr>
            <w:r>
              <w:rPr>
                <w:rFonts w:hint="eastAsia" w:cs="Times New Roman"/>
                <w:sz w:val="24"/>
                <w:szCs w:val="24"/>
                <w:lang w:eastAsia="zh-CN"/>
              </w:rPr>
              <w:t>项目生产过程中用水环节主要为生活用水。</w:t>
            </w:r>
            <w:r>
              <w:rPr>
                <w:rFonts w:hint="default" w:ascii="Times New Roman" w:hAnsi="Times New Roman" w:cs="Times New Roman"/>
                <w:sz w:val="24"/>
                <w:szCs w:val="24"/>
                <w:lang w:eastAsia="zh-CN"/>
              </w:rPr>
              <w:t>项目职工人数</w:t>
            </w:r>
            <w:r>
              <w:rPr>
                <w:rFonts w:hint="eastAsia" w:cs="Times New Roman"/>
                <w:sz w:val="24"/>
                <w:szCs w:val="24"/>
                <w:lang w:eastAsia="zh-CN"/>
              </w:rPr>
              <w:t>约</w:t>
            </w:r>
            <w:r>
              <w:rPr>
                <w:rFonts w:hint="eastAsia" w:cs="Times New Roman"/>
                <w:sz w:val="24"/>
                <w:szCs w:val="24"/>
                <w:lang w:val="en-US" w:eastAsia="zh-CN"/>
              </w:rPr>
              <w:t>20</w:t>
            </w:r>
            <w:r>
              <w:rPr>
                <w:rFonts w:hint="default" w:ascii="Times New Roman" w:hAnsi="Times New Roman" w:cs="Times New Roman"/>
                <w:sz w:val="24"/>
                <w:szCs w:val="24"/>
                <w:lang w:eastAsia="zh-CN"/>
              </w:rPr>
              <w:t>人，</w:t>
            </w:r>
            <w:r>
              <w:rPr>
                <w:rFonts w:hint="default" w:ascii="Times New Roman" w:hAnsi="Times New Roman" w:cs="Times New Roman"/>
                <w:sz w:val="24"/>
                <w:szCs w:val="24"/>
                <w:lang w:val="zh-CN" w:eastAsia="zh-CN"/>
              </w:rPr>
              <w:t>年工作</w:t>
            </w:r>
            <w:r>
              <w:rPr>
                <w:rFonts w:hint="default" w:ascii="Times New Roman" w:hAnsi="Times New Roman" w:cs="Times New Roman"/>
                <w:sz w:val="24"/>
                <w:szCs w:val="24"/>
                <w:lang w:val="en-US" w:eastAsia="zh-CN"/>
              </w:rPr>
              <w:t>300</w:t>
            </w:r>
            <w:r>
              <w:rPr>
                <w:rFonts w:hint="default" w:ascii="Times New Roman" w:hAnsi="Times New Roman" w:cs="Times New Roman"/>
                <w:sz w:val="24"/>
                <w:szCs w:val="24"/>
                <w:lang w:val="zh-CN" w:eastAsia="zh-CN"/>
              </w:rPr>
              <w:t>天，白班8小时</w:t>
            </w:r>
            <w:r>
              <w:rPr>
                <w:rFonts w:hint="default" w:ascii="Times New Roman" w:hAnsi="Times New Roman" w:cs="Times New Roman"/>
                <w:sz w:val="24"/>
                <w:szCs w:val="24"/>
                <w:lang w:val="en-US" w:eastAsia="zh-CN"/>
              </w:rPr>
              <w:t>/天</w:t>
            </w:r>
            <w:r>
              <w:rPr>
                <w:rFonts w:hint="default" w:ascii="Times New Roman" w:hAnsi="Times New Roman" w:cs="Times New Roman"/>
                <w:sz w:val="24"/>
                <w:szCs w:val="24"/>
                <w:lang w:val="zh-CN" w:eastAsia="zh-CN"/>
              </w:rPr>
              <w:t>；项目职工每班</w:t>
            </w:r>
            <w:r>
              <w:rPr>
                <w:rFonts w:hint="eastAsia" w:cs="Times New Roman"/>
                <w:sz w:val="24"/>
                <w:szCs w:val="24"/>
                <w:lang w:val="zh-CN" w:eastAsia="zh-CN"/>
              </w:rPr>
              <w:t>不</w:t>
            </w:r>
            <w:r>
              <w:rPr>
                <w:rFonts w:hint="default" w:ascii="Times New Roman" w:hAnsi="Times New Roman" w:cs="Times New Roman"/>
                <w:sz w:val="24"/>
                <w:szCs w:val="24"/>
                <w:lang w:val="zh-CN" w:eastAsia="zh-CN"/>
              </w:rPr>
              <w:t>在厂区就餐。</w:t>
            </w:r>
            <w:r>
              <w:rPr>
                <w:rFonts w:hint="default" w:ascii="Times New Roman" w:hAnsi="Times New Roman" w:cs="Times New Roman"/>
                <w:sz w:val="24"/>
                <w:szCs w:val="24"/>
                <w:lang w:eastAsia="zh-CN"/>
              </w:rPr>
              <w:t>用水按每人每天</w:t>
            </w:r>
            <w:r>
              <w:rPr>
                <w:rFonts w:hint="eastAsia" w:cs="Times New Roman"/>
                <w:sz w:val="24"/>
                <w:szCs w:val="24"/>
                <w:lang w:val="en-US" w:eastAsia="zh-CN"/>
              </w:rPr>
              <w:t>40</w:t>
            </w:r>
            <w:r>
              <w:rPr>
                <w:rFonts w:hint="default" w:ascii="Times New Roman" w:hAnsi="Times New Roman" w:cs="Times New Roman"/>
                <w:sz w:val="24"/>
                <w:szCs w:val="24"/>
                <w:lang w:eastAsia="zh-CN"/>
              </w:rPr>
              <w:t>L计算，职工生活用水量约</w:t>
            </w:r>
            <w:r>
              <w:rPr>
                <w:rFonts w:hint="eastAsia" w:cs="Times New Roman"/>
                <w:sz w:val="24"/>
                <w:szCs w:val="24"/>
                <w:lang w:val="en-US" w:eastAsia="zh-CN"/>
              </w:rPr>
              <w:t>0.8</w:t>
            </w:r>
            <w:r>
              <w:rPr>
                <w:rFonts w:hint="default" w:ascii="Times New Roman" w:hAnsi="Times New Roman" w:cs="Times New Roman"/>
                <w:sz w:val="24"/>
                <w:szCs w:val="24"/>
                <w:lang w:eastAsia="zh-CN"/>
              </w:rPr>
              <w:t>m</w:t>
            </w:r>
            <w:r>
              <w:rPr>
                <w:rFonts w:hint="default" w:ascii="Times New Roman" w:hAnsi="Times New Roman" w:cs="Times New Roman"/>
                <w:sz w:val="24"/>
                <w:szCs w:val="24"/>
                <w:vertAlign w:val="superscript"/>
                <w:lang w:eastAsia="zh-CN"/>
              </w:rPr>
              <w:t>3</w:t>
            </w:r>
            <w:r>
              <w:rPr>
                <w:rFonts w:hint="default" w:ascii="Times New Roman" w:hAnsi="Times New Roman" w:cs="Times New Roman"/>
                <w:sz w:val="24"/>
                <w:szCs w:val="24"/>
                <w:lang w:eastAsia="zh-CN"/>
              </w:rPr>
              <w:t>/d，年用水量</w:t>
            </w:r>
            <w:r>
              <w:rPr>
                <w:rFonts w:hint="eastAsia" w:cs="Times New Roman"/>
                <w:sz w:val="24"/>
                <w:szCs w:val="24"/>
                <w:lang w:val="en-US" w:eastAsia="zh-CN"/>
              </w:rPr>
              <w:t>240</w:t>
            </w:r>
            <w:r>
              <w:rPr>
                <w:rFonts w:hint="default" w:ascii="Times New Roman" w:hAnsi="Times New Roman" w:cs="Times New Roman"/>
                <w:sz w:val="24"/>
                <w:szCs w:val="24"/>
                <w:lang w:eastAsia="zh-CN"/>
              </w:rPr>
              <w:t>m</w:t>
            </w:r>
            <w:r>
              <w:rPr>
                <w:rFonts w:hint="default" w:ascii="Times New Roman" w:hAnsi="Times New Roman" w:cs="Times New Roman"/>
                <w:sz w:val="24"/>
                <w:szCs w:val="24"/>
                <w:vertAlign w:val="superscript"/>
                <w:lang w:eastAsia="zh-CN"/>
              </w:rPr>
              <w:t>3</w:t>
            </w:r>
            <w:r>
              <w:rPr>
                <w:rFonts w:hint="default" w:ascii="Times New Roman" w:hAnsi="Times New Roman" w:cs="Times New Roman"/>
                <w:sz w:val="24"/>
                <w:szCs w:val="24"/>
                <w:lang w:val="en-US" w:eastAsia="zh-CN"/>
              </w:rPr>
              <w:t>/a</w:t>
            </w:r>
            <w:r>
              <w:rPr>
                <w:rFonts w:hint="default" w:ascii="Times New Roman" w:hAnsi="Times New Roman" w:cs="Times New Roman"/>
                <w:sz w:val="24"/>
                <w:szCs w:val="24"/>
                <w:lang w:eastAsia="zh-CN"/>
              </w:rPr>
              <w:t>。污水排放系数按用水量的80%计算，污水产生量约</w:t>
            </w:r>
            <w:r>
              <w:rPr>
                <w:rFonts w:hint="eastAsia" w:cs="Times New Roman"/>
                <w:sz w:val="24"/>
                <w:szCs w:val="24"/>
                <w:lang w:val="en-US" w:eastAsia="zh-CN"/>
              </w:rPr>
              <w:t>0.64</w:t>
            </w:r>
            <w:r>
              <w:rPr>
                <w:rFonts w:hint="default" w:ascii="Times New Roman" w:hAnsi="Times New Roman" w:cs="Times New Roman"/>
                <w:sz w:val="24"/>
                <w:szCs w:val="24"/>
                <w:lang w:eastAsia="zh-CN"/>
              </w:rPr>
              <w:t>m</w:t>
            </w:r>
            <w:r>
              <w:rPr>
                <w:rFonts w:hint="default" w:ascii="Times New Roman" w:hAnsi="Times New Roman" w:cs="Times New Roman"/>
                <w:sz w:val="24"/>
                <w:szCs w:val="24"/>
                <w:vertAlign w:val="superscript"/>
                <w:lang w:eastAsia="zh-CN"/>
              </w:rPr>
              <w:t>3</w:t>
            </w:r>
            <w:r>
              <w:rPr>
                <w:rFonts w:hint="default" w:ascii="Times New Roman" w:hAnsi="Times New Roman" w:cs="Times New Roman"/>
                <w:sz w:val="24"/>
                <w:szCs w:val="24"/>
                <w:lang w:eastAsia="zh-CN"/>
              </w:rPr>
              <w:t>/d，</w:t>
            </w:r>
            <w:r>
              <w:rPr>
                <w:rFonts w:hint="eastAsia" w:cs="Times New Roman"/>
                <w:sz w:val="24"/>
                <w:szCs w:val="24"/>
                <w:lang w:val="en-US" w:eastAsia="zh-CN"/>
              </w:rPr>
              <w:t>192</w:t>
            </w:r>
            <w:r>
              <w:rPr>
                <w:rFonts w:hint="default" w:ascii="Times New Roman" w:hAnsi="Times New Roman" w:cs="Times New Roman"/>
                <w:sz w:val="24"/>
                <w:szCs w:val="24"/>
                <w:lang w:eastAsia="zh-CN"/>
              </w:rPr>
              <w:t>m</w:t>
            </w:r>
            <w:r>
              <w:rPr>
                <w:rFonts w:hint="default" w:ascii="Times New Roman" w:hAnsi="Times New Roman" w:cs="Times New Roman"/>
                <w:sz w:val="24"/>
                <w:szCs w:val="24"/>
                <w:vertAlign w:val="superscript"/>
                <w:lang w:eastAsia="zh-CN"/>
              </w:rPr>
              <w:t>3</w:t>
            </w:r>
            <w:r>
              <w:rPr>
                <w:rFonts w:hint="default" w:ascii="Times New Roman" w:hAnsi="Times New Roman" w:cs="Times New Roman"/>
                <w:sz w:val="24"/>
                <w:szCs w:val="24"/>
                <w:lang w:eastAsia="zh-CN"/>
              </w:rPr>
              <w:t>/a。</w:t>
            </w:r>
          </w:p>
          <w:p>
            <w:pPr>
              <w:adjustRightInd w:val="0"/>
              <w:snapToGrid w:val="0"/>
              <w:spacing w:line="500" w:lineRule="exact"/>
              <w:ind w:firstLine="480" w:firstLineChars="200"/>
              <w:rPr>
                <w:rFonts w:hint="eastAsia"/>
                <w:lang w:eastAsia="zh-CN"/>
              </w:rPr>
            </w:pPr>
            <w:r>
              <w:rPr>
                <w:rFonts w:hint="default" w:cs="Times New Roman"/>
                <w:sz w:val="24"/>
                <w:szCs w:val="24"/>
                <w:lang w:eastAsia="zh-CN"/>
              </w:rPr>
              <w:t>本项目废水为生活污水，水质较简单，根据类比，废水中主要污染物的产生浓度分别为：COD300mg/L、BOD150mg/L、SS150mg/L，NH</w:t>
            </w:r>
            <w:r>
              <w:rPr>
                <w:rFonts w:hint="default" w:cs="Times New Roman"/>
                <w:sz w:val="24"/>
                <w:szCs w:val="24"/>
                <w:vertAlign w:val="subscript"/>
                <w:lang w:eastAsia="zh-CN"/>
              </w:rPr>
              <w:t>3</w:t>
            </w:r>
            <w:r>
              <w:rPr>
                <w:rFonts w:hint="default" w:cs="Times New Roman"/>
                <w:sz w:val="24"/>
                <w:szCs w:val="24"/>
                <w:lang w:eastAsia="zh-CN"/>
              </w:rPr>
              <w:t>-N 25mg/L，</w:t>
            </w:r>
            <w:r>
              <w:rPr>
                <w:rFonts w:hint="default" w:ascii="Times New Roman" w:hAnsi="Times New Roman" w:cs="Times New Roman"/>
                <w:sz w:val="24"/>
                <w:szCs w:val="24"/>
                <w:lang w:eastAsia="zh-CN"/>
              </w:rPr>
              <w:t>水量较小。</w:t>
            </w:r>
            <w:r>
              <w:rPr>
                <w:rFonts w:hint="eastAsia" w:ascii="Times New Roman" w:hAnsi="Times New Roman" w:cs="Times New Roman"/>
                <w:sz w:val="24"/>
                <w:szCs w:val="24"/>
                <w:lang w:eastAsia="zh-CN"/>
              </w:rPr>
              <w:t>本项目</w:t>
            </w:r>
            <w:r>
              <w:rPr>
                <w:rFonts w:hint="default" w:ascii="Times New Roman" w:hAnsi="Times New Roman" w:cs="Times New Roman"/>
                <w:sz w:val="24"/>
                <w:szCs w:val="24"/>
                <w:lang w:eastAsia="zh-CN"/>
              </w:rPr>
              <w:t>职工生活污水</w:t>
            </w:r>
            <w:r>
              <w:rPr>
                <w:rFonts w:hint="eastAsia" w:ascii="Times New Roman" w:hAnsi="Times New Roman" w:cs="Times New Roman"/>
                <w:sz w:val="24"/>
                <w:szCs w:val="24"/>
                <w:lang w:eastAsia="zh-CN"/>
              </w:rPr>
              <w:t>依托豫中地质勘查工程公司平顶山第四工程处</w:t>
            </w:r>
            <w:r>
              <w:rPr>
                <w:rFonts w:hint="eastAsia" w:ascii="Times New Roman" w:hAnsi="Times New Roman" w:cs="Times New Roman"/>
                <w:sz w:val="24"/>
                <w:szCs w:val="24"/>
                <w:lang w:val="en-US" w:eastAsia="zh-CN"/>
              </w:rPr>
              <w:t>院内化粪池处理后经市政管网最终进入城市污水处理厂做进一步处理，</w:t>
            </w:r>
            <w:r>
              <w:rPr>
                <w:rFonts w:hint="eastAsia" w:ascii="Times New Roman" w:hAnsi="Times New Roman" w:cs="Times New Roman"/>
                <w:sz w:val="24"/>
                <w:szCs w:val="24"/>
                <w:lang w:eastAsia="zh-CN"/>
              </w:rPr>
              <w:t>对地表水环境影响较小。</w:t>
            </w:r>
          </w:p>
          <w:p>
            <w:pPr>
              <w:spacing w:line="360" w:lineRule="auto"/>
              <w:ind w:firstLine="482" w:firstLineChars="200"/>
              <w:rPr>
                <w:rFonts w:ascii="Times New Roman" w:hAnsi="Times New Roman" w:eastAsia="宋体"/>
                <w:b/>
                <w:sz w:val="24"/>
              </w:rPr>
            </w:pPr>
            <w:r>
              <w:rPr>
                <w:rFonts w:ascii="Times New Roman" w:hAnsi="Times New Roman" w:eastAsia="宋体"/>
                <w:b/>
                <w:sz w:val="24"/>
              </w:rPr>
              <w:t>3、噪声污染因素分析</w:t>
            </w:r>
          </w:p>
          <w:p>
            <w:pPr>
              <w:spacing w:line="360" w:lineRule="auto"/>
              <w:ind w:firstLine="480" w:firstLineChars="200"/>
              <w:rPr>
                <w:rFonts w:ascii="Times New Roman" w:hAnsi="Times New Roman" w:eastAsia="宋体"/>
                <w:color w:val="000000"/>
                <w:sz w:val="24"/>
              </w:rPr>
            </w:pPr>
            <w:r>
              <w:rPr>
                <w:rFonts w:ascii="Times New Roman" w:hAnsi="Times New Roman" w:eastAsia="宋体"/>
                <w:color w:val="000000"/>
                <w:sz w:val="24"/>
              </w:rPr>
              <w:t>本项目</w:t>
            </w:r>
            <w:r>
              <w:rPr>
                <w:rFonts w:hint="eastAsia" w:ascii="Times New Roman" w:hAnsi="Times New Roman" w:eastAsia="宋体"/>
                <w:color w:val="000000"/>
                <w:sz w:val="24"/>
              </w:rPr>
              <w:t>主要噪声设备有</w:t>
            </w:r>
            <w:r>
              <w:rPr>
                <w:rFonts w:hint="eastAsia" w:ascii="Times New Roman" w:hAnsi="Times New Roman" w:eastAsia="宋体"/>
                <w:color w:val="000000"/>
                <w:sz w:val="24"/>
                <w:lang w:eastAsia="zh-CN"/>
              </w:rPr>
              <w:t>数控车床、普通车床、数控中心、钻床、铣床、焊机</w:t>
            </w:r>
            <w:r>
              <w:rPr>
                <w:rFonts w:ascii="Times New Roman" w:hAnsi="Times New Roman" w:eastAsia="宋体"/>
                <w:color w:val="000000"/>
                <w:sz w:val="24"/>
              </w:rPr>
              <w:t>，</w:t>
            </w:r>
            <w:r>
              <w:rPr>
                <w:rFonts w:hint="eastAsia" w:ascii="Times New Roman" w:hAnsi="Times New Roman" w:eastAsia="宋体"/>
                <w:color w:val="000000"/>
                <w:sz w:val="24"/>
              </w:rPr>
              <w:t>本项目新增设备噪声源强</w:t>
            </w:r>
            <w:r>
              <w:rPr>
                <w:rFonts w:ascii="Times New Roman" w:hAnsi="Times New Roman" w:eastAsia="宋体"/>
                <w:color w:val="000000"/>
                <w:sz w:val="24"/>
              </w:rPr>
              <w:t>为</w:t>
            </w:r>
            <w:r>
              <w:rPr>
                <w:rFonts w:hint="eastAsia"/>
                <w:color w:val="000000"/>
                <w:sz w:val="24"/>
                <w:lang w:val="en-US" w:eastAsia="zh-CN"/>
              </w:rPr>
              <w:t>75</w:t>
            </w:r>
            <w:r>
              <w:rPr>
                <w:rFonts w:ascii="Times New Roman" w:hAnsi="Times New Roman" w:eastAsia="宋体"/>
                <w:color w:val="000000"/>
                <w:sz w:val="24"/>
              </w:rPr>
              <w:t>～</w:t>
            </w:r>
            <w:r>
              <w:rPr>
                <w:rFonts w:hint="eastAsia"/>
                <w:color w:val="000000"/>
                <w:sz w:val="24"/>
                <w:lang w:val="en-US" w:eastAsia="zh-CN"/>
              </w:rPr>
              <w:t>90</w:t>
            </w:r>
            <w:r>
              <w:rPr>
                <w:rFonts w:ascii="Times New Roman" w:hAnsi="Times New Roman" w:eastAsia="宋体"/>
                <w:color w:val="000000"/>
                <w:sz w:val="24"/>
              </w:rPr>
              <w:t>dB（A）之间。</w:t>
            </w:r>
            <w:r>
              <w:rPr>
                <w:rFonts w:hint="eastAsia" w:ascii="Times New Roman" w:hAnsi="Times New Roman" w:eastAsia="宋体"/>
                <w:color w:val="000000"/>
                <w:sz w:val="24"/>
              </w:rPr>
              <w:t>参考《环境影响评价技术方法》（2019版，环境保护部环境工程评估中心编）中资料数据可知，车间厂房通过采取设备减振、吸声、消声等及在门窗和墙体使用隔声效果好的材料等措施，环评要求其在采取以上措施后使噪声源的源强下降20dB（A）。本项目主要车间的主要机械加</w:t>
            </w:r>
            <w:r>
              <w:rPr>
                <w:rFonts w:ascii="Times New Roman" w:hAnsi="Times New Roman" w:eastAsia="宋体"/>
                <w:color w:val="000000"/>
                <w:sz w:val="24"/>
              </w:rPr>
              <w:t>噪声源排放源强见下表</w:t>
            </w:r>
            <w:r>
              <w:rPr>
                <w:rFonts w:hint="eastAsia" w:ascii="Times New Roman" w:hAnsi="Times New Roman" w:eastAsia="宋体"/>
                <w:color w:val="000000"/>
                <w:sz w:val="24"/>
              </w:rPr>
              <w:t>：</w:t>
            </w:r>
          </w:p>
          <w:p>
            <w:pPr>
              <w:pStyle w:val="7"/>
              <w:spacing w:beforeLines="50"/>
              <w:jc w:val="center"/>
              <w:rPr>
                <w:rFonts w:hint="eastAsia" w:ascii="Times New Roman" w:hAnsi="宋体" w:cs="Times New Roman"/>
                <w:b/>
                <w:bCs w:val="0"/>
                <w:sz w:val="24"/>
                <w:szCs w:val="24"/>
              </w:rPr>
            </w:pPr>
            <w:r>
              <w:rPr>
                <w:rFonts w:hint="eastAsia" w:ascii="Times New Roman" w:hAnsi="宋体" w:cs="Times New Roman"/>
                <w:b/>
                <w:bCs w:val="0"/>
                <w:sz w:val="24"/>
                <w:szCs w:val="24"/>
              </w:rPr>
              <w:t>表</w:t>
            </w:r>
            <w:r>
              <w:rPr>
                <w:rFonts w:hint="eastAsia" w:ascii="Times New Roman" w:hAnsi="宋体" w:cs="Times New Roman"/>
                <w:b/>
                <w:bCs w:val="0"/>
                <w:sz w:val="24"/>
                <w:szCs w:val="24"/>
                <w:lang w:val="en-US" w:eastAsia="zh-CN"/>
              </w:rPr>
              <w:t>1</w:t>
            </w:r>
            <w:r>
              <w:rPr>
                <w:rFonts w:hint="eastAsia" w:hAnsi="宋体" w:cs="Times New Roman"/>
                <w:b/>
                <w:bCs w:val="0"/>
                <w:sz w:val="24"/>
                <w:szCs w:val="24"/>
                <w:lang w:val="en-US" w:eastAsia="zh-CN"/>
              </w:rPr>
              <w:t>9</w:t>
            </w:r>
            <w:r>
              <w:rPr>
                <w:rFonts w:hint="eastAsia" w:ascii="Times New Roman" w:hAnsi="宋体" w:cs="Times New Roman"/>
                <w:b/>
                <w:bCs w:val="0"/>
                <w:sz w:val="24"/>
                <w:szCs w:val="24"/>
              </w:rPr>
              <w:t xml:space="preserve">  主要新增设备噪声源排放源强统计</w:t>
            </w:r>
          </w:p>
          <w:tbl>
            <w:tblPr>
              <w:tblStyle w:val="23"/>
              <w:tblW w:w="9090"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19"/>
              <w:gridCol w:w="1458"/>
              <w:gridCol w:w="1944"/>
              <w:gridCol w:w="1418"/>
              <w:gridCol w:w="1488"/>
              <w:gridCol w:w="206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719" w:type="dxa"/>
                  <w:tcBorders>
                    <w:top w:val="single" w:color="auto" w:sz="12" w:space="0"/>
                    <w:bottom w:val="single" w:color="auto" w:sz="6" w:space="0"/>
                  </w:tcBorders>
                  <w:vAlign w:val="center"/>
                </w:tcPr>
                <w:p>
                  <w:pPr>
                    <w:adjustRightInd w:val="0"/>
                    <w:snapToGrid w:val="0"/>
                    <w:spacing w:line="240" w:lineRule="auto"/>
                    <w:jc w:val="center"/>
                    <w:rPr>
                      <w:rFonts w:ascii="Times New Roman" w:hAnsi="Times New Roman" w:eastAsia="宋体"/>
                      <w:szCs w:val="21"/>
                    </w:rPr>
                  </w:pPr>
                  <w:r>
                    <w:rPr>
                      <w:rFonts w:ascii="Times New Roman" w:hAnsi="Times New Roman" w:eastAsia="宋体"/>
                      <w:szCs w:val="21"/>
                    </w:rPr>
                    <w:t>序号</w:t>
                  </w:r>
                </w:p>
              </w:tc>
              <w:tc>
                <w:tcPr>
                  <w:tcW w:w="1458" w:type="dxa"/>
                  <w:tcBorders>
                    <w:top w:val="single" w:color="auto" w:sz="12" w:space="0"/>
                    <w:bottom w:val="single" w:color="auto" w:sz="6" w:space="0"/>
                  </w:tcBorders>
                  <w:vAlign w:val="center"/>
                </w:tcPr>
                <w:p>
                  <w:pPr>
                    <w:adjustRightInd w:val="0"/>
                    <w:snapToGrid w:val="0"/>
                    <w:spacing w:line="240" w:lineRule="auto"/>
                    <w:jc w:val="center"/>
                    <w:rPr>
                      <w:rFonts w:ascii="Times New Roman" w:hAnsi="Times New Roman" w:eastAsia="宋体"/>
                      <w:szCs w:val="21"/>
                    </w:rPr>
                  </w:pPr>
                  <w:r>
                    <w:rPr>
                      <w:rFonts w:ascii="Times New Roman" w:hAnsi="Times New Roman" w:eastAsia="宋体"/>
                      <w:szCs w:val="21"/>
                    </w:rPr>
                    <w:t>设备名称</w:t>
                  </w:r>
                </w:p>
              </w:tc>
              <w:tc>
                <w:tcPr>
                  <w:tcW w:w="1944" w:type="dxa"/>
                  <w:tcBorders>
                    <w:top w:val="single" w:color="auto" w:sz="12" w:space="0"/>
                    <w:bottom w:val="single" w:color="auto" w:sz="6" w:space="0"/>
                  </w:tcBorders>
                  <w:vAlign w:val="center"/>
                </w:tcPr>
                <w:p>
                  <w:pPr>
                    <w:adjustRightInd w:val="0"/>
                    <w:snapToGrid w:val="0"/>
                    <w:spacing w:line="240" w:lineRule="auto"/>
                    <w:jc w:val="center"/>
                    <w:rPr>
                      <w:rFonts w:ascii="Times New Roman" w:hAnsi="Times New Roman" w:eastAsia="宋体"/>
                      <w:szCs w:val="21"/>
                    </w:rPr>
                  </w:pPr>
                  <w:r>
                    <w:rPr>
                      <w:rFonts w:ascii="Times New Roman" w:hAnsi="Times New Roman" w:eastAsia="宋体"/>
                      <w:bCs/>
                      <w:szCs w:val="21"/>
                    </w:rPr>
                    <w:t>噪声值</w:t>
                  </w:r>
                  <w:r>
                    <w:rPr>
                      <w:rFonts w:hint="eastAsia" w:ascii="Times New Roman" w:hAnsi="Times New Roman" w:eastAsia="宋体"/>
                      <w:bCs/>
                      <w:szCs w:val="21"/>
                    </w:rPr>
                    <w:t>（dB（A））</w:t>
                  </w:r>
                </w:p>
              </w:tc>
              <w:tc>
                <w:tcPr>
                  <w:tcW w:w="1418" w:type="dxa"/>
                  <w:tcBorders>
                    <w:top w:val="single" w:color="auto" w:sz="12" w:space="0"/>
                    <w:bottom w:val="single" w:color="auto" w:sz="6" w:space="0"/>
                  </w:tcBorders>
                  <w:vAlign w:val="center"/>
                </w:tcPr>
                <w:p>
                  <w:pPr>
                    <w:adjustRightInd w:val="0"/>
                    <w:snapToGrid w:val="0"/>
                    <w:spacing w:line="240" w:lineRule="auto"/>
                    <w:jc w:val="center"/>
                    <w:rPr>
                      <w:rFonts w:ascii="Times New Roman" w:hAnsi="Times New Roman" w:eastAsia="宋体"/>
                      <w:szCs w:val="21"/>
                    </w:rPr>
                  </w:pPr>
                  <w:r>
                    <w:rPr>
                      <w:rFonts w:hint="eastAsia" w:ascii="Times New Roman" w:hAnsi="Times New Roman" w:eastAsia="宋体"/>
                      <w:szCs w:val="21"/>
                    </w:rPr>
                    <w:t>数量（台）</w:t>
                  </w:r>
                </w:p>
              </w:tc>
              <w:tc>
                <w:tcPr>
                  <w:tcW w:w="1488" w:type="dxa"/>
                  <w:tcBorders>
                    <w:top w:val="single" w:color="auto" w:sz="12" w:space="0"/>
                    <w:bottom w:val="single" w:color="auto" w:sz="6" w:space="0"/>
                  </w:tcBorders>
                  <w:vAlign w:val="center"/>
                </w:tcPr>
                <w:p>
                  <w:pPr>
                    <w:adjustRightInd w:val="0"/>
                    <w:snapToGrid w:val="0"/>
                    <w:spacing w:line="240" w:lineRule="auto"/>
                    <w:jc w:val="center"/>
                    <w:rPr>
                      <w:rFonts w:ascii="Times New Roman" w:hAnsi="Times New Roman" w:eastAsia="宋体"/>
                      <w:szCs w:val="21"/>
                    </w:rPr>
                  </w:pPr>
                  <w:r>
                    <w:rPr>
                      <w:rFonts w:hint="eastAsia" w:ascii="Times New Roman" w:hAnsi="Times New Roman" w:eastAsia="宋体"/>
                      <w:szCs w:val="21"/>
                    </w:rPr>
                    <w:t>降噪方式</w:t>
                  </w:r>
                </w:p>
              </w:tc>
              <w:tc>
                <w:tcPr>
                  <w:tcW w:w="2063" w:type="dxa"/>
                  <w:tcBorders>
                    <w:top w:val="single" w:color="auto" w:sz="12" w:space="0"/>
                    <w:bottom w:val="single" w:color="auto" w:sz="6" w:space="0"/>
                  </w:tcBorders>
                  <w:vAlign w:val="center"/>
                </w:tcPr>
                <w:p>
                  <w:pPr>
                    <w:adjustRightInd w:val="0"/>
                    <w:snapToGrid w:val="0"/>
                    <w:spacing w:line="240" w:lineRule="auto"/>
                    <w:jc w:val="center"/>
                    <w:rPr>
                      <w:rFonts w:ascii="Times New Roman" w:hAnsi="Times New Roman" w:eastAsia="宋体"/>
                      <w:szCs w:val="21"/>
                    </w:rPr>
                  </w:pPr>
                  <w:r>
                    <w:rPr>
                      <w:rFonts w:hint="eastAsia" w:ascii="Times New Roman" w:hAnsi="Times New Roman" w:eastAsia="宋体"/>
                      <w:szCs w:val="21"/>
                    </w:rPr>
                    <w:t>排放噪声</w:t>
                  </w:r>
                  <w:r>
                    <w:rPr>
                      <w:rFonts w:hint="eastAsia" w:ascii="Times New Roman" w:hAnsi="Times New Roman" w:eastAsia="宋体"/>
                      <w:bCs/>
                      <w:szCs w:val="21"/>
                    </w:rPr>
                    <w:t>（dB（A））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719" w:type="dxa"/>
                  <w:vAlign w:val="center"/>
                </w:tcPr>
                <w:p>
                  <w:pPr>
                    <w:adjustRightInd w:val="0"/>
                    <w:snapToGrid w:val="0"/>
                    <w:spacing w:line="240" w:lineRule="auto"/>
                    <w:jc w:val="center"/>
                    <w:rPr>
                      <w:rFonts w:ascii="Times New Roman" w:hAnsi="Times New Roman" w:eastAsia="宋体"/>
                      <w:szCs w:val="21"/>
                    </w:rPr>
                  </w:pPr>
                  <w:r>
                    <w:rPr>
                      <w:rFonts w:hint="eastAsia" w:ascii="Times New Roman" w:hAnsi="Times New Roman" w:eastAsia="宋体"/>
                      <w:szCs w:val="21"/>
                    </w:rPr>
                    <w:t>1</w:t>
                  </w:r>
                </w:p>
              </w:tc>
              <w:tc>
                <w:tcPr>
                  <w:tcW w:w="1458" w:type="dxa"/>
                  <w:vAlign w:val="center"/>
                </w:tcPr>
                <w:p>
                  <w:pPr>
                    <w:spacing w:line="240" w:lineRule="auto"/>
                    <w:jc w:val="center"/>
                    <w:rPr>
                      <w:rFonts w:hint="eastAsia" w:ascii="Times New Roman" w:hAnsi="Times New Roman" w:eastAsia="宋体"/>
                      <w:szCs w:val="21"/>
                      <w:lang w:eastAsia="zh-CN"/>
                    </w:rPr>
                  </w:pPr>
                  <w:r>
                    <w:rPr>
                      <w:rFonts w:hint="eastAsia" w:ascii="Times New Roman" w:hAnsi="Times New Roman" w:eastAsia="宋体"/>
                      <w:szCs w:val="21"/>
                      <w:lang w:eastAsia="zh-CN"/>
                    </w:rPr>
                    <w:t>数控车床</w:t>
                  </w:r>
                </w:p>
              </w:tc>
              <w:tc>
                <w:tcPr>
                  <w:tcW w:w="1944" w:type="dxa"/>
                  <w:vAlign w:val="center"/>
                </w:tcPr>
                <w:p>
                  <w:pPr>
                    <w:adjustRightInd w:val="0"/>
                    <w:snapToGrid w:val="0"/>
                    <w:spacing w:line="240" w:lineRule="auto"/>
                    <w:jc w:val="center"/>
                    <w:rPr>
                      <w:rFonts w:hint="default" w:ascii="Times New Roman" w:hAnsi="Times New Roman" w:eastAsia="宋体"/>
                      <w:szCs w:val="21"/>
                      <w:lang w:val="en-US" w:eastAsia="zh-CN"/>
                    </w:rPr>
                  </w:pPr>
                  <w:r>
                    <w:rPr>
                      <w:rFonts w:hint="eastAsia"/>
                      <w:szCs w:val="21"/>
                      <w:lang w:val="en-US" w:eastAsia="zh-CN"/>
                    </w:rPr>
                    <w:t>85</w:t>
                  </w:r>
                </w:p>
              </w:tc>
              <w:tc>
                <w:tcPr>
                  <w:tcW w:w="1418" w:type="dxa"/>
                  <w:vAlign w:val="center"/>
                </w:tcPr>
                <w:p>
                  <w:pPr>
                    <w:adjustRightInd w:val="0"/>
                    <w:snapToGrid w:val="0"/>
                    <w:spacing w:line="240" w:lineRule="auto"/>
                    <w:jc w:val="center"/>
                    <w:rPr>
                      <w:rFonts w:hint="eastAsia" w:ascii="Times New Roman" w:hAnsi="Times New Roman" w:eastAsia="宋体"/>
                      <w:szCs w:val="21"/>
                      <w:lang w:val="en-US" w:eastAsia="zh-CN"/>
                    </w:rPr>
                  </w:pPr>
                  <w:r>
                    <w:rPr>
                      <w:rFonts w:hint="eastAsia" w:ascii="Times New Roman" w:hAnsi="Times New Roman" w:eastAsia="宋体"/>
                      <w:szCs w:val="21"/>
                      <w:lang w:val="en-US" w:eastAsia="zh-CN"/>
                    </w:rPr>
                    <w:t>2</w:t>
                  </w:r>
                </w:p>
              </w:tc>
              <w:tc>
                <w:tcPr>
                  <w:tcW w:w="1488" w:type="dxa"/>
                  <w:vMerge w:val="restart"/>
                  <w:shd w:val="clear" w:color="auto" w:fill="auto"/>
                  <w:vAlign w:val="center"/>
                </w:tcPr>
                <w:p>
                  <w:pPr>
                    <w:adjustRightInd w:val="0"/>
                    <w:snapToGrid w:val="0"/>
                    <w:spacing w:line="240" w:lineRule="auto"/>
                    <w:rPr>
                      <w:rFonts w:ascii="Times New Roman" w:hAnsi="Times New Roman" w:eastAsia="宋体"/>
                      <w:szCs w:val="21"/>
                    </w:rPr>
                  </w:pPr>
                  <w:r>
                    <w:rPr>
                      <w:rFonts w:hint="eastAsia" w:ascii="Times New Roman" w:hAnsi="Times New Roman" w:eastAsia="宋体"/>
                      <w:szCs w:val="21"/>
                    </w:rPr>
                    <w:t>隔声、减振以及距离衰减等措施，降噪20</w:t>
                  </w:r>
                  <w:r>
                    <w:rPr>
                      <w:rFonts w:hint="eastAsia" w:ascii="Times New Roman" w:hAnsi="Times New Roman" w:eastAsia="宋体"/>
                      <w:bCs/>
                      <w:szCs w:val="21"/>
                    </w:rPr>
                    <w:t>dB（A）</w:t>
                  </w:r>
                </w:p>
              </w:tc>
              <w:tc>
                <w:tcPr>
                  <w:tcW w:w="2063" w:type="dxa"/>
                  <w:shd w:val="clear" w:color="auto" w:fill="auto"/>
                  <w:vAlign w:val="center"/>
                </w:tcPr>
                <w:p>
                  <w:pPr>
                    <w:adjustRightInd w:val="0"/>
                    <w:snapToGrid w:val="0"/>
                    <w:spacing w:line="240" w:lineRule="auto"/>
                    <w:jc w:val="center"/>
                    <w:rPr>
                      <w:rFonts w:hint="default" w:ascii="Times New Roman" w:hAnsi="Times New Roman" w:eastAsia="宋体"/>
                      <w:szCs w:val="21"/>
                      <w:lang w:val="en-US" w:eastAsia="zh-CN"/>
                    </w:rPr>
                  </w:pPr>
                  <w:r>
                    <w:rPr>
                      <w:rFonts w:hint="eastAsia"/>
                      <w:szCs w:val="21"/>
                      <w:lang w:val="en-US" w:eastAsia="zh-CN"/>
                    </w:rPr>
                    <w:t>68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719" w:type="dxa"/>
                  <w:vAlign w:val="center"/>
                </w:tcPr>
                <w:p>
                  <w:pPr>
                    <w:adjustRightInd w:val="0"/>
                    <w:snapToGrid w:val="0"/>
                    <w:spacing w:line="240" w:lineRule="auto"/>
                    <w:jc w:val="center"/>
                    <w:rPr>
                      <w:rFonts w:ascii="Times New Roman" w:hAnsi="Times New Roman" w:eastAsia="宋体"/>
                      <w:szCs w:val="21"/>
                    </w:rPr>
                  </w:pPr>
                  <w:r>
                    <w:rPr>
                      <w:rFonts w:hint="eastAsia" w:ascii="Times New Roman" w:hAnsi="Times New Roman" w:eastAsia="宋体"/>
                      <w:szCs w:val="21"/>
                    </w:rPr>
                    <w:t>2</w:t>
                  </w:r>
                </w:p>
              </w:tc>
              <w:tc>
                <w:tcPr>
                  <w:tcW w:w="1458" w:type="dxa"/>
                  <w:vAlign w:val="center"/>
                </w:tcPr>
                <w:p>
                  <w:pPr>
                    <w:spacing w:line="240" w:lineRule="auto"/>
                    <w:jc w:val="center"/>
                    <w:rPr>
                      <w:rFonts w:hint="eastAsia" w:ascii="Times New Roman" w:hAnsi="Times New Roman" w:eastAsia="宋体"/>
                      <w:szCs w:val="21"/>
                      <w:lang w:eastAsia="zh-CN"/>
                    </w:rPr>
                  </w:pPr>
                  <w:r>
                    <w:rPr>
                      <w:rFonts w:hint="eastAsia" w:ascii="Times New Roman" w:hAnsi="Times New Roman" w:eastAsia="宋体"/>
                      <w:szCs w:val="21"/>
                      <w:lang w:eastAsia="zh-CN"/>
                    </w:rPr>
                    <w:t>普通车床</w:t>
                  </w:r>
                </w:p>
              </w:tc>
              <w:tc>
                <w:tcPr>
                  <w:tcW w:w="1944" w:type="dxa"/>
                  <w:vAlign w:val="center"/>
                </w:tcPr>
                <w:p>
                  <w:pPr>
                    <w:adjustRightInd w:val="0"/>
                    <w:snapToGrid w:val="0"/>
                    <w:spacing w:line="240" w:lineRule="auto"/>
                    <w:jc w:val="center"/>
                    <w:rPr>
                      <w:rFonts w:hint="default" w:ascii="Times New Roman" w:hAnsi="Times New Roman" w:eastAsia="宋体"/>
                      <w:szCs w:val="21"/>
                      <w:lang w:val="en-US" w:eastAsia="zh-CN"/>
                    </w:rPr>
                  </w:pPr>
                  <w:r>
                    <w:rPr>
                      <w:rFonts w:hint="eastAsia"/>
                      <w:szCs w:val="21"/>
                      <w:lang w:val="en-US" w:eastAsia="zh-CN"/>
                    </w:rPr>
                    <w:t>85</w:t>
                  </w:r>
                </w:p>
              </w:tc>
              <w:tc>
                <w:tcPr>
                  <w:tcW w:w="1418" w:type="dxa"/>
                  <w:vAlign w:val="center"/>
                </w:tcPr>
                <w:p>
                  <w:pPr>
                    <w:adjustRightInd w:val="0"/>
                    <w:snapToGrid w:val="0"/>
                    <w:spacing w:line="240" w:lineRule="auto"/>
                    <w:jc w:val="center"/>
                    <w:rPr>
                      <w:rFonts w:hint="eastAsia" w:ascii="Times New Roman" w:hAnsi="Times New Roman" w:eastAsia="宋体"/>
                      <w:szCs w:val="21"/>
                      <w:lang w:val="en-US" w:eastAsia="zh-CN"/>
                    </w:rPr>
                  </w:pPr>
                  <w:r>
                    <w:rPr>
                      <w:rFonts w:hint="eastAsia" w:ascii="Times New Roman" w:hAnsi="Times New Roman" w:eastAsia="宋体"/>
                      <w:szCs w:val="21"/>
                      <w:lang w:val="en-US" w:eastAsia="zh-CN"/>
                    </w:rPr>
                    <w:t>5</w:t>
                  </w:r>
                </w:p>
              </w:tc>
              <w:tc>
                <w:tcPr>
                  <w:tcW w:w="1488" w:type="dxa"/>
                  <w:vMerge w:val="continue"/>
                  <w:shd w:val="clear" w:color="auto" w:fill="auto"/>
                  <w:vAlign w:val="center"/>
                </w:tcPr>
                <w:p>
                  <w:pPr>
                    <w:adjustRightInd w:val="0"/>
                    <w:snapToGrid w:val="0"/>
                    <w:spacing w:line="240" w:lineRule="auto"/>
                    <w:jc w:val="center"/>
                    <w:rPr>
                      <w:rFonts w:ascii="Times New Roman" w:hAnsi="Times New Roman" w:eastAsia="宋体"/>
                      <w:szCs w:val="21"/>
                    </w:rPr>
                  </w:pPr>
                </w:p>
              </w:tc>
              <w:tc>
                <w:tcPr>
                  <w:tcW w:w="2063" w:type="dxa"/>
                  <w:shd w:val="clear" w:color="auto" w:fill="auto"/>
                  <w:vAlign w:val="center"/>
                </w:tcPr>
                <w:p>
                  <w:pPr>
                    <w:adjustRightInd w:val="0"/>
                    <w:snapToGrid w:val="0"/>
                    <w:spacing w:line="240" w:lineRule="auto"/>
                    <w:jc w:val="center"/>
                    <w:rPr>
                      <w:rFonts w:hint="default" w:ascii="Times New Roman" w:hAnsi="Times New Roman" w:eastAsia="宋体"/>
                      <w:szCs w:val="21"/>
                      <w:lang w:val="en-US" w:eastAsia="zh-CN"/>
                    </w:rPr>
                  </w:pPr>
                  <w:r>
                    <w:rPr>
                      <w:rFonts w:hint="eastAsia"/>
                      <w:szCs w:val="21"/>
                      <w:lang w:val="en-US" w:eastAsia="zh-CN"/>
                    </w:rPr>
                    <w:t>71.99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719" w:type="dxa"/>
                  <w:tcBorders>
                    <w:bottom w:val="single" w:color="auto" w:sz="6" w:space="0"/>
                  </w:tcBorders>
                  <w:vAlign w:val="center"/>
                </w:tcPr>
                <w:p>
                  <w:pPr>
                    <w:adjustRightInd w:val="0"/>
                    <w:snapToGrid w:val="0"/>
                    <w:spacing w:line="240" w:lineRule="auto"/>
                    <w:jc w:val="center"/>
                    <w:rPr>
                      <w:rFonts w:ascii="Times New Roman" w:hAnsi="Times New Roman" w:eastAsia="宋体"/>
                      <w:szCs w:val="21"/>
                    </w:rPr>
                  </w:pPr>
                  <w:r>
                    <w:rPr>
                      <w:rFonts w:hint="eastAsia" w:ascii="Times New Roman" w:hAnsi="Times New Roman" w:eastAsia="宋体"/>
                      <w:szCs w:val="21"/>
                    </w:rPr>
                    <w:t>3</w:t>
                  </w:r>
                </w:p>
              </w:tc>
              <w:tc>
                <w:tcPr>
                  <w:tcW w:w="1458" w:type="dxa"/>
                  <w:tcBorders>
                    <w:bottom w:val="single" w:color="auto" w:sz="6" w:space="0"/>
                  </w:tcBorders>
                  <w:vAlign w:val="center"/>
                </w:tcPr>
                <w:p>
                  <w:pPr>
                    <w:spacing w:line="240" w:lineRule="auto"/>
                    <w:jc w:val="center"/>
                    <w:rPr>
                      <w:rFonts w:hint="eastAsia" w:ascii="Times New Roman" w:hAnsi="Times New Roman" w:eastAsia="宋体"/>
                      <w:szCs w:val="21"/>
                      <w:lang w:eastAsia="zh-CN"/>
                    </w:rPr>
                  </w:pPr>
                  <w:r>
                    <w:rPr>
                      <w:rFonts w:hint="eastAsia" w:ascii="Times New Roman" w:hAnsi="Times New Roman" w:eastAsia="宋体"/>
                      <w:szCs w:val="21"/>
                      <w:lang w:eastAsia="zh-CN"/>
                    </w:rPr>
                    <w:t>数控中心</w:t>
                  </w:r>
                </w:p>
              </w:tc>
              <w:tc>
                <w:tcPr>
                  <w:tcW w:w="1944" w:type="dxa"/>
                  <w:tcBorders>
                    <w:bottom w:val="single" w:color="auto" w:sz="6" w:space="0"/>
                  </w:tcBorders>
                  <w:vAlign w:val="center"/>
                </w:tcPr>
                <w:p>
                  <w:pPr>
                    <w:adjustRightInd w:val="0"/>
                    <w:snapToGrid w:val="0"/>
                    <w:spacing w:line="240" w:lineRule="auto"/>
                    <w:jc w:val="center"/>
                    <w:rPr>
                      <w:rFonts w:hint="default" w:ascii="Times New Roman" w:hAnsi="Times New Roman" w:eastAsia="宋体"/>
                      <w:szCs w:val="21"/>
                      <w:lang w:val="en-US" w:eastAsia="zh-CN"/>
                    </w:rPr>
                  </w:pPr>
                  <w:r>
                    <w:rPr>
                      <w:rFonts w:hint="eastAsia"/>
                      <w:szCs w:val="21"/>
                      <w:lang w:val="en-US" w:eastAsia="zh-CN"/>
                    </w:rPr>
                    <w:t>85</w:t>
                  </w:r>
                </w:p>
              </w:tc>
              <w:tc>
                <w:tcPr>
                  <w:tcW w:w="1418" w:type="dxa"/>
                  <w:tcBorders>
                    <w:bottom w:val="single" w:color="auto" w:sz="6" w:space="0"/>
                  </w:tcBorders>
                  <w:vAlign w:val="center"/>
                </w:tcPr>
                <w:p>
                  <w:pPr>
                    <w:adjustRightInd w:val="0"/>
                    <w:snapToGrid w:val="0"/>
                    <w:spacing w:line="240" w:lineRule="auto"/>
                    <w:jc w:val="center"/>
                    <w:rPr>
                      <w:rFonts w:hint="eastAsia" w:ascii="Times New Roman" w:hAnsi="Times New Roman" w:eastAsia="宋体"/>
                      <w:szCs w:val="21"/>
                      <w:lang w:val="en-US" w:eastAsia="zh-CN"/>
                    </w:rPr>
                  </w:pPr>
                  <w:r>
                    <w:rPr>
                      <w:rFonts w:hint="eastAsia" w:ascii="Times New Roman" w:hAnsi="Times New Roman" w:eastAsia="宋体"/>
                      <w:szCs w:val="21"/>
                      <w:lang w:val="en-US" w:eastAsia="zh-CN"/>
                    </w:rPr>
                    <w:t>2</w:t>
                  </w:r>
                </w:p>
              </w:tc>
              <w:tc>
                <w:tcPr>
                  <w:tcW w:w="1488" w:type="dxa"/>
                  <w:vMerge w:val="continue"/>
                  <w:shd w:val="clear" w:color="auto" w:fill="auto"/>
                  <w:vAlign w:val="center"/>
                </w:tcPr>
                <w:p>
                  <w:pPr>
                    <w:adjustRightInd w:val="0"/>
                    <w:snapToGrid w:val="0"/>
                    <w:spacing w:line="240" w:lineRule="auto"/>
                    <w:jc w:val="center"/>
                    <w:rPr>
                      <w:rFonts w:ascii="Times New Roman" w:hAnsi="Times New Roman" w:eastAsia="宋体"/>
                      <w:szCs w:val="21"/>
                    </w:rPr>
                  </w:pPr>
                </w:p>
              </w:tc>
              <w:tc>
                <w:tcPr>
                  <w:tcW w:w="2063" w:type="dxa"/>
                  <w:tcBorders>
                    <w:bottom w:val="single" w:color="auto" w:sz="4" w:space="0"/>
                  </w:tcBorders>
                  <w:shd w:val="clear" w:color="auto" w:fill="auto"/>
                  <w:vAlign w:val="center"/>
                </w:tcPr>
                <w:p>
                  <w:pPr>
                    <w:adjustRightInd w:val="0"/>
                    <w:snapToGrid w:val="0"/>
                    <w:spacing w:line="240" w:lineRule="auto"/>
                    <w:jc w:val="center"/>
                    <w:rPr>
                      <w:rFonts w:hint="default" w:ascii="Times New Roman" w:hAnsi="Times New Roman" w:eastAsia="宋体"/>
                      <w:szCs w:val="21"/>
                      <w:lang w:val="en-US" w:eastAsia="zh-CN"/>
                    </w:rPr>
                  </w:pPr>
                  <w:r>
                    <w:rPr>
                      <w:rFonts w:hint="eastAsia"/>
                      <w:szCs w:val="21"/>
                      <w:lang w:val="en-US" w:eastAsia="zh-CN"/>
                    </w:rPr>
                    <w:t>68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719" w:type="dxa"/>
                  <w:tcBorders>
                    <w:bottom w:val="single" w:color="auto" w:sz="6" w:space="0"/>
                  </w:tcBorders>
                  <w:vAlign w:val="center"/>
                </w:tcPr>
                <w:p>
                  <w:pPr>
                    <w:adjustRightInd w:val="0"/>
                    <w:snapToGrid w:val="0"/>
                    <w:spacing w:line="240" w:lineRule="auto"/>
                    <w:jc w:val="center"/>
                    <w:rPr>
                      <w:rFonts w:hint="eastAsia" w:ascii="Times New Roman" w:hAnsi="Times New Roman" w:eastAsia="宋体"/>
                      <w:szCs w:val="21"/>
                      <w:lang w:eastAsia="zh-CN"/>
                    </w:rPr>
                  </w:pPr>
                  <w:r>
                    <w:rPr>
                      <w:rFonts w:hint="eastAsia" w:ascii="Times New Roman" w:hAnsi="Times New Roman" w:eastAsia="宋体"/>
                      <w:szCs w:val="21"/>
                      <w:lang w:val="en-US" w:eastAsia="zh-CN"/>
                    </w:rPr>
                    <w:t>4</w:t>
                  </w:r>
                </w:p>
              </w:tc>
              <w:tc>
                <w:tcPr>
                  <w:tcW w:w="1458" w:type="dxa"/>
                  <w:tcBorders>
                    <w:bottom w:val="single" w:color="auto" w:sz="6" w:space="0"/>
                  </w:tcBorders>
                  <w:vAlign w:val="center"/>
                </w:tcPr>
                <w:p>
                  <w:pPr>
                    <w:spacing w:line="240" w:lineRule="auto"/>
                    <w:jc w:val="center"/>
                    <w:rPr>
                      <w:rFonts w:hint="eastAsia" w:ascii="Times New Roman" w:hAnsi="Times New Roman" w:eastAsia="宋体"/>
                      <w:szCs w:val="21"/>
                      <w:lang w:eastAsia="zh-CN"/>
                    </w:rPr>
                  </w:pPr>
                  <w:r>
                    <w:rPr>
                      <w:rFonts w:hint="eastAsia" w:ascii="Times New Roman" w:hAnsi="Times New Roman" w:eastAsia="宋体"/>
                      <w:kern w:val="0"/>
                      <w:lang w:eastAsia="zh-CN"/>
                    </w:rPr>
                    <w:t>钻床</w:t>
                  </w:r>
                </w:p>
              </w:tc>
              <w:tc>
                <w:tcPr>
                  <w:tcW w:w="1944" w:type="dxa"/>
                  <w:tcBorders>
                    <w:bottom w:val="single" w:color="auto" w:sz="6" w:space="0"/>
                  </w:tcBorders>
                  <w:vAlign w:val="center"/>
                </w:tcPr>
                <w:p>
                  <w:pPr>
                    <w:adjustRightInd w:val="0"/>
                    <w:snapToGrid w:val="0"/>
                    <w:spacing w:line="240" w:lineRule="auto"/>
                    <w:jc w:val="center"/>
                    <w:rPr>
                      <w:rFonts w:hint="default" w:ascii="Times New Roman" w:hAnsi="Times New Roman" w:eastAsia="宋体"/>
                      <w:szCs w:val="21"/>
                      <w:lang w:val="en-US" w:eastAsia="zh-CN"/>
                    </w:rPr>
                  </w:pPr>
                  <w:r>
                    <w:rPr>
                      <w:rFonts w:hint="eastAsia"/>
                      <w:szCs w:val="21"/>
                      <w:lang w:val="en-US" w:eastAsia="zh-CN"/>
                    </w:rPr>
                    <w:t>90</w:t>
                  </w:r>
                </w:p>
              </w:tc>
              <w:tc>
                <w:tcPr>
                  <w:tcW w:w="1418" w:type="dxa"/>
                  <w:tcBorders>
                    <w:bottom w:val="single" w:color="auto" w:sz="6" w:space="0"/>
                  </w:tcBorders>
                  <w:vAlign w:val="center"/>
                </w:tcPr>
                <w:p>
                  <w:pPr>
                    <w:adjustRightInd w:val="0"/>
                    <w:snapToGrid w:val="0"/>
                    <w:spacing w:line="240" w:lineRule="auto"/>
                    <w:jc w:val="center"/>
                    <w:rPr>
                      <w:rFonts w:hint="eastAsia" w:ascii="Times New Roman" w:hAnsi="Times New Roman" w:eastAsia="宋体"/>
                      <w:szCs w:val="21"/>
                      <w:lang w:val="en-US" w:eastAsia="zh-CN"/>
                    </w:rPr>
                  </w:pPr>
                  <w:r>
                    <w:rPr>
                      <w:rFonts w:hint="eastAsia" w:ascii="Times New Roman" w:hAnsi="Times New Roman" w:eastAsia="宋体"/>
                      <w:szCs w:val="21"/>
                      <w:lang w:val="en-US" w:eastAsia="zh-CN"/>
                    </w:rPr>
                    <w:t>3</w:t>
                  </w:r>
                </w:p>
              </w:tc>
              <w:tc>
                <w:tcPr>
                  <w:tcW w:w="1488" w:type="dxa"/>
                  <w:vMerge w:val="continue"/>
                  <w:shd w:val="clear" w:color="auto" w:fill="auto"/>
                  <w:vAlign w:val="center"/>
                </w:tcPr>
                <w:p>
                  <w:pPr>
                    <w:adjustRightInd w:val="0"/>
                    <w:snapToGrid w:val="0"/>
                    <w:spacing w:line="240" w:lineRule="auto"/>
                    <w:jc w:val="center"/>
                    <w:rPr>
                      <w:rFonts w:ascii="Times New Roman" w:hAnsi="Times New Roman" w:eastAsia="宋体"/>
                      <w:szCs w:val="21"/>
                    </w:rPr>
                  </w:pPr>
                </w:p>
              </w:tc>
              <w:tc>
                <w:tcPr>
                  <w:tcW w:w="2063" w:type="dxa"/>
                  <w:tcBorders>
                    <w:top w:val="single" w:color="auto" w:sz="4" w:space="0"/>
                  </w:tcBorders>
                  <w:shd w:val="clear" w:color="auto" w:fill="auto"/>
                  <w:vAlign w:val="center"/>
                </w:tcPr>
                <w:p>
                  <w:pPr>
                    <w:adjustRightInd w:val="0"/>
                    <w:snapToGrid w:val="0"/>
                    <w:spacing w:line="240" w:lineRule="auto"/>
                    <w:jc w:val="center"/>
                    <w:rPr>
                      <w:rFonts w:hint="default" w:ascii="Times New Roman" w:hAnsi="Times New Roman" w:eastAsia="宋体"/>
                      <w:szCs w:val="21"/>
                      <w:lang w:val="en-US" w:eastAsia="zh-CN"/>
                    </w:rPr>
                  </w:pPr>
                  <w:r>
                    <w:rPr>
                      <w:rFonts w:hint="eastAsia"/>
                      <w:szCs w:val="21"/>
                      <w:lang w:val="en-US" w:eastAsia="zh-CN"/>
                    </w:rPr>
                    <w:t>74.77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719" w:type="dxa"/>
                  <w:tcBorders>
                    <w:top w:val="single" w:color="auto" w:sz="6" w:space="0"/>
                  </w:tcBorders>
                  <w:vAlign w:val="center"/>
                </w:tcPr>
                <w:p>
                  <w:pPr>
                    <w:adjustRightInd w:val="0"/>
                    <w:snapToGrid w:val="0"/>
                    <w:spacing w:line="240" w:lineRule="auto"/>
                    <w:jc w:val="center"/>
                    <w:rPr>
                      <w:rFonts w:hint="eastAsia" w:ascii="Times New Roman" w:hAnsi="Times New Roman" w:eastAsia="宋体"/>
                      <w:szCs w:val="21"/>
                      <w:lang w:eastAsia="zh-CN"/>
                    </w:rPr>
                  </w:pPr>
                  <w:r>
                    <w:rPr>
                      <w:rFonts w:hint="eastAsia" w:ascii="Times New Roman" w:hAnsi="Times New Roman" w:eastAsia="宋体"/>
                      <w:szCs w:val="21"/>
                      <w:lang w:val="en-US" w:eastAsia="zh-CN"/>
                    </w:rPr>
                    <w:t>5</w:t>
                  </w:r>
                </w:p>
              </w:tc>
              <w:tc>
                <w:tcPr>
                  <w:tcW w:w="1458" w:type="dxa"/>
                  <w:tcBorders>
                    <w:top w:val="single" w:color="auto" w:sz="6" w:space="0"/>
                  </w:tcBorders>
                  <w:vAlign w:val="center"/>
                </w:tcPr>
                <w:p>
                  <w:pPr>
                    <w:spacing w:line="240" w:lineRule="auto"/>
                    <w:jc w:val="center"/>
                    <w:rPr>
                      <w:rFonts w:hint="eastAsia" w:ascii="Times New Roman" w:hAnsi="Times New Roman" w:eastAsia="宋体"/>
                      <w:lang w:eastAsia="zh-CN"/>
                    </w:rPr>
                  </w:pPr>
                  <w:r>
                    <w:rPr>
                      <w:rFonts w:hint="eastAsia" w:ascii="Times New Roman" w:hAnsi="Times New Roman" w:eastAsia="宋体"/>
                      <w:lang w:eastAsia="zh-CN"/>
                    </w:rPr>
                    <w:t>铣床</w:t>
                  </w:r>
                </w:p>
              </w:tc>
              <w:tc>
                <w:tcPr>
                  <w:tcW w:w="1944" w:type="dxa"/>
                  <w:tcBorders>
                    <w:top w:val="single" w:color="auto" w:sz="6" w:space="0"/>
                  </w:tcBorders>
                  <w:vAlign w:val="center"/>
                </w:tcPr>
                <w:p>
                  <w:pPr>
                    <w:adjustRightInd w:val="0"/>
                    <w:snapToGrid w:val="0"/>
                    <w:spacing w:line="240" w:lineRule="auto"/>
                    <w:jc w:val="center"/>
                    <w:rPr>
                      <w:rFonts w:hint="default" w:ascii="Times New Roman" w:hAnsi="Times New Roman" w:eastAsia="宋体"/>
                      <w:szCs w:val="21"/>
                      <w:lang w:val="en-US" w:eastAsia="zh-CN"/>
                    </w:rPr>
                  </w:pPr>
                  <w:r>
                    <w:rPr>
                      <w:rFonts w:hint="eastAsia"/>
                      <w:szCs w:val="21"/>
                      <w:lang w:val="en-US" w:eastAsia="zh-CN"/>
                    </w:rPr>
                    <w:t>90</w:t>
                  </w:r>
                </w:p>
              </w:tc>
              <w:tc>
                <w:tcPr>
                  <w:tcW w:w="1418" w:type="dxa"/>
                  <w:tcBorders>
                    <w:top w:val="single" w:color="auto" w:sz="6" w:space="0"/>
                  </w:tcBorders>
                  <w:vAlign w:val="center"/>
                </w:tcPr>
                <w:p>
                  <w:pPr>
                    <w:adjustRightInd w:val="0"/>
                    <w:snapToGrid w:val="0"/>
                    <w:spacing w:line="240" w:lineRule="auto"/>
                    <w:jc w:val="center"/>
                    <w:rPr>
                      <w:rFonts w:hint="eastAsia" w:ascii="Times New Roman" w:hAnsi="Times New Roman" w:eastAsia="宋体"/>
                      <w:szCs w:val="21"/>
                      <w:lang w:val="en-US" w:eastAsia="zh-CN"/>
                    </w:rPr>
                  </w:pPr>
                  <w:r>
                    <w:rPr>
                      <w:rFonts w:hint="eastAsia" w:ascii="Times New Roman" w:hAnsi="Times New Roman" w:eastAsia="宋体"/>
                      <w:szCs w:val="21"/>
                      <w:lang w:val="en-US" w:eastAsia="zh-CN"/>
                    </w:rPr>
                    <w:t>3</w:t>
                  </w:r>
                </w:p>
              </w:tc>
              <w:tc>
                <w:tcPr>
                  <w:tcW w:w="1488" w:type="dxa"/>
                  <w:vMerge w:val="continue"/>
                  <w:shd w:val="clear" w:color="auto" w:fill="auto"/>
                  <w:vAlign w:val="center"/>
                </w:tcPr>
                <w:p>
                  <w:pPr>
                    <w:adjustRightInd w:val="0"/>
                    <w:snapToGrid w:val="0"/>
                    <w:spacing w:line="240" w:lineRule="auto"/>
                    <w:jc w:val="center"/>
                    <w:rPr>
                      <w:rFonts w:ascii="Times New Roman" w:hAnsi="Times New Roman" w:eastAsia="宋体"/>
                      <w:szCs w:val="21"/>
                    </w:rPr>
                  </w:pPr>
                </w:p>
              </w:tc>
              <w:tc>
                <w:tcPr>
                  <w:tcW w:w="2063" w:type="dxa"/>
                  <w:tcBorders>
                    <w:bottom w:val="single" w:color="auto" w:sz="4" w:space="0"/>
                  </w:tcBorders>
                  <w:shd w:val="clear" w:color="auto" w:fill="auto"/>
                  <w:vAlign w:val="center"/>
                </w:tcPr>
                <w:p>
                  <w:pPr>
                    <w:adjustRightInd w:val="0"/>
                    <w:snapToGrid w:val="0"/>
                    <w:spacing w:line="240" w:lineRule="auto"/>
                    <w:jc w:val="center"/>
                    <w:rPr>
                      <w:rFonts w:hint="default" w:ascii="Times New Roman" w:hAnsi="Times New Roman" w:eastAsia="宋体"/>
                      <w:szCs w:val="21"/>
                      <w:lang w:val="en-US" w:eastAsia="zh-CN"/>
                    </w:rPr>
                  </w:pPr>
                  <w:r>
                    <w:rPr>
                      <w:rFonts w:hint="eastAsia"/>
                      <w:szCs w:val="21"/>
                      <w:lang w:val="en-US" w:eastAsia="zh-CN"/>
                    </w:rPr>
                    <w:t>74.77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719" w:type="dxa"/>
                  <w:vAlign w:val="center"/>
                </w:tcPr>
                <w:p>
                  <w:pPr>
                    <w:adjustRightInd w:val="0"/>
                    <w:snapToGrid w:val="0"/>
                    <w:spacing w:line="240" w:lineRule="auto"/>
                    <w:jc w:val="center"/>
                    <w:rPr>
                      <w:rFonts w:hint="eastAsia" w:ascii="Times New Roman" w:hAnsi="Times New Roman" w:eastAsia="宋体"/>
                      <w:szCs w:val="21"/>
                      <w:lang w:eastAsia="zh-CN"/>
                    </w:rPr>
                  </w:pPr>
                  <w:r>
                    <w:rPr>
                      <w:rFonts w:hint="eastAsia" w:ascii="Times New Roman" w:hAnsi="Times New Roman" w:eastAsia="宋体"/>
                      <w:szCs w:val="21"/>
                      <w:lang w:val="en-US" w:eastAsia="zh-CN"/>
                    </w:rPr>
                    <w:t>6</w:t>
                  </w:r>
                </w:p>
              </w:tc>
              <w:tc>
                <w:tcPr>
                  <w:tcW w:w="1458" w:type="dxa"/>
                  <w:vAlign w:val="center"/>
                </w:tcPr>
                <w:p>
                  <w:pPr>
                    <w:spacing w:line="240" w:lineRule="auto"/>
                    <w:jc w:val="center"/>
                    <w:rPr>
                      <w:rFonts w:hint="eastAsia" w:ascii="Times New Roman" w:hAnsi="Times New Roman" w:eastAsia="宋体"/>
                      <w:szCs w:val="21"/>
                      <w:lang w:eastAsia="zh-CN"/>
                    </w:rPr>
                  </w:pPr>
                  <w:r>
                    <w:rPr>
                      <w:rFonts w:hint="eastAsia" w:ascii="Times New Roman" w:hAnsi="Times New Roman" w:eastAsia="宋体"/>
                      <w:kern w:val="0"/>
                      <w:lang w:eastAsia="zh-CN"/>
                    </w:rPr>
                    <w:t>焊机</w:t>
                  </w:r>
                </w:p>
              </w:tc>
              <w:tc>
                <w:tcPr>
                  <w:tcW w:w="1944" w:type="dxa"/>
                  <w:vAlign w:val="center"/>
                </w:tcPr>
                <w:p>
                  <w:pPr>
                    <w:adjustRightInd w:val="0"/>
                    <w:snapToGrid w:val="0"/>
                    <w:spacing w:line="240" w:lineRule="auto"/>
                    <w:jc w:val="center"/>
                    <w:rPr>
                      <w:rFonts w:hint="default" w:ascii="Times New Roman" w:hAnsi="Times New Roman" w:eastAsia="宋体"/>
                      <w:szCs w:val="21"/>
                      <w:lang w:val="en-US" w:eastAsia="zh-CN"/>
                    </w:rPr>
                  </w:pPr>
                  <w:r>
                    <w:rPr>
                      <w:rFonts w:hint="eastAsia"/>
                      <w:szCs w:val="21"/>
                      <w:lang w:val="en-US" w:eastAsia="zh-CN"/>
                    </w:rPr>
                    <w:t>75</w:t>
                  </w:r>
                </w:p>
              </w:tc>
              <w:tc>
                <w:tcPr>
                  <w:tcW w:w="1418" w:type="dxa"/>
                  <w:vAlign w:val="center"/>
                </w:tcPr>
                <w:p>
                  <w:pPr>
                    <w:adjustRightInd w:val="0"/>
                    <w:snapToGrid w:val="0"/>
                    <w:spacing w:line="240" w:lineRule="auto"/>
                    <w:jc w:val="center"/>
                    <w:rPr>
                      <w:rFonts w:hint="eastAsia" w:ascii="Times New Roman" w:hAnsi="Times New Roman" w:eastAsia="宋体"/>
                      <w:szCs w:val="21"/>
                      <w:lang w:val="en-US" w:eastAsia="zh-CN"/>
                    </w:rPr>
                  </w:pPr>
                  <w:r>
                    <w:rPr>
                      <w:rFonts w:hint="eastAsia" w:ascii="Times New Roman" w:hAnsi="Times New Roman" w:eastAsia="宋体"/>
                      <w:szCs w:val="21"/>
                      <w:lang w:val="en-US" w:eastAsia="zh-CN"/>
                    </w:rPr>
                    <w:t>1</w:t>
                  </w:r>
                </w:p>
              </w:tc>
              <w:tc>
                <w:tcPr>
                  <w:tcW w:w="1488" w:type="dxa"/>
                  <w:vMerge w:val="continue"/>
                  <w:shd w:val="clear" w:color="auto" w:fill="auto"/>
                  <w:vAlign w:val="center"/>
                </w:tcPr>
                <w:p>
                  <w:pPr>
                    <w:adjustRightInd w:val="0"/>
                    <w:snapToGrid w:val="0"/>
                    <w:spacing w:line="240" w:lineRule="auto"/>
                    <w:jc w:val="center"/>
                    <w:rPr>
                      <w:rFonts w:ascii="Times New Roman" w:hAnsi="Times New Roman" w:eastAsia="宋体"/>
                      <w:szCs w:val="21"/>
                    </w:rPr>
                  </w:pPr>
                </w:p>
              </w:tc>
              <w:tc>
                <w:tcPr>
                  <w:tcW w:w="2063" w:type="dxa"/>
                  <w:tcBorders>
                    <w:top w:val="single" w:color="auto" w:sz="4" w:space="0"/>
                  </w:tcBorders>
                  <w:shd w:val="clear" w:color="auto" w:fill="auto"/>
                  <w:vAlign w:val="center"/>
                </w:tcPr>
                <w:p>
                  <w:pPr>
                    <w:adjustRightInd w:val="0"/>
                    <w:snapToGrid w:val="0"/>
                    <w:spacing w:line="240" w:lineRule="auto"/>
                    <w:jc w:val="center"/>
                    <w:rPr>
                      <w:rFonts w:hint="default" w:ascii="Times New Roman" w:hAnsi="Times New Roman" w:eastAsia="宋体"/>
                      <w:szCs w:val="21"/>
                      <w:lang w:val="en-US" w:eastAsia="zh-CN"/>
                    </w:rPr>
                  </w:pPr>
                  <w:r>
                    <w:rPr>
                      <w:rFonts w:hint="eastAsia"/>
                      <w:szCs w:val="21"/>
                      <w:lang w:val="en-US" w:eastAsia="zh-CN"/>
                    </w:rPr>
                    <w:t>55</w:t>
                  </w:r>
                </w:p>
              </w:tc>
            </w:tr>
          </w:tbl>
          <w:p>
            <w:pPr>
              <w:spacing w:beforeLines="50" w:line="360" w:lineRule="auto"/>
              <w:ind w:firstLine="482"/>
              <w:rPr>
                <w:rFonts w:ascii="Times New Roman" w:hAnsi="Times New Roman" w:eastAsia="宋体"/>
                <w:b/>
                <w:sz w:val="24"/>
              </w:rPr>
            </w:pPr>
            <w:r>
              <w:rPr>
                <w:rFonts w:ascii="Times New Roman" w:hAnsi="Times New Roman" w:eastAsia="宋体"/>
                <w:b/>
                <w:sz w:val="24"/>
              </w:rPr>
              <w:t>4、固废污染因素分析</w:t>
            </w:r>
          </w:p>
          <w:p>
            <w:pPr>
              <w:spacing w:line="360" w:lineRule="auto"/>
              <w:ind w:firstLine="480"/>
              <w:rPr>
                <w:rFonts w:hint="eastAsia" w:ascii="Times New Roman" w:hAnsi="Times New Roman" w:eastAsia="宋体"/>
                <w:bCs/>
                <w:sz w:val="24"/>
                <w:lang w:eastAsia="zh-CN"/>
              </w:rPr>
            </w:pPr>
            <w:r>
              <w:rPr>
                <w:rFonts w:ascii="Times New Roman" w:hAnsi="Times New Roman" w:eastAsia="宋体"/>
                <w:bCs/>
                <w:sz w:val="24"/>
              </w:rPr>
              <w:t>本项目</w:t>
            </w:r>
            <w:r>
              <w:rPr>
                <w:rFonts w:hint="eastAsia" w:ascii="Times New Roman" w:hAnsi="Times New Roman" w:eastAsia="宋体"/>
                <w:bCs/>
                <w:sz w:val="24"/>
                <w:lang w:eastAsia="zh-CN"/>
              </w:rPr>
              <w:t>一般固废主要为金属废料、废金属粉和职工生活垃圾。危险废物主要为废乳化液、废机油。</w:t>
            </w:r>
          </w:p>
          <w:p>
            <w:pPr>
              <w:spacing w:line="360" w:lineRule="auto"/>
              <w:ind w:firstLine="480" w:firstLineChars="200"/>
              <w:rPr>
                <w:rFonts w:ascii="Times New Roman" w:hAnsi="Times New Roman" w:eastAsia="宋体"/>
                <w:color w:val="000000"/>
                <w:sz w:val="24"/>
              </w:rPr>
            </w:pPr>
            <w:r>
              <w:rPr>
                <w:rFonts w:ascii="Times New Roman" w:hAnsi="Times New Roman" w:eastAsia="宋体"/>
                <w:color w:val="000000"/>
                <w:sz w:val="24"/>
              </w:rPr>
              <w:t>（1）</w:t>
            </w:r>
            <w:r>
              <w:rPr>
                <w:rFonts w:hint="eastAsia" w:ascii="Times New Roman" w:hAnsi="Times New Roman" w:eastAsia="宋体"/>
                <w:color w:val="000000"/>
                <w:sz w:val="24"/>
              </w:rPr>
              <w:t>一般固废</w:t>
            </w:r>
          </w:p>
          <w:p>
            <w:pPr>
              <w:spacing w:line="360" w:lineRule="auto"/>
              <w:ind w:firstLine="480"/>
              <w:rPr>
                <w:rFonts w:hint="default" w:ascii="Times New Roman" w:hAnsi="Times New Roman" w:eastAsia="宋体" w:cs="Times New Roman"/>
                <w:bCs/>
                <w:sz w:val="24"/>
              </w:rPr>
            </w:pPr>
            <w:r>
              <w:rPr>
                <w:rFonts w:hint="eastAsia" w:ascii="Times New Roman" w:hAnsi="Times New Roman" w:eastAsia="宋体" w:cs="Times New Roman"/>
                <w:bCs/>
                <w:sz w:val="24"/>
                <w:lang w:eastAsia="zh-CN"/>
              </w:rPr>
              <w:t>①生活垃圾：</w:t>
            </w:r>
            <w:r>
              <w:rPr>
                <w:rFonts w:hint="default" w:ascii="Times New Roman" w:hAnsi="Times New Roman" w:eastAsia="宋体" w:cs="Times New Roman"/>
                <w:bCs/>
                <w:sz w:val="24"/>
                <w:lang w:eastAsia="zh-CN"/>
              </w:rPr>
              <w:t>项目职工人数</w:t>
            </w:r>
            <w:r>
              <w:rPr>
                <w:rFonts w:hint="eastAsia" w:ascii="Times New Roman" w:hAnsi="Times New Roman" w:eastAsia="宋体" w:cs="Times New Roman"/>
                <w:bCs/>
                <w:sz w:val="24"/>
                <w:lang w:val="en-US" w:eastAsia="zh-CN"/>
              </w:rPr>
              <w:t>20人</w:t>
            </w:r>
            <w:r>
              <w:rPr>
                <w:rFonts w:hint="default" w:ascii="Times New Roman" w:hAnsi="Times New Roman" w:eastAsia="宋体" w:cs="Times New Roman"/>
                <w:bCs/>
                <w:sz w:val="24"/>
                <w:lang w:eastAsia="zh-CN"/>
              </w:rPr>
              <w:t>，</w:t>
            </w:r>
            <w:r>
              <w:rPr>
                <w:rFonts w:hint="default" w:ascii="Times New Roman" w:hAnsi="Times New Roman" w:eastAsia="宋体" w:cs="Times New Roman"/>
                <w:bCs/>
                <w:sz w:val="24"/>
                <w:lang w:val="zh-CN" w:eastAsia="zh-CN"/>
              </w:rPr>
              <w:t>年工作</w:t>
            </w:r>
            <w:r>
              <w:rPr>
                <w:rFonts w:hint="default" w:ascii="Times New Roman" w:hAnsi="Times New Roman" w:eastAsia="宋体" w:cs="Times New Roman"/>
                <w:bCs/>
                <w:sz w:val="24"/>
                <w:lang w:val="en-US" w:eastAsia="zh-CN"/>
              </w:rPr>
              <w:t>300</w:t>
            </w:r>
            <w:r>
              <w:rPr>
                <w:rFonts w:hint="default" w:ascii="Times New Roman" w:hAnsi="Times New Roman" w:eastAsia="宋体" w:cs="Times New Roman"/>
                <w:bCs/>
                <w:sz w:val="24"/>
                <w:lang w:val="zh-CN" w:eastAsia="zh-CN"/>
              </w:rPr>
              <w:t>天，白班8小时</w:t>
            </w:r>
            <w:r>
              <w:rPr>
                <w:rFonts w:hint="default" w:ascii="Times New Roman" w:hAnsi="Times New Roman" w:eastAsia="宋体" w:cs="Times New Roman"/>
                <w:bCs/>
                <w:sz w:val="24"/>
                <w:lang w:val="en-US" w:eastAsia="zh-CN"/>
              </w:rPr>
              <w:t>/天</w:t>
            </w:r>
            <w:r>
              <w:rPr>
                <w:rFonts w:hint="default" w:ascii="Times New Roman" w:hAnsi="Times New Roman" w:eastAsia="宋体" w:cs="Times New Roman"/>
                <w:bCs/>
                <w:sz w:val="24"/>
                <w:lang w:val="zh-CN" w:eastAsia="zh-CN"/>
              </w:rPr>
              <w:t>；</w:t>
            </w:r>
            <w:r>
              <w:rPr>
                <w:rFonts w:hint="default" w:ascii="Times New Roman" w:hAnsi="Times New Roman" w:eastAsia="宋体" w:cs="Times New Roman"/>
                <w:bCs/>
                <w:sz w:val="24"/>
              </w:rPr>
              <w:t>职工生活垃圾按每人0.5kg/天计。生活垃圾年总产生量约为</w:t>
            </w:r>
            <w:r>
              <w:rPr>
                <w:rFonts w:hint="eastAsia" w:ascii="Times New Roman" w:hAnsi="Times New Roman" w:eastAsia="宋体" w:cs="Times New Roman"/>
                <w:bCs/>
                <w:sz w:val="24"/>
                <w:lang w:val="en-US" w:eastAsia="zh-CN"/>
              </w:rPr>
              <w:t>10kg/d，3</w:t>
            </w:r>
            <w:r>
              <w:rPr>
                <w:rFonts w:hint="default" w:ascii="Times New Roman" w:hAnsi="Times New Roman" w:eastAsia="宋体" w:cs="Times New Roman"/>
                <w:bCs/>
                <w:sz w:val="24"/>
              </w:rPr>
              <w:t>t/a，</w:t>
            </w:r>
            <w:r>
              <w:rPr>
                <w:rFonts w:hint="eastAsia" w:cs="Times New Roman"/>
                <w:bCs/>
                <w:sz w:val="24"/>
                <w:lang w:eastAsia="zh-CN"/>
              </w:rPr>
              <w:t>环卫部门定期收集</w:t>
            </w:r>
            <w:r>
              <w:rPr>
                <w:rFonts w:hint="default" w:ascii="Times New Roman" w:hAnsi="Times New Roman" w:eastAsia="宋体" w:cs="Times New Roman"/>
                <w:bCs/>
                <w:sz w:val="24"/>
              </w:rPr>
              <w:t>送往当地垃圾中转站，集中处置。</w:t>
            </w:r>
          </w:p>
          <w:p>
            <w:pPr>
              <w:spacing w:line="360" w:lineRule="auto"/>
              <w:ind w:firstLine="480"/>
              <w:rPr>
                <w:rFonts w:hint="eastAsia" w:ascii="Times New Roman" w:hAnsi="Times New Roman" w:eastAsia="宋体" w:cs="Times New Roman"/>
                <w:bCs/>
                <w:sz w:val="24"/>
                <w:lang w:val="en-US" w:eastAsia="zh-CN"/>
              </w:rPr>
            </w:pPr>
            <w:r>
              <w:rPr>
                <w:rFonts w:hint="eastAsia" w:ascii="Times New Roman" w:hAnsi="Times New Roman" w:eastAsia="宋体" w:cs="Times New Roman"/>
                <w:bCs/>
                <w:sz w:val="24"/>
              </w:rPr>
              <w:t>②</w:t>
            </w:r>
            <w:r>
              <w:rPr>
                <w:rFonts w:hint="eastAsia" w:ascii="Times New Roman" w:hAnsi="Times New Roman" w:eastAsia="宋体" w:cs="Times New Roman"/>
                <w:bCs/>
                <w:sz w:val="24"/>
                <w:lang w:eastAsia="zh-CN"/>
              </w:rPr>
              <w:t>金属废料：项目</w:t>
            </w:r>
            <w:r>
              <w:rPr>
                <w:rFonts w:hint="default" w:ascii="Times New Roman" w:hAnsi="Times New Roman" w:eastAsia="宋体" w:cs="Times New Roman"/>
                <w:bCs/>
                <w:sz w:val="24"/>
              </w:rPr>
              <w:t>工程原料用量为</w:t>
            </w:r>
            <w:r>
              <w:rPr>
                <w:rFonts w:hint="eastAsia" w:ascii="Times New Roman" w:hAnsi="Times New Roman" w:eastAsia="宋体" w:cs="Times New Roman"/>
                <w:bCs/>
                <w:sz w:val="24"/>
                <w:lang w:val="en-US" w:eastAsia="zh-CN"/>
              </w:rPr>
              <w:t>10000</w:t>
            </w:r>
            <w:r>
              <w:rPr>
                <w:rFonts w:hint="default" w:ascii="Times New Roman" w:hAnsi="Times New Roman" w:eastAsia="宋体" w:cs="Times New Roman"/>
                <w:bCs/>
                <w:sz w:val="24"/>
              </w:rPr>
              <w:t>t/a，根据企业生产经验系数，</w:t>
            </w:r>
            <w:r>
              <w:rPr>
                <w:rFonts w:hint="eastAsia" w:ascii="Times New Roman" w:hAnsi="Times New Roman" w:eastAsia="宋体" w:cs="Times New Roman"/>
                <w:bCs/>
                <w:sz w:val="24"/>
                <w:lang w:eastAsia="zh-CN"/>
              </w:rPr>
              <w:t>边角余料产生量约为原料用量的</w:t>
            </w:r>
            <w:r>
              <w:rPr>
                <w:rFonts w:hint="eastAsia" w:ascii="Times New Roman" w:hAnsi="Times New Roman" w:eastAsia="宋体" w:cs="Times New Roman"/>
                <w:bCs/>
                <w:sz w:val="24"/>
                <w:lang w:val="en-US" w:eastAsia="zh-CN"/>
              </w:rPr>
              <w:t>0.3%，则本项目金属废料产生量约为30t/a。定期交由废品回收站回收处理。</w:t>
            </w:r>
          </w:p>
          <w:p>
            <w:pPr>
              <w:spacing w:line="360" w:lineRule="auto"/>
              <w:ind w:firstLine="480"/>
              <w:rPr>
                <w:rFonts w:hint="eastAsia" w:ascii="Times New Roman" w:hAnsi="Times New Roman" w:eastAsia="宋体" w:cs="Times New Roman"/>
                <w:bCs/>
                <w:sz w:val="24"/>
                <w:lang w:eastAsia="zh-CN"/>
              </w:rPr>
            </w:pPr>
            <w:r>
              <w:rPr>
                <w:rFonts w:hint="default" w:ascii="Times New Roman" w:hAnsi="Times New Roman" w:eastAsia="宋体" w:cs="Times New Roman"/>
                <w:bCs/>
                <w:sz w:val="24"/>
                <w:lang w:val="en-US" w:eastAsia="zh-CN"/>
              </w:rPr>
              <w:t>③</w:t>
            </w:r>
            <w:r>
              <w:rPr>
                <w:rFonts w:hint="eastAsia" w:ascii="Times New Roman" w:hAnsi="Times New Roman" w:eastAsia="宋体" w:cs="Times New Roman"/>
                <w:bCs/>
                <w:sz w:val="24"/>
                <w:lang w:eastAsia="zh-CN"/>
              </w:rPr>
              <w:t>项目建设完成后，焊接烟尘除尘器收集颗粒物和车间自然沉降颗粒物为约</w:t>
            </w:r>
            <w:r>
              <w:rPr>
                <w:rFonts w:hint="eastAsia" w:ascii="Times New Roman" w:hAnsi="Times New Roman" w:cs="Times New Roman"/>
                <w:bCs/>
                <w:sz w:val="24"/>
                <w:lang w:val="en-US" w:eastAsia="zh-CN"/>
              </w:rPr>
              <w:t>1.93328</w:t>
            </w:r>
            <w:r>
              <w:rPr>
                <w:rFonts w:hint="eastAsia" w:ascii="Times New Roman" w:hAnsi="Times New Roman" w:eastAsia="宋体" w:cs="Times New Roman"/>
                <w:bCs/>
                <w:sz w:val="24"/>
                <w:lang w:val="en-US" w:eastAsia="zh-CN"/>
              </w:rPr>
              <w:t>t/a。定期交由废品回收站回收处理。</w:t>
            </w:r>
          </w:p>
          <w:p>
            <w:pPr>
              <w:autoSpaceDE w:val="0"/>
              <w:autoSpaceDN w:val="0"/>
              <w:adjustRightInd w:val="0"/>
              <w:spacing w:line="360" w:lineRule="auto"/>
              <w:ind w:firstLine="588" w:firstLineChars="245"/>
              <w:jc w:val="left"/>
              <w:rPr>
                <w:rFonts w:ascii="Times New Roman" w:hAnsi="Times New Roman" w:eastAsia="宋体"/>
                <w:color w:val="000000"/>
                <w:sz w:val="24"/>
              </w:rPr>
            </w:pPr>
            <w:r>
              <w:rPr>
                <w:rFonts w:ascii="Times New Roman" w:hAnsi="Times New Roman" w:eastAsia="宋体"/>
                <w:color w:val="000000"/>
                <w:sz w:val="24"/>
              </w:rPr>
              <w:t>（</w:t>
            </w:r>
            <w:r>
              <w:rPr>
                <w:rFonts w:hint="eastAsia" w:ascii="Times New Roman" w:hAnsi="Times New Roman" w:eastAsia="宋体"/>
                <w:color w:val="000000"/>
                <w:sz w:val="24"/>
              </w:rPr>
              <w:t>2</w:t>
            </w:r>
            <w:r>
              <w:rPr>
                <w:rFonts w:ascii="Times New Roman" w:hAnsi="Times New Roman" w:eastAsia="宋体"/>
                <w:color w:val="000000"/>
                <w:sz w:val="24"/>
              </w:rPr>
              <w:t>）危险固废</w:t>
            </w:r>
          </w:p>
          <w:p>
            <w:pPr>
              <w:autoSpaceDE w:val="0"/>
              <w:autoSpaceDN w:val="0"/>
              <w:adjustRightInd w:val="0"/>
              <w:spacing w:line="360" w:lineRule="auto"/>
              <w:ind w:firstLine="588" w:firstLineChars="245"/>
              <w:jc w:val="left"/>
              <w:rPr>
                <w:rFonts w:ascii="Times New Roman" w:hAnsi="Times New Roman" w:eastAsia="宋体"/>
                <w:color w:val="000000"/>
                <w:sz w:val="24"/>
              </w:rPr>
            </w:pPr>
            <w:r>
              <w:rPr>
                <w:rFonts w:hint="eastAsia" w:ascii="Times New Roman" w:hAnsi="Times New Roman" w:eastAsia="宋体"/>
                <w:color w:val="000000"/>
                <w:sz w:val="24"/>
              </w:rPr>
              <w:t>本项目机加工设备在运行过程产生的危险固废有废乳化液、废机油等。</w:t>
            </w:r>
          </w:p>
          <w:p>
            <w:pPr>
              <w:autoSpaceDE w:val="0"/>
              <w:autoSpaceDN w:val="0"/>
              <w:adjustRightInd w:val="0"/>
              <w:spacing w:line="360" w:lineRule="auto"/>
              <w:ind w:firstLine="588" w:firstLineChars="245"/>
              <w:jc w:val="left"/>
              <w:rPr>
                <w:rFonts w:ascii="Times New Roman" w:hAnsi="Times New Roman" w:eastAsia="宋体"/>
                <w:color w:val="000000"/>
                <w:sz w:val="24"/>
              </w:rPr>
            </w:pPr>
            <w:r>
              <w:rPr>
                <w:rFonts w:hint="eastAsia" w:ascii="Times New Roman" w:hAnsi="Times New Roman" w:eastAsia="宋体"/>
                <w:color w:val="000000"/>
                <w:sz w:val="24"/>
              </w:rPr>
              <w:t>①废乳化液</w:t>
            </w:r>
          </w:p>
          <w:p>
            <w:pPr>
              <w:spacing w:line="360" w:lineRule="auto"/>
              <w:ind w:firstLine="480" w:firstLineChars="200"/>
              <w:rPr>
                <w:rFonts w:ascii="Times New Roman" w:hAnsi="Times New Roman" w:eastAsia="宋体"/>
                <w:color w:val="000000"/>
                <w:sz w:val="24"/>
              </w:rPr>
            </w:pPr>
            <w:r>
              <w:rPr>
                <w:rFonts w:hint="eastAsia" w:ascii="Times New Roman" w:hAnsi="Times New Roman" w:eastAsia="宋体"/>
                <w:color w:val="000000"/>
                <w:sz w:val="24"/>
              </w:rPr>
              <w:t>项目设备在</w:t>
            </w:r>
            <w:r>
              <w:rPr>
                <w:rFonts w:hint="eastAsia" w:ascii="Times New Roman" w:hAnsi="Times New Roman" w:eastAsia="宋体"/>
                <w:color w:val="000000"/>
                <w:sz w:val="24"/>
                <w:lang w:eastAsia="zh-CN"/>
              </w:rPr>
              <w:t>机</w:t>
            </w:r>
            <w:r>
              <w:rPr>
                <w:rFonts w:hint="eastAsia" w:ascii="Times New Roman" w:hAnsi="Times New Roman" w:eastAsia="宋体"/>
                <w:color w:val="000000"/>
                <w:sz w:val="24"/>
              </w:rPr>
              <w:t>加工工序中需要使用乳化液进行冷却、润滑以及防锈，保护机械设备。由于在使用过程中粘带入边角料及废金属屑，经过滤后循环使用，定期补充，但循环使用一定时间后需更换，高温季节频次较高。项目设备进厂后由厂家配设乳化液，一般运行两年后需要更换，更换下来的废乳化液为危险废物，根据</w:t>
            </w:r>
            <w:r>
              <w:rPr>
                <w:rFonts w:hint="eastAsia" w:ascii="Times New Roman" w:hAnsi="Times New Roman" w:eastAsia="宋体"/>
                <w:color w:val="000000"/>
                <w:sz w:val="24"/>
                <w:lang w:eastAsia="zh-CN"/>
              </w:rPr>
              <w:t>同类厂家</w:t>
            </w:r>
            <w:r>
              <w:rPr>
                <w:rFonts w:hint="eastAsia" w:ascii="Times New Roman" w:hAnsi="Times New Roman" w:eastAsia="宋体"/>
                <w:color w:val="000000"/>
                <w:sz w:val="24"/>
              </w:rPr>
              <w:t>经验数据可知，废乳化液的产生量约为0.</w:t>
            </w:r>
            <w:r>
              <w:rPr>
                <w:rFonts w:hint="eastAsia" w:ascii="Times New Roman" w:hAnsi="Times New Roman" w:eastAsia="宋体"/>
                <w:color w:val="000000"/>
                <w:sz w:val="24"/>
                <w:lang w:val="en-US" w:eastAsia="zh-CN"/>
              </w:rPr>
              <w:t>1</w:t>
            </w:r>
            <w:r>
              <w:rPr>
                <w:rFonts w:hint="eastAsia" w:ascii="Times New Roman" w:hAnsi="Times New Roman" w:eastAsia="宋体"/>
                <w:color w:val="000000"/>
                <w:sz w:val="24"/>
              </w:rPr>
              <w:t>t/</w:t>
            </w:r>
            <w:r>
              <w:rPr>
                <w:rFonts w:hint="eastAsia" w:ascii="Times New Roman" w:hAnsi="Times New Roman" w:eastAsia="宋体"/>
                <w:color w:val="000000"/>
                <w:sz w:val="24"/>
                <w:lang w:val="en-US" w:eastAsia="zh-CN"/>
              </w:rPr>
              <w:t>a</w:t>
            </w:r>
            <w:r>
              <w:rPr>
                <w:rFonts w:hint="eastAsia" w:ascii="Times New Roman" w:hAnsi="Times New Roman" w:eastAsia="宋体"/>
                <w:color w:val="000000"/>
                <w:sz w:val="24"/>
              </w:rPr>
              <w:t>。</w:t>
            </w:r>
          </w:p>
          <w:p>
            <w:pPr>
              <w:spacing w:line="360" w:lineRule="auto"/>
              <w:ind w:firstLine="480" w:firstLineChars="200"/>
              <w:rPr>
                <w:rFonts w:ascii="Times New Roman" w:hAnsi="Times New Roman" w:eastAsia="宋体"/>
                <w:color w:val="000000"/>
                <w:sz w:val="24"/>
              </w:rPr>
            </w:pPr>
            <w:r>
              <w:rPr>
                <w:rFonts w:ascii="Times New Roman" w:hAnsi="Times New Roman" w:eastAsia="宋体"/>
                <w:color w:val="000000"/>
                <w:sz w:val="24"/>
              </w:rPr>
              <w:t>②</w:t>
            </w:r>
            <w:r>
              <w:rPr>
                <w:rFonts w:hint="eastAsia" w:ascii="Times New Roman" w:hAnsi="Times New Roman" w:eastAsia="宋体"/>
                <w:color w:val="000000"/>
                <w:sz w:val="24"/>
              </w:rPr>
              <w:t>废机油</w:t>
            </w:r>
          </w:p>
          <w:p>
            <w:pPr>
              <w:spacing w:line="360" w:lineRule="auto"/>
              <w:ind w:firstLine="480" w:firstLineChars="200"/>
              <w:rPr>
                <w:rFonts w:ascii="Times New Roman" w:hAnsi="Times New Roman" w:eastAsia="宋体"/>
                <w:sz w:val="24"/>
              </w:rPr>
            </w:pPr>
            <w:r>
              <w:rPr>
                <w:rFonts w:ascii="Times New Roman" w:hAnsi="Times New Roman" w:eastAsia="宋体"/>
                <w:sz w:val="24"/>
              </w:rPr>
              <w:t>机油作为机械设备的润滑用油，由于设备高速运转磨擦产生的少量微小铁粒会在机油中沉积，故隔一定时间后需对其进行更换。</w:t>
            </w:r>
            <w:r>
              <w:rPr>
                <w:rFonts w:ascii="Times New Roman" w:hAnsi="Times New Roman" w:eastAsia="宋体"/>
                <w:color w:val="000000"/>
                <w:sz w:val="24"/>
              </w:rPr>
              <w:t>类比</w:t>
            </w:r>
            <w:r>
              <w:rPr>
                <w:rFonts w:hint="eastAsia" w:ascii="Times New Roman" w:hAnsi="Times New Roman" w:eastAsia="宋体"/>
                <w:color w:val="000000"/>
                <w:sz w:val="24"/>
              </w:rPr>
              <w:t>同类项目和企业的实际</w:t>
            </w:r>
            <w:r>
              <w:rPr>
                <w:rFonts w:ascii="Times New Roman" w:hAnsi="Times New Roman" w:eastAsia="宋体"/>
                <w:color w:val="000000"/>
                <w:sz w:val="24"/>
              </w:rPr>
              <w:t>生产经验</w:t>
            </w:r>
            <w:r>
              <w:rPr>
                <w:rFonts w:hint="eastAsia" w:ascii="Times New Roman" w:hAnsi="Times New Roman" w:eastAsia="宋体"/>
                <w:color w:val="000000"/>
                <w:sz w:val="24"/>
              </w:rPr>
              <w:t>数据，新增机加工设备在运行过程</w:t>
            </w:r>
            <w:r>
              <w:rPr>
                <w:rFonts w:ascii="Times New Roman" w:hAnsi="Times New Roman" w:eastAsia="宋体"/>
                <w:color w:val="000000"/>
                <w:sz w:val="24"/>
              </w:rPr>
              <w:t>产生的废机</w:t>
            </w:r>
            <w:r>
              <w:rPr>
                <w:rFonts w:ascii="Times New Roman" w:hAnsi="Times New Roman" w:eastAsia="宋体"/>
                <w:sz w:val="24"/>
              </w:rPr>
              <w:t>油约为0.</w:t>
            </w:r>
            <w:r>
              <w:rPr>
                <w:rFonts w:hint="eastAsia" w:ascii="Times New Roman" w:hAnsi="Times New Roman" w:eastAsia="宋体"/>
                <w:sz w:val="24"/>
                <w:lang w:val="en-US" w:eastAsia="zh-CN"/>
              </w:rPr>
              <w:t>05</w:t>
            </w:r>
            <w:r>
              <w:rPr>
                <w:rFonts w:ascii="Times New Roman" w:hAnsi="Times New Roman" w:eastAsia="宋体"/>
                <w:sz w:val="24"/>
              </w:rPr>
              <w:t>t/a。</w:t>
            </w:r>
          </w:p>
          <w:p>
            <w:pPr>
              <w:pStyle w:val="35"/>
              <w:spacing w:line="360" w:lineRule="auto"/>
              <w:ind w:firstLine="480"/>
              <w:rPr>
                <w:rFonts w:ascii="Times New Roman" w:hAnsi="Times New Roman" w:eastAsia="宋体" w:cs="Times New Roman"/>
              </w:rPr>
            </w:pPr>
            <w:r>
              <w:rPr>
                <w:rFonts w:ascii="Times New Roman" w:hAnsi="Times New Roman" w:eastAsia="宋体"/>
                <w:color w:val="000000"/>
              </w:rPr>
              <w:t>根据《国家危险废物名录》，本项目所产生的废机械油、废乳化液均属危险废物，</w:t>
            </w:r>
            <w:r>
              <w:rPr>
                <w:rFonts w:hint="eastAsia" w:ascii="Times New Roman" w:hAnsi="Times New Roman" w:eastAsia="宋体"/>
                <w:color w:val="000000"/>
              </w:rPr>
              <w:t>废机油</w:t>
            </w:r>
            <w:r>
              <w:rPr>
                <w:rFonts w:ascii="Times New Roman" w:hAnsi="Times New Roman" w:eastAsia="宋体"/>
                <w:color w:val="000000"/>
              </w:rPr>
              <w:t>编号为HW08</w:t>
            </w:r>
            <w:r>
              <w:rPr>
                <w:rFonts w:hint="eastAsia" w:ascii="Times New Roman" w:hAnsi="Times New Roman" w:eastAsia="宋体"/>
                <w:color w:val="000000"/>
              </w:rPr>
              <w:t>、废乳化液编号为</w:t>
            </w:r>
            <w:r>
              <w:rPr>
                <w:rFonts w:ascii="Times New Roman" w:hAnsi="Times New Roman" w:eastAsia="宋体"/>
                <w:color w:val="000000"/>
              </w:rPr>
              <w:t>HW0</w:t>
            </w:r>
            <w:r>
              <w:rPr>
                <w:rFonts w:hint="eastAsia" w:ascii="Times New Roman" w:hAnsi="Times New Roman" w:eastAsia="宋体"/>
                <w:color w:val="000000"/>
              </w:rPr>
              <w:t>9</w:t>
            </w:r>
            <w:r>
              <w:rPr>
                <w:rFonts w:ascii="Times New Roman" w:hAnsi="Times New Roman" w:eastAsia="宋体"/>
                <w:color w:val="000000"/>
              </w:rPr>
              <w:t>，</w:t>
            </w:r>
            <w:r>
              <w:rPr>
                <w:rFonts w:ascii="Times New Roman" w:hAnsi="Times New Roman" w:eastAsia="宋体"/>
              </w:rPr>
              <w:t>须按《危险废物贮存污染控制标准》进行贮存。危险固废</w:t>
            </w:r>
            <w:r>
              <w:rPr>
                <w:rFonts w:ascii="Times New Roman" w:hAnsi="Times New Roman" w:eastAsia="宋体"/>
                <w:bCs/>
              </w:rPr>
              <w:t>在厂区集中收集、储存于专用桶中，定期交由资质单位回收处理，</w:t>
            </w:r>
            <w:r>
              <w:rPr>
                <w:rFonts w:ascii="Times New Roman" w:hAnsi="Times New Roman" w:eastAsia="宋体"/>
              </w:rPr>
              <w:t>不得随意倾倒、外排，或外卖给其他无危险废物处理资质的单位或者个人。并应加强管理，严防危废在产生、贮存、运输过程中发生跑、冒、滴、漏现象。项目在试生产验收前，应与有危废处置资质的单位签订相关协议。</w:t>
            </w:r>
          </w:p>
          <w:p>
            <w:pPr>
              <w:keepNext w:val="0"/>
              <w:keepLines w:val="0"/>
              <w:pageBreakBefore w:val="0"/>
              <w:kinsoku/>
              <w:wordWrap/>
              <w:overflowPunct/>
              <w:topLinePunct w:val="0"/>
              <w:autoSpaceDE/>
              <w:autoSpaceDN/>
              <w:bidi w:val="0"/>
              <w:adjustRightInd/>
              <w:spacing w:line="520" w:lineRule="exact"/>
              <w:ind w:firstLine="480" w:firstLineChars="200"/>
              <w:textAlignment w:val="auto"/>
              <w:rPr>
                <w:sz w:val="24"/>
                <w:szCs w:val="24"/>
              </w:rPr>
            </w:pPr>
            <w:r>
              <w:rPr>
                <w:rFonts w:hAnsi="宋体"/>
                <w:sz w:val="24"/>
                <w:szCs w:val="24"/>
              </w:rPr>
              <w:t>本项目危险废物收集后，建设单位须按《危险废物贮存污染控制标准》（</w:t>
            </w:r>
            <w:r>
              <w:rPr>
                <w:sz w:val="24"/>
                <w:szCs w:val="24"/>
              </w:rPr>
              <w:t>GB18597-2001</w:t>
            </w:r>
            <w:r>
              <w:rPr>
                <w:rFonts w:hAnsi="宋体"/>
                <w:sz w:val="24"/>
                <w:szCs w:val="24"/>
              </w:rPr>
              <w:t>）及其修改单进行贮存，环评要求专用收集桶收集，并委托有危废处置资质单位进行安全处置。危险废物的暂存要求严格按照环境保护部公告</w:t>
            </w:r>
            <w:r>
              <w:rPr>
                <w:sz w:val="24"/>
                <w:szCs w:val="24"/>
              </w:rPr>
              <w:t>2017</w:t>
            </w:r>
            <w:r>
              <w:rPr>
                <w:rFonts w:hAnsi="宋体"/>
                <w:sz w:val="24"/>
                <w:szCs w:val="24"/>
              </w:rPr>
              <w:t>年第</w:t>
            </w:r>
            <w:r>
              <w:rPr>
                <w:sz w:val="24"/>
                <w:szCs w:val="24"/>
              </w:rPr>
              <w:t>43</w:t>
            </w:r>
            <w:r>
              <w:rPr>
                <w:rFonts w:hAnsi="宋体"/>
                <w:sz w:val="24"/>
                <w:szCs w:val="24"/>
              </w:rPr>
              <w:t>号《建设项目危险废物环境影响评价指南》中的相关要求，做到</w:t>
            </w:r>
            <w:r>
              <w:rPr>
                <w:sz w:val="24"/>
                <w:szCs w:val="24"/>
              </w:rPr>
              <w:t>“</w:t>
            </w:r>
            <w:r>
              <w:rPr>
                <w:rFonts w:hAnsi="宋体"/>
                <w:sz w:val="24"/>
                <w:szCs w:val="24"/>
              </w:rPr>
              <w:t>四防</w:t>
            </w:r>
            <w:r>
              <w:rPr>
                <w:sz w:val="24"/>
                <w:szCs w:val="24"/>
              </w:rPr>
              <w:t>”</w:t>
            </w:r>
            <w:r>
              <w:rPr>
                <w:rFonts w:hAnsi="宋体"/>
                <w:sz w:val="24"/>
                <w:szCs w:val="24"/>
              </w:rPr>
              <w:t>（防风、防雨、防晒、防渗漏），严格做到防渗和渗漏收集措施，设置不同废物的警示标示。</w:t>
            </w:r>
          </w:p>
          <w:p>
            <w:pPr>
              <w:keepNext w:val="0"/>
              <w:keepLines w:val="0"/>
              <w:pageBreakBefore w:val="0"/>
              <w:kinsoku/>
              <w:wordWrap/>
              <w:overflowPunct/>
              <w:topLinePunct w:val="0"/>
              <w:autoSpaceDE/>
              <w:autoSpaceDN/>
              <w:bidi w:val="0"/>
              <w:adjustRightInd/>
              <w:spacing w:line="520" w:lineRule="exact"/>
              <w:ind w:firstLine="480" w:firstLineChars="200"/>
              <w:textAlignment w:val="auto"/>
              <w:rPr>
                <w:sz w:val="24"/>
                <w:szCs w:val="24"/>
              </w:rPr>
            </w:pPr>
            <w:r>
              <w:rPr>
                <w:rFonts w:hAnsi="宋体"/>
                <w:sz w:val="24"/>
                <w:szCs w:val="24"/>
              </w:rPr>
              <w:t>本项目营运后设置独立的危险固废暂存间，用于储存生产过程中产生的危险废物。</w:t>
            </w:r>
            <w:r>
              <w:rPr>
                <w:rFonts w:hAnsi="宋体"/>
                <w:color w:val="auto"/>
                <w:sz w:val="24"/>
                <w:szCs w:val="24"/>
              </w:rPr>
              <w:t>建筑面积</w:t>
            </w:r>
            <w:r>
              <w:rPr>
                <w:rFonts w:hint="eastAsia" w:hAnsi="宋体"/>
                <w:color w:val="auto"/>
                <w:sz w:val="24"/>
                <w:szCs w:val="24"/>
                <w:lang w:eastAsia="zh-CN"/>
              </w:rPr>
              <w:t>为</w:t>
            </w:r>
            <w:r>
              <w:rPr>
                <w:rFonts w:hint="eastAsia"/>
                <w:color w:val="auto"/>
                <w:sz w:val="24"/>
                <w:szCs w:val="24"/>
                <w:lang w:val="en-US" w:eastAsia="zh-CN"/>
              </w:rPr>
              <w:t>10</w:t>
            </w:r>
            <w:r>
              <w:rPr>
                <w:color w:val="auto"/>
                <w:sz w:val="24"/>
                <w:szCs w:val="24"/>
              </w:rPr>
              <w:t>m</w:t>
            </w:r>
            <w:r>
              <w:rPr>
                <w:color w:val="auto"/>
                <w:sz w:val="24"/>
                <w:szCs w:val="24"/>
                <w:vertAlign w:val="superscript"/>
              </w:rPr>
              <w:t>2</w:t>
            </w:r>
            <w:r>
              <w:rPr>
                <w:rFonts w:hAnsi="宋体"/>
                <w:color w:val="auto"/>
                <w:sz w:val="24"/>
                <w:szCs w:val="24"/>
              </w:rPr>
              <w:t>，</w:t>
            </w:r>
            <w:r>
              <w:rPr>
                <w:rFonts w:hAnsi="宋体"/>
                <w:sz w:val="24"/>
                <w:szCs w:val="24"/>
              </w:rPr>
              <w:t>地面进行防渗处理，按《危险废物贮存污染控制标准》（</w:t>
            </w:r>
            <w:r>
              <w:rPr>
                <w:sz w:val="24"/>
                <w:szCs w:val="24"/>
              </w:rPr>
              <w:t>GB18597-2001</w:t>
            </w:r>
            <w:r>
              <w:rPr>
                <w:rFonts w:hAnsi="宋体"/>
                <w:sz w:val="24"/>
                <w:szCs w:val="24"/>
              </w:rPr>
              <w:t>）及其修改单要求设置，即防渗层为至少</w:t>
            </w:r>
            <w:r>
              <w:rPr>
                <w:sz w:val="24"/>
                <w:szCs w:val="24"/>
              </w:rPr>
              <w:t>1m</w:t>
            </w:r>
            <w:r>
              <w:rPr>
                <w:rFonts w:hAnsi="宋体"/>
                <w:sz w:val="24"/>
                <w:szCs w:val="24"/>
              </w:rPr>
              <w:t>厚黏土层（渗透系数</w:t>
            </w:r>
            <w:r>
              <w:rPr>
                <w:sz w:val="24"/>
                <w:szCs w:val="24"/>
              </w:rPr>
              <w:t>≤10</w:t>
            </w:r>
            <w:r>
              <w:rPr>
                <w:sz w:val="24"/>
                <w:szCs w:val="24"/>
                <w:vertAlign w:val="superscript"/>
              </w:rPr>
              <w:t>-7</w:t>
            </w:r>
            <w:r>
              <w:rPr>
                <w:sz w:val="24"/>
                <w:szCs w:val="24"/>
              </w:rPr>
              <w:t>cm/s</w:t>
            </w:r>
            <w:r>
              <w:rPr>
                <w:rFonts w:hAnsi="宋体"/>
                <w:sz w:val="24"/>
                <w:szCs w:val="24"/>
              </w:rPr>
              <w:t>），或</w:t>
            </w:r>
            <w:r>
              <w:rPr>
                <w:sz w:val="24"/>
                <w:szCs w:val="24"/>
              </w:rPr>
              <w:t>2mm</w:t>
            </w:r>
            <w:r>
              <w:rPr>
                <w:rFonts w:hAnsi="宋体"/>
                <w:sz w:val="24"/>
                <w:szCs w:val="24"/>
              </w:rPr>
              <w:t>厚高密度聚乙烯，或至少</w:t>
            </w:r>
            <w:r>
              <w:rPr>
                <w:sz w:val="24"/>
                <w:szCs w:val="24"/>
              </w:rPr>
              <w:t>2mm</w:t>
            </w:r>
            <w:r>
              <w:rPr>
                <w:rFonts w:hAnsi="宋体"/>
                <w:sz w:val="24"/>
                <w:szCs w:val="24"/>
              </w:rPr>
              <w:t>厚的其他人工材料，渗透系数</w:t>
            </w:r>
            <w:r>
              <w:rPr>
                <w:sz w:val="24"/>
                <w:szCs w:val="24"/>
              </w:rPr>
              <w:t>≤10</w:t>
            </w:r>
            <w:r>
              <w:rPr>
                <w:sz w:val="24"/>
                <w:szCs w:val="24"/>
                <w:vertAlign w:val="superscript"/>
              </w:rPr>
              <w:t>-10</w:t>
            </w:r>
            <w:r>
              <w:rPr>
                <w:sz w:val="24"/>
                <w:szCs w:val="24"/>
              </w:rPr>
              <w:t>cm/s</w:t>
            </w:r>
            <w:r>
              <w:rPr>
                <w:rFonts w:hAnsi="宋体"/>
                <w:sz w:val="24"/>
                <w:szCs w:val="24"/>
              </w:rPr>
              <w:t>，做到四防要求。</w:t>
            </w:r>
          </w:p>
          <w:p>
            <w:pPr>
              <w:spacing w:line="520" w:lineRule="exact"/>
              <w:ind w:firstLine="480" w:firstLineChars="200"/>
              <w:rPr>
                <w:sz w:val="24"/>
                <w:szCs w:val="24"/>
              </w:rPr>
            </w:pPr>
            <w:r>
              <w:rPr>
                <w:rFonts w:hAnsi="宋体"/>
                <w:sz w:val="24"/>
                <w:szCs w:val="24"/>
              </w:rPr>
              <w:t>本项目对危险废物的收集、运输、贮存、管理以及转运应严格按照《危险废物污染防治技术政策》（环发【</w:t>
            </w:r>
            <w:r>
              <w:rPr>
                <w:sz w:val="24"/>
                <w:szCs w:val="24"/>
              </w:rPr>
              <w:t>2001</w:t>
            </w:r>
            <w:r>
              <w:rPr>
                <w:rFonts w:hAnsi="宋体"/>
                <w:sz w:val="24"/>
                <w:szCs w:val="24"/>
              </w:rPr>
              <w:t>】</w:t>
            </w:r>
            <w:r>
              <w:rPr>
                <w:sz w:val="24"/>
                <w:szCs w:val="24"/>
              </w:rPr>
              <w:t>199</w:t>
            </w:r>
            <w:r>
              <w:rPr>
                <w:rFonts w:hAnsi="宋体"/>
                <w:sz w:val="24"/>
                <w:szCs w:val="24"/>
              </w:rPr>
              <w:t>号）、《废物转移联单管理办法》（国家环境保护总局令第</w:t>
            </w:r>
            <w:r>
              <w:rPr>
                <w:sz w:val="24"/>
                <w:szCs w:val="24"/>
              </w:rPr>
              <w:t>55</w:t>
            </w:r>
            <w:r>
              <w:rPr>
                <w:rFonts w:hAnsi="宋体"/>
                <w:sz w:val="24"/>
                <w:szCs w:val="24"/>
              </w:rPr>
              <w:t>号）和《危险废物贮存污染控制标准》（</w:t>
            </w:r>
            <w:r>
              <w:rPr>
                <w:sz w:val="24"/>
                <w:szCs w:val="24"/>
              </w:rPr>
              <w:t>GB18597-2001</w:t>
            </w:r>
            <w:r>
              <w:rPr>
                <w:rFonts w:hAnsi="宋体"/>
                <w:sz w:val="24"/>
                <w:szCs w:val="24"/>
              </w:rPr>
              <w:t>）及其修改单实行，对危险废物外运采取防渗透、防泄漏、中途流失措施，落实安全管理责任，避免二次污染。本项目危险废物委托资质单位进行安全处置，企业不得擅自处理。</w:t>
            </w:r>
          </w:p>
          <w:p>
            <w:pPr>
              <w:pStyle w:val="7"/>
              <w:spacing w:beforeLines="50"/>
              <w:jc w:val="center"/>
              <w:rPr>
                <w:rFonts w:hint="eastAsia" w:ascii="Times New Roman" w:hAnsi="宋体" w:cs="Times New Roman"/>
                <w:b/>
                <w:bCs w:val="0"/>
                <w:sz w:val="24"/>
                <w:szCs w:val="24"/>
                <w:lang w:val="zh-CN" w:eastAsia="zh-CN"/>
              </w:rPr>
            </w:pPr>
            <w:r>
              <w:rPr>
                <w:rFonts w:hint="eastAsia" w:ascii="Times New Roman" w:hAnsi="宋体" w:cs="Times New Roman"/>
                <w:b/>
                <w:bCs w:val="0"/>
                <w:sz w:val="24"/>
                <w:szCs w:val="24"/>
                <w:lang w:val="zh-CN" w:eastAsia="zh-CN"/>
              </w:rPr>
              <w:t>表</w:t>
            </w:r>
            <w:r>
              <w:rPr>
                <w:rFonts w:hint="eastAsia" w:hAnsi="宋体" w:cs="Times New Roman"/>
                <w:b/>
                <w:bCs w:val="0"/>
                <w:sz w:val="24"/>
                <w:szCs w:val="24"/>
                <w:lang w:val="en-US" w:eastAsia="zh-CN"/>
              </w:rPr>
              <w:t>20</w:t>
            </w:r>
            <w:r>
              <w:rPr>
                <w:rFonts w:hint="eastAsia" w:ascii="Times New Roman" w:hAnsi="宋体" w:cs="Times New Roman"/>
                <w:b/>
                <w:bCs w:val="0"/>
                <w:sz w:val="24"/>
                <w:szCs w:val="24"/>
                <w:lang w:val="zh-CN" w:eastAsia="zh-CN"/>
              </w:rPr>
              <w:t xml:space="preserve">  建设项目危险废物产生情况</w:t>
            </w:r>
          </w:p>
          <w:tbl>
            <w:tblPr>
              <w:tblStyle w:val="23"/>
              <w:tblW w:w="4996"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771"/>
              <w:gridCol w:w="776"/>
              <w:gridCol w:w="1196"/>
              <w:gridCol w:w="847"/>
              <w:gridCol w:w="732"/>
              <w:gridCol w:w="451"/>
              <w:gridCol w:w="732"/>
              <w:gridCol w:w="820"/>
              <w:gridCol w:w="702"/>
              <w:gridCol w:w="702"/>
              <w:gridCol w:w="90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94" w:type="pct"/>
                  <w:tcBorders>
                    <w:top w:val="single" w:color="auto" w:sz="4" w:space="0"/>
                    <w:bottom w:val="single" w:color="auto" w:sz="4" w:space="0"/>
                    <w:right w:val="single" w:color="auto" w:sz="4" w:space="0"/>
                  </w:tcBorders>
                  <w:noWrap w:val="0"/>
                  <w:vAlign w:val="center"/>
                </w:tcPr>
                <w:p>
                  <w:pPr>
                    <w:jc w:val="right"/>
                    <w:rPr>
                      <w:sz w:val="21"/>
                      <w:szCs w:val="21"/>
                    </w:rPr>
                  </w:pPr>
                  <w:r>
                    <w:rPr>
                      <w:sz w:val="21"/>
                      <w:szCs w:val="21"/>
                    </w:rPr>
                    <w:t>序号</w:t>
                  </w:r>
                </w:p>
              </w:tc>
              <w:tc>
                <w:tcPr>
                  <w:tcW w:w="463" w:type="pct"/>
                  <w:tcBorders>
                    <w:top w:val="single" w:color="auto" w:sz="4" w:space="0"/>
                    <w:left w:val="nil"/>
                    <w:bottom w:val="single" w:color="auto" w:sz="4" w:space="0"/>
                    <w:right w:val="single" w:color="auto" w:sz="4" w:space="0"/>
                  </w:tcBorders>
                  <w:noWrap w:val="0"/>
                  <w:vAlign w:val="center"/>
                </w:tcPr>
                <w:p>
                  <w:pPr>
                    <w:jc w:val="center"/>
                    <w:rPr>
                      <w:sz w:val="21"/>
                      <w:szCs w:val="21"/>
                    </w:rPr>
                  </w:pPr>
                  <w:r>
                    <w:rPr>
                      <w:sz w:val="21"/>
                      <w:szCs w:val="21"/>
                    </w:rPr>
                    <w:t>危险废物名称</w:t>
                  </w:r>
                </w:p>
              </w:tc>
              <w:tc>
                <w:tcPr>
                  <w:tcW w:w="411" w:type="pct"/>
                  <w:tcBorders>
                    <w:top w:val="single" w:color="auto" w:sz="4" w:space="0"/>
                    <w:left w:val="nil"/>
                    <w:bottom w:val="single" w:color="auto" w:sz="4" w:space="0"/>
                    <w:right w:val="single" w:color="auto" w:sz="4" w:space="0"/>
                  </w:tcBorders>
                  <w:noWrap w:val="0"/>
                  <w:vAlign w:val="center"/>
                </w:tcPr>
                <w:p>
                  <w:pPr>
                    <w:jc w:val="center"/>
                    <w:rPr>
                      <w:sz w:val="21"/>
                      <w:szCs w:val="21"/>
                    </w:rPr>
                  </w:pPr>
                  <w:r>
                    <w:rPr>
                      <w:sz w:val="21"/>
                      <w:szCs w:val="21"/>
                    </w:rPr>
                    <w:t>危险废物类别</w:t>
                  </w:r>
                </w:p>
              </w:tc>
              <w:tc>
                <w:tcPr>
                  <w:tcW w:w="370" w:type="pct"/>
                  <w:tcBorders>
                    <w:top w:val="single" w:color="auto" w:sz="4" w:space="0"/>
                    <w:left w:val="nil"/>
                    <w:bottom w:val="single" w:color="auto" w:sz="4" w:space="0"/>
                    <w:right w:val="single" w:color="auto" w:sz="4" w:space="0"/>
                  </w:tcBorders>
                  <w:noWrap w:val="0"/>
                  <w:vAlign w:val="center"/>
                </w:tcPr>
                <w:p>
                  <w:pPr>
                    <w:jc w:val="center"/>
                    <w:rPr>
                      <w:sz w:val="21"/>
                      <w:szCs w:val="21"/>
                    </w:rPr>
                  </w:pPr>
                  <w:r>
                    <w:rPr>
                      <w:sz w:val="21"/>
                      <w:szCs w:val="21"/>
                    </w:rPr>
                    <w:t>危险废物代码</w:t>
                  </w:r>
                </w:p>
              </w:tc>
              <w:tc>
                <w:tcPr>
                  <w:tcW w:w="505" w:type="pct"/>
                  <w:tcBorders>
                    <w:top w:val="single" w:color="auto" w:sz="4" w:space="0"/>
                    <w:left w:val="nil"/>
                    <w:bottom w:val="single" w:color="auto" w:sz="4" w:space="0"/>
                    <w:right w:val="single" w:color="auto" w:sz="4" w:space="0"/>
                  </w:tcBorders>
                  <w:noWrap w:val="0"/>
                  <w:vAlign w:val="center"/>
                </w:tcPr>
                <w:p>
                  <w:pPr>
                    <w:jc w:val="center"/>
                    <w:rPr>
                      <w:sz w:val="21"/>
                      <w:szCs w:val="21"/>
                    </w:rPr>
                  </w:pPr>
                  <w:r>
                    <w:rPr>
                      <w:sz w:val="21"/>
                      <w:szCs w:val="21"/>
                    </w:rPr>
                    <w:t>产生量</w:t>
                  </w:r>
                </w:p>
              </w:tc>
              <w:tc>
                <w:tcPr>
                  <w:tcW w:w="442" w:type="pct"/>
                  <w:tcBorders>
                    <w:top w:val="single" w:color="auto" w:sz="4" w:space="0"/>
                    <w:left w:val="nil"/>
                    <w:bottom w:val="single" w:color="auto" w:sz="4" w:space="0"/>
                    <w:right w:val="single" w:color="auto" w:sz="4" w:space="0"/>
                  </w:tcBorders>
                  <w:noWrap w:val="0"/>
                  <w:vAlign w:val="center"/>
                </w:tcPr>
                <w:p>
                  <w:pPr>
                    <w:jc w:val="center"/>
                    <w:rPr>
                      <w:sz w:val="21"/>
                      <w:szCs w:val="21"/>
                    </w:rPr>
                  </w:pPr>
                  <w:r>
                    <w:rPr>
                      <w:sz w:val="21"/>
                      <w:szCs w:val="21"/>
                    </w:rPr>
                    <w:t>产生工序及装置</w:t>
                  </w:r>
                </w:p>
              </w:tc>
              <w:tc>
                <w:tcPr>
                  <w:tcW w:w="287" w:type="pct"/>
                  <w:tcBorders>
                    <w:top w:val="single" w:color="auto" w:sz="4" w:space="0"/>
                    <w:left w:val="nil"/>
                    <w:bottom w:val="single" w:color="auto" w:sz="4" w:space="0"/>
                    <w:right w:val="single" w:color="auto" w:sz="4" w:space="0"/>
                  </w:tcBorders>
                  <w:noWrap w:val="0"/>
                  <w:vAlign w:val="center"/>
                </w:tcPr>
                <w:p>
                  <w:pPr>
                    <w:jc w:val="center"/>
                    <w:rPr>
                      <w:sz w:val="21"/>
                      <w:szCs w:val="21"/>
                    </w:rPr>
                  </w:pPr>
                  <w:r>
                    <w:rPr>
                      <w:sz w:val="21"/>
                      <w:szCs w:val="21"/>
                    </w:rPr>
                    <w:t>形态</w:t>
                  </w:r>
                </w:p>
              </w:tc>
              <w:tc>
                <w:tcPr>
                  <w:tcW w:w="442" w:type="pct"/>
                  <w:tcBorders>
                    <w:top w:val="single" w:color="auto" w:sz="4" w:space="0"/>
                    <w:left w:val="nil"/>
                    <w:bottom w:val="single" w:color="auto" w:sz="4" w:space="0"/>
                    <w:right w:val="single" w:color="auto" w:sz="4" w:space="0"/>
                  </w:tcBorders>
                  <w:noWrap w:val="0"/>
                  <w:vAlign w:val="center"/>
                </w:tcPr>
                <w:p>
                  <w:pPr>
                    <w:jc w:val="center"/>
                    <w:rPr>
                      <w:sz w:val="21"/>
                      <w:szCs w:val="21"/>
                    </w:rPr>
                  </w:pPr>
                  <w:r>
                    <w:rPr>
                      <w:sz w:val="21"/>
                      <w:szCs w:val="21"/>
                    </w:rPr>
                    <w:t>主要成分</w:t>
                  </w:r>
                </w:p>
              </w:tc>
              <w:tc>
                <w:tcPr>
                  <w:tcW w:w="490" w:type="pct"/>
                  <w:tcBorders>
                    <w:top w:val="single" w:color="auto" w:sz="4" w:space="0"/>
                    <w:left w:val="nil"/>
                    <w:bottom w:val="single" w:color="auto" w:sz="4" w:space="0"/>
                    <w:right w:val="single" w:color="auto" w:sz="4" w:space="0"/>
                  </w:tcBorders>
                  <w:noWrap w:val="0"/>
                  <w:vAlign w:val="center"/>
                </w:tcPr>
                <w:p>
                  <w:pPr>
                    <w:jc w:val="center"/>
                    <w:rPr>
                      <w:sz w:val="21"/>
                      <w:szCs w:val="21"/>
                    </w:rPr>
                  </w:pPr>
                  <w:r>
                    <w:rPr>
                      <w:sz w:val="21"/>
                      <w:szCs w:val="21"/>
                    </w:rPr>
                    <w:t>有害成分</w:t>
                  </w:r>
                </w:p>
              </w:tc>
              <w:tc>
                <w:tcPr>
                  <w:tcW w:w="425" w:type="pct"/>
                  <w:tcBorders>
                    <w:top w:val="single" w:color="auto" w:sz="4" w:space="0"/>
                    <w:left w:val="nil"/>
                    <w:bottom w:val="single" w:color="auto" w:sz="4" w:space="0"/>
                    <w:right w:val="single" w:color="auto" w:sz="4" w:space="0"/>
                  </w:tcBorders>
                  <w:noWrap w:val="0"/>
                  <w:vAlign w:val="center"/>
                </w:tcPr>
                <w:p>
                  <w:pPr>
                    <w:jc w:val="center"/>
                    <w:rPr>
                      <w:sz w:val="21"/>
                      <w:szCs w:val="21"/>
                    </w:rPr>
                  </w:pPr>
                  <w:r>
                    <w:rPr>
                      <w:sz w:val="21"/>
                      <w:szCs w:val="21"/>
                    </w:rPr>
                    <w:t>产废周期</w:t>
                  </w:r>
                </w:p>
              </w:tc>
              <w:tc>
                <w:tcPr>
                  <w:tcW w:w="425" w:type="pct"/>
                  <w:tcBorders>
                    <w:top w:val="single" w:color="auto" w:sz="4" w:space="0"/>
                    <w:left w:val="nil"/>
                    <w:bottom w:val="single" w:color="auto" w:sz="4" w:space="0"/>
                    <w:right w:val="single" w:color="auto" w:sz="4" w:space="0"/>
                  </w:tcBorders>
                  <w:noWrap w:val="0"/>
                  <w:vAlign w:val="center"/>
                </w:tcPr>
                <w:p>
                  <w:pPr>
                    <w:jc w:val="center"/>
                    <w:rPr>
                      <w:sz w:val="21"/>
                      <w:szCs w:val="21"/>
                    </w:rPr>
                  </w:pPr>
                  <w:r>
                    <w:rPr>
                      <w:sz w:val="21"/>
                      <w:szCs w:val="21"/>
                    </w:rPr>
                    <w:t>危险特性</w:t>
                  </w:r>
                </w:p>
              </w:tc>
              <w:tc>
                <w:tcPr>
                  <w:tcW w:w="538" w:type="pct"/>
                  <w:tcBorders>
                    <w:top w:val="single" w:color="auto" w:sz="4" w:space="0"/>
                    <w:left w:val="nil"/>
                    <w:bottom w:val="single" w:color="auto" w:sz="4" w:space="0"/>
                  </w:tcBorders>
                  <w:noWrap w:val="0"/>
                  <w:vAlign w:val="center"/>
                </w:tcPr>
                <w:p>
                  <w:pPr>
                    <w:jc w:val="center"/>
                    <w:rPr>
                      <w:color w:val="000000"/>
                      <w:sz w:val="21"/>
                      <w:szCs w:val="21"/>
                    </w:rPr>
                  </w:pPr>
                  <w:r>
                    <w:rPr>
                      <w:sz w:val="21"/>
                      <w:szCs w:val="21"/>
                    </w:rPr>
                    <w:t>污染防治措施</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94" w:type="pct"/>
                  <w:tcBorders>
                    <w:top w:val="single" w:color="auto" w:sz="4" w:space="0"/>
                    <w:bottom w:val="single" w:color="auto" w:sz="4" w:space="0"/>
                    <w:right w:val="single" w:color="auto" w:sz="4" w:space="0"/>
                  </w:tcBorders>
                  <w:noWrap w:val="0"/>
                  <w:vAlign w:val="center"/>
                </w:tcPr>
                <w:p>
                  <w:pPr>
                    <w:jc w:val="center"/>
                    <w:rPr>
                      <w:color w:val="000000"/>
                      <w:sz w:val="21"/>
                      <w:szCs w:val="21"/>
                    </w:rPr>
                  </w:pPr>
                  <w:r>
                    <w:rPr>
                      <w:sz w:val="21"/>
                      <w:szCs w:val="21"/>
                    </w:rPr>
                    <w:t>1</w:t>
                  </w:r>
                </w:p>
              </w:tc>
              <w:tc>
                <w:tcPr>
                  <w:tcW w:w="463" w:type="pct"/>
                  <w:tcBorders>
                    <w:top w:val="single" w:color="auto" w:sz="4" w:space="0"/>
                    <w:left w:val="nil"/>
                    <w:bottom w:val="single" w:color="auto" w:sz="4" w:space="0"/>
                    <w:right w:val="single" w:color="auto" w:sz="4" w:space="0"/>
                  </w:tcBorders>
                  <w:noWrap w:val="0"/>
                  <w:vAlign w:val="center"/>
                </w:tcPr>
                <w:p>
                  <w:pPr>
                    <w:jc w:val="center"/>
                    <w:rPr>
                      <w:rFonts w:hint="eastAsia" w:eastAsia="宋体"/>
                      <w:color w:val="000000"/>
                      <w:sz w:val="21"/>
                      <w:szCs w:val="21"/>
                      <w:lang w:eastAsia="zh-CN"/>
                    </w:rPr>
                  </w:pPr>
                  <w:r>
                    <w:rPr>
                      <w:rFonts w:hint="eastAsia"/>
                      <w:sz w:val="21"/>
                      <w:szCs w:val="21"/>
                      <w:lang w:eastAsia="zh-CN"/>
                    </w:rPr>
                    <w:t>废乳化液</w:t>
                  </w:r>
                </w:p>
              </w:tc>
              <w:tc>
                <w:tcPr>
                  <w:tcW w:w="411" w:type="pct"/>
                  <w:tcBorders>
                    <w:top w:val="single" w:color="auto" w:sz="4" w:space="0"/>
                    <w:left w:val="nil"/>
                    <w:right w:val="single" w:color="auto" w:sz="4" w:space="0"/>
                  </w:tcBorders>
                  <w:noWrap w:val="0"/>
                  <w:vAlign w:val="center"/>
                </w:tcPr>
                <w:p>
                  <w:pPr>
                    <w:jc w:val="center"/>
                    <w:rPr>
                      <w:rFonts w:hint="eastAsia" w:eastAsia="宋体"/>
                      <w:color w:val="000000"/>
                      <w:sz w:val="21"/>
                      <w:szCs w:val="21"/>
                      <w:lang w:eastAsia="zh-CN"/>
                    </w:rPr>
                  </w:pPr>
                  <w:r>
                    <w:rPr>
                      <w:sz w:val="21"/>
                      <w:szCs w:val="21"/>
                    </w:rPr>
                    <w:t>HW</w:t>
                  </w:r>
                  <w:r>
                    <w:rPr>
                      <w:rFonts w:hint="eastAsia"/>
                      <w:sz w:val="21"/>
                      <w:szCs w:val="21"/>
                    </w:rPr>
                    <w:t>0</w:t>
                  </w:r>
                  <w:r>
                    <w:rPr>
                      <w:rFonts w:hint="eastAsia"/>
                      <w:sz w:val="21"/>
                      <w:szCs w:val="21"/>
                      <w:lang w:val="en-US" w:eastAsia="zh-CN"/>
                    </w:rPr>
                    <w:t>9</w:t>
                  </w:r>
                </w:p>
              </w:tc>
              <w:tc>
                <w:tcPr>
                  <w:tcW w:w="370" w:type="pct"/>
                  <w:tcBorders>
                    <w:top w:val="single" w:color="auto" w:sz="4" w:space="0"/>
                    <w:left w:val="nil"/>
                    <w:right w:val="single" w:color="auto" w:sz="4" w:space="0"/>
                  </w:tcBorders>
                  <w:noWrap w:val="0"/>
                  <w:vAlign w:val="center"/>
                </w:tcPr>
                <w:p>
                  <w:pPr>
                    <w:jc w:val="center"/>
                    <w:rPr>
                      <w:rFonts w:hint="default" w:eastAsia="宋体"/>
                      <w:color w:val="000000"/>
                      <w:sz w:val="21"/>
                      <w:szCs w:val="21"/>
                      <w:lang w:val="en-US" w:eastAsia="zh-CN"/>
                    </w:rPr>
                  </w:pPr>
                  <w:r>
                    <w:rPr>
                      <w:rFonts w:hint="eastAsia"/>
                      <w:color w:val="000000"/>
                      <w:sz w:val="21"/>
                      <w:szCs w:val="21"/>
                      <w:lang w:val="en-US" w:eastAsia="zh-CN"/>
                    </w:rPr>
                    <w:t>900-006-09</w:t>
                  </w:r>
                </w:p>
              </w:tc>
              <w:tc>
                <w:tcPr>
                  <w:tcW w:w="505" w:type="pct"/>
                  <w:tcBorders>
                    <w:top w:val="single" w:color="auto" w:sz="4" w:space="0"/>
                    <w:left w:val="nil"/>
                    <w:bottom w:val="single" w:color="auto" w:sz="4" w:space="0"/>
                    <w:right w:val="single" w:color="auto" w:sz="4" w:space="0"/>
                  </w:tcBorders>
                  <w:noWrap w:val="0"/>
                  <w:vAlign w:val="center"/>
                </w:tcPr>
                <w:p>
                  <w:pPr>
                    <w:jc w:val="center"/>
                    <w:rPr>
                      <w:color w:val="000000"/>
                      <w:sz w:val="21"/>
                      <w:szCs w:val="21"/>
                    </w:rPr>
                  </w:pPr>
                  <w:r>
                    <w:rPr>
                      <w:rFonts w:hint="eastAsia"/>
                      <w:sz w:val="21"/>
                      <w:szCs w:val="21"/>
                      <w:lang w:val="en-US" w:eastAsia="zh-CN"/>
                    </w:rPr>
                    <w:t>0.1t</w:t>
                  </w:r>
                  <w:r>
                    <w:rPr>
                      <w:sz w:val="21"/>
                      <w:szCs w:val="21"/>
                    </w:rPr>
                    <w:t>/a</w:t>
                  </w:r>
                </w:p>
              </w:tc>
              <w:tc>
                <w:tcPr>
                  <w:tcW w:w="442" w:type="pct"/>
                  <w:vMerge w:val="restart"/>
                  <w:tcBorders>
                    <w:top w:val="single" w:color="auto" w:sz="4" w:space="0"/>
                    <w:left w:val="nil"/>
                    <w:right w:val="single" w:color="auto" w:sz="4" w:space="0"/>
                  </w:tcBorders>
                  <w:noWrap w:val="0"/>
                  <w:vAlign w:val="center"/>
                </w:tcPr>
                <w:p>
                  <w:pPr>
                    <w:jc w:val="center"/>
                    <w:rPr>
                      <w:rFonts w:hint="eastAsia"/>
                      <w:sz w:val="21"/>
                      <w:szCs w:val="21"/>
                    </w:rPr>
                  </w:pPr>
                  <w:r>
                    <w:rPr>
                      <w:rFonts w:hint="eastAsia"/>
                      <w:sz w:val="21"/>
                      <w:szCs w:val="21"/>
                      <w:lang w:eastAsia="zh-CN"/>
                    </w:rPr>
                    <w:t>设备维护</w:t>
                  </w:r>
                </w:p>
              </w:tc>
              <w:tc>
                <w:tcPr>
                  <w:tcW w:w="287" w:type="pct"/>
                  <w:tcBorders>
                    <w:top w:val="single" w:color="auto" w:sz="4" w:space="0"/>
                    <w:left w:val="nil"/>
                    <w:bottom w:val="single" w:color="auto" w:sz="4" w:space="0"/>
                    <w:right w:val="single" w:color="auto" w:sz="4" w:space="0"/>
                  </w:tcBorders>
                  <w:noWrap w:val="0"/>
                  <w:vAlign w:val="center"/>
                </w:tcPr>
                <w:p>
                  <w:pPr>
                    <w:jc w:val="center"/>
                    <w:rPr>
                      <w:color w:val="000000"/>
                      <w:sz w:val="21"/>
                      <w:szCs w:val="21"/>
                    </w:rPr>
                  </w:pPr>
                  <w:r>
                    <w:rPr>
                      <w:rFonts w:hint="eastAsia"/>
                      <w:sz w:val="21"/>
                      <w:szCs w:val="21"/>
                      <w:lang w:eastAsia="zh-CN"/>
                    </w:rPr>
                    <w:t>液态</w:t>
                  </w:r>
                </w:p>
              </w:tc>
              <w:tc>
                <w:tcPr>
                  <w:tcW w:w="442" w:type="pct"/>
                  <w:vMerge w:val="restart"/>
                  <w:tcBorders>
                    <w:top w:val="single" w:color="auto" w:sz="4" w:space="0"/>
                    <w:left w:val="nil"/>
                    <w:right w:val="single" w:color="auto" w:sz="4" w:space="0"/>
                  </w:tcBorders>
                  <w:noWrap w:val="0"/>
                  <w:vAlign w:val="center"/>
                </w:tcPr>
                <w:p>
                  <w:pPr>
                    <w:jc w:val="center"/>
                    <w:rPr>
                      <w:rFonts w:hint="eastAsia"/>
                      <w:color w:val="000000"/>
                      <w:sz w:val="21"/>
                      <w:szCs w:val="21"/>
                    </w:rPr>
                  </w:pPr>
                  <w:r>
                    <w:rPr>
                      <w:rFonts w:hint="eastAsia"/>
                      <w:sz w:val="21"/>
                      <w:szCs w:val="21"/>
                    </w:rPr>
                    <w:t>废矿物油及含矿物油废物</w:t>
                  </w:r>
                </w:p>
              </w:tc>
              <w:tc>
                <w:tcPr>
                  <w:tcW w:w="490" w:type="pct"/>
                  <w:vMerge w:val="restart"/>
                  <w:tcBorders>
                    <w:top w:val="single" w:color="auto" w:sz="4" w:space="0"/>
                    <w:left w:val="nil"/>
                    <w:right w:val="single" w:color="auto" w:sz="4" w:space="0"/>
                  </w:tcBorders>
                  <w:noWrap w:val="0"/>
                  <w:vAlign w:val="center"/>
                </w:tcPr>
                <w:p>
                  <w:pPr>
                    <w:jc w:val="center"/>
                    <w:rPr>
                      <w:rFonts w:hint="eastAsia" w:eastAsia="宋体"/>
                      <w:color w:val="000000"/>
                      <w:sz w:val="21"/>
                      <w:szCs w:val="21"/>
                      <w:lang w:eastAsia="zh-CN"/>
                    </w:rPr>
                  </w:pPr>
                  <w:r>
                    <w:rPr>
                      <w:rFonts w:hint="eastAsia"/>
                      <w:sz w:val="21"/>
                      <w:szCs w:val="21"/>
                      <w:lang w:eastAsia="zh-CN"/>
                    </w:rPr>
                    <w:t>废矿物油</w:t>
                  </w:r>
                </w:p>
              </w:tc>
              <w:tc>
                <w:tcPr>
                  <w:tcW w:w="425" w:type="pct"/>
                  <w:tcBorders>
                    <w:top w:val="single" w:color="auto" w:sz="4" w:space="0"/>
                    <w:left w:val="nil"/>
                    <w:bottom w:val="single" w:color="auto" w:sz="4" w:space="0"/>
                    <w:right w:val="single" w:color="auto" w:sz="4" w:space="0"/>
                  </w:tcBorders>
                  <w:noWrap w:val="0"/>
                  <w:vAlign w:val="center"/>
                </w:tcPr>
                <w:p>
                  <w:pPr>
                    <w:jc w:val="center"/>
                    <w:rPr>
                      <w:color w:val="000000"/>
                      <w:sz w:val="21"/>
                      <w:szCs w:val="21"/>
                    </w:rPr>
                  </w:pPr>
                  <w:r>
                    <w:rPr>
                      <w:rFonts w:hint="eastAsia"/>
                      <w:sz w:val="21"/>
                      <w:szCs w:val="21"/>
                      <w:lang w:val="en-US" w:eastAsia="zh-CN"/>
                    </w:rPr>
                    <w:t>360d</w:t>
                  </w:r>
                </w:p>
              </w:tc>
              <w:tc>
                <w:tcPr>
                  <w:tcW w:w="425" w:type="pct"/>
                  <w:tcBorders>
                    <w:top w:val="single" w:color="auto" w:sz="4" w:space="0"/>
                    <w:left w:val="nil"/>
                    <w:right w:val="single" w:color="auto" w:sz="4" w:space="0"/>
                  </w:tcBorders>
                  <w:noWrap w:val="0"/>
                  <w:vAlign w:val="center"/>
                </w:tcPr>
                <w:p>
                  <w:pPr>
                    <w:jc w:val="center"/>
                    <w:rPr>
                      <w:color w:val="000000"/>
                      <w:sz w:val="21"/>
                      <w:szCs w:val="21"/>
                    </w:rPr>
                  </w:pPr>
                  <w:r>
                    <w:rPr>
                      <w:sz w:val="21"/>
                      <w:szCs w:val="21"/>
                    </w:rPr>
                    <w:t>T</w:t>
                  </w:r>
                </w:p>
              </w:tc>
              <w:tc>
                <w:tcPr>
                  <w:tcW w:w="538" w:type="pct"/>
                  <w:vMerge w:val="restart"/>
                  <w:tcBorders>
                    <w:top w:val="single" w:color="auto" w:sz="4" w:space="0"/>
                    <w:left w:val="nil"/>
                  </w:tcBorders>
                  <w:noWrap w:val="0"/>
                  <w:vAlign w:val="center"/>
                </w:tcPr>
                <w:p>
                  <w:pPr>
                    <w:jc w:val="center"/>
                    <w:rPr>
                      <w:color w:val="000000"/>
                      <w:sz w:val="21"/>
                      <w:szCs w:val="21"/>
                    </w:rPr>
                  </w:pPr>
                  <w:r>
                    <w:rPr>
                      <w:sz w:val="21"/>
                      <w:szCs w:val="21"/>
                    </w:rPr>
                    <w:t>委托资质单位进行安全处置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94" w:type="pct"/>
                  <w:tcBorders>
                    <w:top w:val="single" w:color="auto" w:sz="4" w:space="0"/>
                    <w:right w:val="single" w:color="auto" w:sz="4" w:space="0"/>
                  </w:tcBorders>
                  <w:noWrap w:val="0"/>
                  <w:vAlign w:val="center"/>
                </w:tcPr>
                <w:p>
                  <w:pPr>
                    <w:jc w:val="center"/>
                    <w:rPr>
                      <w:rFonts w:hint="eastAsia" w:eastAsia="宋体"/>
                      <w:sz w:val="21"/>
                      <w:szCs w:val="21"/>
                      <w:lang w:val="en-US" w:eastAsia="zh-CN"/>
                    </w:rPr>
                  </w:pPr>
                  <w:r>
                    <w:rPr>
                      <w:rFonts w:hint="eastAsia"/>
                      <w:sz w:val="21"/>
                      <w:szCs w:val="21"/>
                      <w:lang w:val="en-US" w:eastAsia="zh-CN"/>
                    </w:rPr>
                    <w:t>2</w:t>
                  </w:r>
                </w:p>
              </w:tc>
              <w:tc>
                <w:tcPr>
                  <w:tcW w:w="463" w:type="pct"/>
                  <w:tcBorders>
                    <w:top w:val="single" w:color="auto" w:sz="4" w:space="0"/>
                    <w:left w:val="nil"/>
                    <w:right w:val="single" w:color="auto" w:sz="4" w:space="0"/>
                  </w:tcBorders>
                  <w:noWrap w:val="0"/>
                  <w:vAlign w:val="center"/>
                </w:tcPr>
                <w:p>
                  <w:pPr>
                    <w:jc w:val="center"/>
                    <w:rPr>
                      <w:rFonts w:hint="eastAsia" w:eastAsia="宋体"/>
                      <w:sz w:val="21"/>
                      <w:szCs w:val="21"/>
                      <w:lang w:eastAsia="zh-CN"/>
                    </w:rPr>
                  </w:pPr>
                  <w:r>
                    <w:rPr>
                      <w:rFonts w:hint="eastAsia"/>
                      <w:sz w:val="21"/>
                      <w:szCs w:val="21"/>
                      <w:lang w:eastAsia="zh-CN"/>
                    </w:rPr>
                    <w:t>废机油</w:t>
                  </w:r>
                </w:p>
              </w:tc>
              <w:tc>
                <w:tcPr>
                  <w:tcW w:w="411" w:type="pct"/>
                  <w:tcBorders>
                    <w:left w:val="nil"/>
                    <w:right w:val="single" w:color="auto" w:sz="4" w:space="0"/>
                  </w:tcBorders>
                  <w:noWrap w:val="0"/>
                  <w:vAlign w:val="center"/>
                </w:tcPr>
                <w:p>
                  <w:pPr>
                    <w:jc w:val="center"/>
                    <w:rPr>
                      <w:rFonts w:hint="eastAsia" w:eastAsia="宋体"/>
                      <w:sz w:val="21"/>
                      <w:szCs w:val="21"/>
                      <w:lang w:val="en-US" w:eastAsia="zh-CN"/>
                    </w:rPr>
                  </w:pPr>
                  <w:r>
                    <w:rPr>
                      <w:sz w:val="21"/>
                      <w:szCs w:val="21"/>
                    </w:rPr>
                    <w:t>HW</w:t>
                  </w:r>
                  <w:r>
                    <w:rPr>
                      <w:rFonts w:hint="eastAsia"/>
                      <w:sz w:val="21"/>
                      <w:szCs w:val="21"/>
                    </w:rPr>
                    <w:t>0</w:t>
                  </w:r>
                  <w:r>
                    <w:rPr>
                      <w:rFonts w:hint="eastAsia"/>
                      <w:sz w:val="21"/>
                      <w:szCs w:val="21"/>
                      <w:lang w:val="en-US" w:eastAsia="zh-CN"/>
                    </w:rPr>
                    <w:t>8</w:t>
                  </w:r>
                </w:p>
              </w:tc>
              <w:tc>
                <w:tcPr>
                  <w:tcW w:w="370" w:type="pct"/>
                  <w:tcBorders>
                    <w:left w:val="nil"/>
                    <w:right w:val="single" w:color="auto" w:sz="4" w:space="0"/>
                  </w:tcBorders>
                  <w:noWrap w:val="0"/>
                  <w:vAlign w:val="center"/>
                </w:tcPr>
                <w:p>
                  <w:pPr>
                    <w:jc w:val="center"/>
                    <w:rPr>
                      <w:rFonts w:hint="default" w:eastAsia="宋体"/>
                      <w:sz w:val="21"/>
                      <w:szCs w:val="21"/>
                      <w:lang w:val="en-US" w:eastAsia="zh-CN"/>
                    </w:rPr>
                  </w:pPr>
                  <w:r>
                    <w:rPr>
                      <w:sz w:val="21"/>
                      <w:szCs w:val="21"/>
                    </w:rPr>
                    <w:t>900-</w:t>
                  </w:r>
                  <w:r>
                    <w:rPr>
                      <w:rFonts w:hint="eastAsia"/>
                      <w:sz w:val="21"/>
                      <w:szCs w:val="21"/>
                      <w:lang w:val="en-US" w:eastAsia="zh-CN"/>
                    </w:rPr>
                    <w:t>249</w:t>
                  </w:r>
                  <w:r>
                    <w:rPr>
                      <w:sz w:val="21"/>
                      <w:szCs w:val="21"/>
                    </w:rPr>
                    <w:t>-</w:t>
                  </w:r>
                  <w:r>
                    <w:rPr>
                      <w:rFonts w:hint="eastAsia"/>
                      <w:sz w:val="21"/>
                      <w:szCs w:val="21"/>
                    </w:rPr>
                    <w:t>08</w:t>
                  </w:r>
                </w:p>
              </w:tc>
              <w:tc>
                <w:tcPr>
                  <w:tcW w:w="505" w:type="pct"/>
                  <w:tcBorders>
                    <w:top w:val="single" w:color="auto" w:sz="4" w:space="0"/>
                    <w:left w:val="nil"/>
                    <w:right w:val="single" w:color="auto" w:sz="4" w:space="0"/>
                  </w:tcBorders>
                  <w:noWrap w:val="0"/>
                  <w:vAlign w:val="center"/>
                </w:tcPr>
                <w:p>
                  <w:pPr>
                    <w:jc w:val="center"/>
                    <w:rPr>
                      <w:rFonts w:hint="default" w:eastAsia="宋体"/>
                      <w:sz w:val="21"/>
                      <w:szCs w:val="21"/>
                      <w:lang w:val="en-US" w:eastAsia="zh-CN"/>
                    </w:rPr>
                  </w:pPr>
                  <w:r>
                    <w:rPr>
                      <w:rFonts w:hint="eastAsia"/>
                      <w:sz w:val="21"/>
                      <w:szCs w:val="21"/>
                      <w:lang w:val="en-US" w:eastAsia="zh-CN"/>
                    </w:rPr>
                    <w:t>0.05t/a</w:t>
                  </w:r>
                </w:p>
              </w:tc>
              <w:tc>
                <w:tcPr>
                  <w:tcW w:w="442" w:type="pct"/>
                  <w:vMerge w:val="continue"/>
                  <w:tcBorders>
                    <w:left w:val="nil"/>
                    <w:right w:val="single" w:color="auto" w:sz="4" w:space="0"/>
                  </w:tcBorders>
                  <w:noWrap w:val="0"/>
                  <w:vAlign w:val="center"/>
                </w:tcPr>
                <w:p>
                  <w:pPr>
                    <w:jc w:val="center"/>
                    <w:rPr>
                      <w:rFonts w:hint="eastAsia"/>
                      <w:sz w:val="21"/>
                      <w:szCs w:val="21"/>
                    </w:rPr>
                  </w:pPr>
                </w:p>
              </w:tc>
              <w:tc>
                <w:tcPr>
                  <w:tcW w:w="287" w:type="pct"/>
                  <w:tcBorders>
                    <w:top w:val="single" w:color="auto" w:sz="4" w:space="0"/>
                    <w:left w:val="nil"/>
                    <w:right w:val="single" w:color="auto" w:sz="4" w:space="0"/>
                  </w:tcBorders>
                  <w:noWrap w:val="0"/>
                  <w:vAlign w:val="center"/>
                </w:tcPr>
                <w:p>
                  <w:pPr>
                    <w:jc w:val="center"/>
                    <w:rPr>
                      <w:sz w:val="21"/>
                      <w:szCs w:val="21"/>
                    </w:rPr>
                  </w:pPr>
                  <w:r>
                    <w:rPr>
                      <w:rFonts w:hint="eastAsia"/>
                      <w:sz w:val="21"/>
                      <w:szCs w:val="21"/>
                      <w:lang w:eastAsia="zh-CN"/>
                    </w:rPr>
                    <w:t>液态</w:t>
                  </w:r>
                </w:p>
              </w:tc>
              <w:tc>
                <w:tcPr>
                  <w:tcW w:w="442" w:type="pct"/>
                  <w:vMerge w:val="continue"/>
                  <w:tcBorders>
                    <w:left w:val="nil"/>
                    <w:right w:val="single" w:color="auto" w:sz="4" w:space="0"/>
                  </w:tcBorders>
                  <w:noWrap w:val="0"/>
                  <w:vAlign w:val="center"/>
                </w:tcPr>
                <w:p>
                  <w:pPr>
                    <w:jc w:val="center"/>
                    <w:rPr>
                      <w:rFonts w:hint="default" w:eastAsia="宋体"/>
                      <w:sz w:val="21"/>
                      <w:szCs w:val="21"/>
                      <w:lang w:val="en-US" w:eastAsia="zh-CN"/>
                    </w:rPr>
                  </w:pPr>
                </w:p>
              </w:tc>
              <w:tc>
                <w:tcPr>
                  <w:tcW w:w="490" w:type="pct"/>
                  <w:vMerge w:val="continue"/>
                  <w:tcBorders>
                    <w:left w:val="nil"/>
                    <w:right w:val="single" w:color="auto" w:sz="4" w:space="0"/>
                  </w:tcBorders>
                  <w:noWrap w:val="0"/>
                  <w:vAlign w:val="center"/>
                </w:tcPr>
                <w:p>
                  <w:pPr>
                    <w:jc w:val="center"/>
                    <w:rPr>
                      <w:sz w:val="21"/>
                      <w:szCs w:val="21"/>
                    </w:rPr>
                  </w:pPr>
                </w:p>
              </w:tc>
              <w:tc>
                <w:tcPr>
                  <w:tcW w:w="425" w:type="pct"/>
                  <w:tcBorders>
                    <w:top w:val="single" w:color="auto" w:sz="4" w:space="0"/>
                    <w:left w:val="nil"/>
                    <w:right w:val="single" w:color="auto" w:sz="4" w:space="0"/>
                  </w:tcBorders>
                  <w:noWrap w:val="0"/>
                  <w:vAlign w:val="center"/>
                </w:tcPr>
                <w:p>
                  <w:pPr>
                    <w:jc w:val="center"/>
                    <w:rPr>
                      <w:rFonts w:hint="eastAsia"/>
                      <w:sz w:val="21"/>
                      <w:szCs w:val="21"/>
                      <w:lang w:val="en-US" w:eastAsia="zh-CN"/>
                    </w:rPr>
                  </w:pPr>
                  <w:r>
                    <w:rPr>
                      <w:rFonts w:hint="eastAsia"/>
                      <w:sz w:val="21"/>
                      <w:szCs w:val="21"/>
                      <w:lang w:val="en-US" w:eastAsia="zh-CN"/>
                    </w:rPr>
                    <w:t>360d</w:t>
                  </w:r>
                </w:p>
              </w:tc>
              <w:tc>
                <w:tcPr>
                  <w:tcW w:w="425" w:type="pct"/>
                  <w:tcBorders>
                    <w:left w:val="nil"/>
                    <w:bottom w:val="single" w:color="auto" w:sz="4" w:space="0"/>
                    <w:right w:val="single" w:color="auto" w:sz="4" w:space="0"/>
                  </w:tcBorders>
                  <w:noWrap w:val="0"/>
                  <w:vAlign w:val="center"/>
                </w:tcPr>
                <w:p>
                  <w:pPr>
                    <w:jc w:val="center"/>
                    <w:rPr>
                      <w:sz w:val="21"/>
                      <w:szCs w:val="21"/>
                    </w:rPr>
                  </w:pPr>
                  <w:r>
                    <w:rPr>
                      <w:sz w:val="21"/>
                      <w:szCs w:val="21"/>
                    </w:rPr>
                    <w:t>T</w:t>
                  </w:r>
                  <w:r>
                    <w:rPr>
                      <w:rFonts w:hint="eastAsia"/>
                      <w:sz w:val="21"/>
                      <w:szCs w:val="21"/>
                    </w:rPr>
                    <w:t>，</w:t>
                  </w:r>
                  <w:r>
                    <w:rPr>
                      <w:sz w:val="21"/>
                      <w:szCs w:val="21"/>
                    </w:rPr>
                    <w:t>I</w:t>
                  </w:r>
                </w:p>
              </w:tc>
              <w:tc>
                <w:tcPr>
                  <w:tcW w:w="538" w:type="pct"/>
                  <w:vMerge w:val="continue"/>
                  <w:tcBorders>
                    <w:left w:val="nil"/>
                  </w:tcBorders>
                  <w:noWrap w:val="0"/>
                  <w:vAlign w:val="center"/>
                </w:tcPr>
                <w:p>
                  <w:pPr>
                    <w:jc w:val="center"/>
                    <w:rPr>
                      <w:sz w:val="18"/>
                      <w:szCs w:val="18"/>
                    </w:rPr>
                  </w:pPr>
                </w:p>
              </w:tc>
            </w:tr>
          </w:tbl>
          <w:p>
            <w:pPr>
              <w:spacing w:line="360" w:lineRule="auto"/>
              <w:rPr>
                <w:rFonts w:ascii="Times New Roman" w:hAnsi="Times New Roman" w:eastAsia="宋体"/>
                <w:sz w:val="24"/>
              </w:rPr>
            </w:pPr>
          </w:p>
        </w:tc>
      </w:tr>
    </w:tbl>
    <w:p>
      <w:pPr>
        <w:spacing w:line="360" w:lineRule="auto"/>
        <w:rPr>
          <w:rFonts w:eastAsia="黑体"/>
          <w:b/>
          <w:sz w:val="30"/>
        </w:rPr>
      </w:pPr>
      <w:r>
        <w:rPr>
          <w:sz w:val="28"/>
        </w:rPr>
        <w:br w:type="page"/>
      </w:r>
      <w:r>
        <w:rPr>
          <w:rFonts w:eastAsia="黑体"/>
          <w:b/>
          <w:sz w:val="30"/>
        </w:rPr>
        <w:t>项目主要污染物产生及预计排放情况</w:t>
      </w:r>
    </w:p>
    <w:tbl>
      <w:tblPr>
        <w:tblStyle w:val="23"/>
        <w:tblW w:w="9543" w:type="dxa"/>
        <w:jc w:val="center"/>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fixed"/>
        <w:tblCellMar>
          <w:top w:w="0" w:type="dxa"/>
          <w:left w:w="57" w:type="dxa"/>
          <w:bottom w:w="0" w:type="dxa"/>
          <w:right w:w="57" w:type="dxa"/>
        </w:tblCellMar>
      </w:tblPr>
      <w:tblGrid>
        <w:gridCol w:w="832"/>
        <w:gridCol w:w="1442"/>
        <w:gridCol w:w="2100"/>
        <w:gridCol w:w="2308"/>
        <w:gridCol w:w="2861"/>
      </w:tblGrid>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57" w:type="dxa"/>
            <w:bottom w:w="0" w:type="dxa"/>
            <w:right w:w="57" w:type="dxa"/>
          </w:tblCellMar>
        </w:tblPrEx>
        <w:trPr>
          <w:trHeight w:val="851" w:hRule="atLeast"/>
          <w:jc w:val="center"/>
        </w:trPr>
        <w:tc>
          <w:tcPr>
            <w:tcW w:w="832" w:type="dxa"/>
            <w:tcBorders>
              <w:top w:val="single" w:color="auto" w:sz="12" w:space="0"/>
              <w:left w:val="single" w:color="auto" w:sz="12" w:space="0"/>
              <w:bottom w:val="single" w:color="auto" w:sz="6" w:space="0"/>
              <w:right w:val="single" w:color="auto" w:sz="6" w:space="0"/>
              <w:tl2br w:val="single" w:color="auto" w:sz="6" w:space="0"/>
            </w:tcBorders>
          </w:tcPr>
          <w:p>
            <w:pPr>
              <w:spacing w:line="300" w:lineRule="atLeast"/>
              <w:jc w:val="right"/>
              <w:rPr>
                <w:rFonts w:ascii="Times New Roman" w:hAnsi="Times New Roman" w:eastAsia="宋体"/>
                <w:b/>
                <w:sz w:val="24"/>
              </w:rPr>
            </w:pPr>
            <w:r>
              <w:rPr>
                <w:rFonts w:ascii="Times New Roman" w:hAnsi="Times New Roman" w:eastAsia="宋体"/>
                <w:b/>
                <w:sz w:val="24"/>
              </w:rPr>
              <w:t>内容</w:t>
            </w:r>
          </w:p>
          <w:p>
            <w:pPr>
              <w:spacing w:line="300" w:lineRule="atLeast"/>
              <w:rPr>
                <w:rFonts w:ascii="Times New Roman" w:hAnsi="Times New Roman" w:eastAsia="宋体"/>
                <w:b/>
                <w:sz w:val="24"/>
              </w:rPr>
            </w:pPr>
            <w:r>
              <w:rPr>
                <w:rFonts w:ascii="Times New Roman" w:hAnsi="Times New Roman" w:eastAsia="宋体"/>
                <w:b/>
                <w:sz w:val="24"/>
              </w:rPr>
              <w:t>类型</w:t>
            </w:r>
          </w:p>
        </w:tc>
        <w:tc>
          <w:tcPr>
            <w:tcW w:w="1442" w:type="dxa"/>
            <w:tcBorders>
              <w:top w:val="single" w:color="auto" w:sz="12" w:space="0"/>
              <w:left w:val="single" w:color="auto" w:sz="6" w:space="0"/>
              <w:bottom w:val="single" w:color="auto" w:sz="6" w:space="0"/>
              <w:right w:val="single" w:color="auto" w:sz="6" w:space="0"/>
            </w:tcBorders>
            <w:vAlign w:val="center"/>
          </w:tcPr>
          <w:p>
            <w:pPr>
              <w:spacing w:line="300" w:lineRule="atLeast"/>
              <w:jc w:val="center"/>
              <w:rPr>
                <w:rFonts w:ascii="Times New Roman" w:hAnsi="Times New Roman" w:eastAsia="宋体"/>
                <w:b/>
                <w:sz w:val="24"/>
              </w:rPr>
            </w:pPr>
            <w:r>
              <w:rPr>
                <w:rFonts w:ascii="Times New Roman" w:hAnsi="Times New Roman" w:eastAsia="宋体"/>
                <w:b/>
                <w:sz w:val="24"/>
              </w:rPr>
              <w:t>排放源</w:t>
            </w:r>
          </w:p>
        </w:tc>
        <w:tc>
          <w:tcPr>
            <w:tcW w:w="2100" w:type="dxa"/>
            <w:tcBorders>
              <w:top w:val="single" w:color="auto" w:sz="12" w:space="0"/>
              <w:left w:val="single" w:color="auto" w:sz="6" w:space="0"/>
              <w:bottom w:val="single" w:color="auto" w:sz="6" w:space="0"/>
              <w:right w:val="single" w:color="auto" w:sz="6" w:space="0"/>
            </w:tcBorders>
            <w:vAlign w:val="center"/>
          </w:tcPr>
          <w:p>
            <w:pPr>
              <w:spacing w:line="300" w:lineRule="atLeast"/>
              <w:jc w:val="center"/>
              <w:rPr>
                <w:rFonts w:ascii="Times New Roman" w:hAnsi="Times New Roman" w:eastAsia="宋体"/>
                <w:b/>
                <w:sz w:val="24"/>
              </w:rPr>
            </w:pPr>
            <w:r>
              <w:rPr>
                <w:rFonts w:ascii="Times New Roman" w:hAnsi="Times New Roman" w:eastAsia="宋体"/>
                <w:b/>
                <w:sz w:val="24"/>
              </w:rPr>
              <w:t>污染物名称</w:t>
            </w:r>
          </w:p>
        </w:tc>
        <w:tc>
          <w:tcPr>
            <w:tcW w:w="2308" w:type="dxa"/>
            <w:tcBorders>
              <w:top w:val="single" w:color="auto" w:sz="12" w:space="0"/>
              <w:left w:val="single" w:color="auto" w:sz="6" w:space="0"/>
              <w:bottom w:val="single" w:color="auto" w:sz="6" w:space="0"/>
              <w:right w:val="single" w:color="auto" w:sz="6" w:space="0"/>
            </w:tcBorders>
            <w:vAlign w:val="center"/>
          </w:tcPr>
          <w:p>
            <w:pPr>
              <w:spacing w:line="300" w:lineRule="atLeast"/>
              <w:jc w:val="center"/>
              <w:rPr>
                <w:rFonts w:ascii="Times New Roman" w:hAnsi="Times New Roman" w:eastAsia="宋体"/>
                <w:b/>
                <w:sz w:val="24"/>
              </w:rPr>
            </w:pPr>
            <w:r>
              <w:rPr>
                <w:rFonts w:ascii="Times New Roman" w:hAnsi="Times New Roman" w:eastAsia="宋体"/>
                <w:b/>
                <w:sz w:val="24"/>
              </w:rPr>
              <w:t>处理前产生浓度及产生量(单位)</w:t>
            </w:r>
          </w:p>
        </w:tc>
        <w:tc>
          <w:tcPr>
            <w:tcW w:w="2861" w:type="dxa"/>
            <w:tcBorders>
              <w:top w:val="single" w:color="auto" w:sz="12" w:space="0"/>
              <w:left w:val="single" w:color="auto" w:sz="6" w:space="0"/>
              <w:bottom w:val="single" w:color="auto" w:sz="6" w:space="0"/>
              <w:right w:val="single" w:color="auto" w:sz="12" w:space="0"/>
            </w:tcBorders>
            <w:vAlign w:val="center"/>
          </w:tcPr>
          <w:p>
            <w:pPr>
              <w:spacing w:line="300" w:lineRule="atLeast"/>
              <w:jc w:val="center"/>
              <w:rPr>
                <w:rFonts w:ascii="Times New Roman" w:hAnsi="Times New Roman" w:eastAsia="宋体"/>
                <w:b/>
                <w:sz w:val="24"/>
              </w:rPr>
            </w:pPr>
            <w:r>
              <w:rPr>
                <w:rFonts w:ascii="Times New Roman" w:hAnsi="Times New Roman" w:eastAsia="宋体"/>
                <w:b/>
                <w:sz w:val="24"/>
              </w:rPr>
              <w:t>排放浓度及排放量(单位)</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57" w:type="dxa"/>
            <w:bottom w:w="0" w:type="dxa"/>
            <w:right w:w="57" w:type="dxa"/>
          </w:tblCellMar>
        </w:tblPrEx>
        <w:trPr>
          <w:trHeight w:val="518" w:hRule="atLeast"/>
          <w:jc w:val="center"/>
        </w:trPr>
        <w:tc>
          <w:tcPr>
            <w:tcW w:w="832" w:type="dxa"/>
            <w:vMerge w:val="restart"/>
            <w:tcBorders>
              <w:top w:val="single" w:color="auto" w:sz="6" w:space="0"/>
              <w:left w:val="single" w:color="auto" w:sz="12" w:space="0"/>
              <w:right w:val="single" w:color="auto" w:sz="6" w:space="0"/>
            </w:tcBorders>
            <w:vAlign w:val="center"/>
          </w:tcPr>
          <w:p>
            <w:pPr>
              <w:spacing w:line="300" w:lineRule="atLeast"/>
              <w:jc w:val="center"/>
              <w:rPr>
                <w:rFonts w:ascii="Times New Roman" w:hAnsi="Times New Roman" w:eastAsia="宋体"/>
                <w:b/>
                <w:sz w:val="24"/>
              </w:rPr>
            </w:pPr>
            <w:r>
              <w:rPr>
                <w:rFonts w:ascii="Times New Roman" w:hAnsi="Times New Roman" w:eastAsia="宋体"/>
                <w:b/>
                <w:sz w:val="24"/>
              </w:rPr>
              <w:t>大</w:t>
            </w:r>
          </w:p>
          <w:p>
            <w:pPr>
              <w:spacing w:line="300" w:lineRule="atLeast"/>
              <w:jc w:val="center"/>
              <w:rPr>
                <w:rFonts w:ascii="Times New Roman" w:hAnsi="Times New Roman" w:eastAsia="宋体"/>
                <w:b/>
                <w:sz w:val="24"/>
              </w:rPr>
            </w:pPr>
            <w:r>
              <w:rPr>
                <w:rFonts w:ascii="Times New Roman" w:hAnsi="Times New Roman" w:eastAsia="宋体"/>
                <w:b/>
                <w:sz w:val="24"/>
              </w:rPr>
              <w:t>气</w:t>
            </w:r>
          </w:p>
          <w:p>
            <w:pPr>
              <w:spacing w:line="300" w:lineRule="atLeast"/>
              <w:jc w:val="center"/>
              <w:rPr>
                <w:rFonts w:ascii="Times New Roman" w:hAnsi="Times New Roman" w:eastAsia="宋体"/>
                <w:b/>
                <w:sz w:val="24"/>
              </w:rPr>
            </w:pPr>
            <w:r>
              <w:rPr>
                <w:rFonts w:ascii="Times New Roman" w:hAnsi="Times New Roman" w:eastAsia="宋体"/>
                <w:b/>
                <w:sz w:val="24"/>
              </w:rPr>
              <w:t>污</w:t>
            </w:r>
          </w:p>
          <w:p>
            <w:pPr>
              <w:spacing w:line="300" w:lineRule="atLeast"/>
              <w:jc w:val="center"/>
              <w:rPr>
                <w:rFonts w:ascii="Times New Roman" w:hAnsi="Times New Roman" w:eastAsia="宋体"/>
                <w:b/>
                <w:sz w:val="24"/>
              </w:rPr>
            </w:pPr>
            <w:r>
              <w:rPr>
                <w:rFonts w:ascii="Times New Roman" w:hAnsi="Times New Roman" w:eastAsia="宋体"/>
                <w:b/>
                <w:sz w:val="24"/>
              </w:rPr>
              <w:t>染</w:t>
            </w:r>
          </w:p>
          <w:p>
            <w:pPr>
              <w:spacing w:line="300" w:lineRule="atLeast"/>
              <w:jc w:val="center"/>
              <w:rPr>
                <w:rFonts w:ascii="Times New Roman" w:hAnsi="Times New Roman" w:eastAsia="宋体"/>
                <w:b/>
                <w:sz w:val="24"/>
              </w:rPr>
            </w:pPr>
            <w:r>
              <w:rPr>
                <w:rFonts w:ascii="Times New Roman" w:hAnsi="Times New Roman" w:eastAsia="宋体"/>
                <w:b/>
                <w:sz w:val="24"/>
              </w:rPr>
              <w:t>物</w:t>
            </w:r>
          </w:p>
        </w:tc>
        <w:tc>
          <w:tcPr>
            <w:tcW w:w="1442" w:type="dxa"/>
            <w:tcBorders>
              <w:top w:val="single" w:color="auto" w:sz="6" w:space="0"/>
              <w:left w:val="single" w:color="auto" w:sz="6" w:space="0"/>
              <w:right w:val="single" w:color="auto" w:sz="6" w:space="0"/>
            </w:tcBorders>
            <w:vAlign w:val="center"/>
          </w:tcPr>
          <w:p>
            <w:pPr>
              <w:spacing w:line="300" w:lineRule="atLeast"/>
              <w:jc w:val="center"/>
              <w:rPr>
                <w:rFonts w:ascii="Times New Roman" w:hAnsi="Times New Roman" w:eastAsia="宋体"/>
                <w:sz w:val="24"/>
              </w:rPr>
            </w:pPr>
            <w:r>
              <w:rPr>
                <w:rFonts w:hint="eastAsia" w:ascii="Times New Roman" w:hAnsi="Times New Roman" w:eastAsia="宋体"/>
                <w:sz w:val="24"/>
              </w:rPr>
              <w:t>焊接设备</w:t>
            </w:r>
          </w:p>
        </w:tc>
        <w:tc>
          <w:tcPr>
            <w:tcW w:w="2100" w:type="dxa"/>
            <w:tcBorders>
              <w:top w:val="single" w:color="auto" w:sz="6" w:space="0"/>
              <w:left w:val="single" w:color="auto" w:sz="6" w:space="0"/>
              <w:right w:val="single" w:color="auto" w:sz="6" w:space="0"/>
            </w:tcBorders>
            <w:shd w:val="clear" w:color="auto" w:fill="auto"/>
            <w:vAlign w:val="center"/>
          </w:tcPr>
          <w:p>
            <w:pPr>
              <w:spacing w:line="300" w:lineRule="atLeast"/>
              <w:jc w:val="center"/>
              <w:rPr>
                <w:rFonts w:ascii="Times New Roman" w:hAnsi="Times New Roman" w:eastAsia="宋体"/>
                <w:kern w:val="0"/>
                <w:sz w:val="24"/>
              </w:rPr>
            </w:pPr>
            <w:r>
              <w:rPr>
                <w:rFonts w:hint="eastAsia" w:ascii="Times New Roman" w:hAnsi="Times New Roman" w:eastAsia="宋体"/>
                <w:color w:val="000000"/>
                <w:sz w:val="24"/>
              </w:rPr>
              <w:t>焊接烟尘（</w:t>
            </w:r>
            <w:r>
              <w:rPr>
                <w:rFonts w:hint="eastAsia" w:ascii="Times New Roman" w:hAnsi="Times New Roman" w:eastAsia="宋体"/>
                <w:color w:val="000000"/>
                <w:sz w:val="24"/>
                <w:lang w:eastAsia="zh-CN"/>
              </w:rPr>
              <w:t>无组织</w:t>
            </w:r>
            <w:r>
              <w:rPr>
                <w:rFonts w:hint="eastAsia" w:ascii="Times New Roman" w:hAnsi="Times New Roman" w:eastAsia="宋体"/>
                <w:color w:val="000000"/>
                <w:sz w:val="24"/>
              </w:rPr>
              <w:t>）</w:t>
            </w:r>
          </w:p>
        </w:tc>
        <w:tc>
          <w:tcPr>
            <w:tcW w:w="2308" w:type="dxa"/>
            <w:tcBorders>
              <w:top w:val="single" w:color="auto" w:sz="6" w:space="0"/>
              <w:left w:val="single" w:color="auto" w:sz="6" w:space="0"/>
              <w:right w:val="single" w:color="auto" w:sz="6" w:space="0"/>
            </w:tcBorders>
            <w:shd w:val="clear" w:color="auto" w:fill="auto"/>
            <w:vAlign w:val="center"/>
          </w:tcPr>
          <w:p>
            <w:pPr>
              <w:spacing w:line="300" w:lineRule="atLeast"/>
              <w:jc w:val="center"/>
              <w:rPr>
                <w:rFonts w:ascii="Times New Roman" w:hAnsi="Times New Roman" w:eastAsia="宋体"/>
                <w:sz w:val="24"/>
              </w:rPr>
            </w:pPr>
            <w:r>
              <w:rPr>
                <w:rFonts w:hint="eastAsia" w:ascii="Times New Roman" w:hAnsi="Times New Roman" w:eastAsia="宋体"/>
                <w:snapToGrid w:val="0"/>
                <w:sz w:val="24"/>
                <w:lang w:val="en-US" w:eastAsia="zh-CN"/>
              </w:rPr>
              <w:t>0.</w:t>
            </w:r>
            <w:r>
              <w:rPr>
                <w:rFonts w:hint="eastAsia" w:ascii="Times New Roman" w:hAnsi="Times New Roman"/>
                <w:snapToGrid w:val="0"/>
                <w:sz w:val="24"/>
                <w:lang w:val="en-US" w:eastAsia="zh-CN"/>
              </w:rPr>
              <w:t>16</w:t>
            </w:r>
            <w:r>
              <w:rPr>
                <w:rFonts w:hint="eastAsia" w:ascii="Times New Roman" w:hAnsi="Times New Roman" w:eastAsia="宋体"/>
                <w:snapToGrid w:val="0"/>
                <w:sz w:val="24"/>
                <w:lang w:val="en-US" w:eastAsia="zh-CN"/>
              </w:rPr>
              <w:t>t</w:t>
            </w:r>
            <w:r>
              <w:rPr>
                <w:rFonts w:ascii="Times New Roman" w:hAnsi="Times New Roman" w:eastAsia="宋体"/>
                <w:snapToGrid w:val="0"/>
                <w:sz w:val="24"/>
              </w:rPr>
              <w:t>/a</w:t>
            </w:r>
          </w:p>
        </w:tc>
        <w:tc>
          <w:tcPr>
            <w:tcW w:w="2861" w:type="dxa"/>
            <w:tcBorders>
              <w:top w:val="single" w:color="auto" w:sz="6" w:space="0"/>
              <w:left w:val="single" w:color="auto" w:sz="6" w:space="0"/>
              <w:bottom w:val="single" w:color="auto" w:sz="6" w:space="0"/>
              <w:right w:val="single" w:color="auto" w:sz="12" w:space="0"/>
            </w:tcBorders>
            <w:shd w:val="clear" w:color="auto" w:fill="auto"/>
            <w:vAlign w:val="center"/>
          </w:tcPr>
          <w:p>
            <w:pPr>
              <w:spacing w:line="300" w:lineRule="atLeast"/>
              <w:jc w:val="center"/>
              <w:rPr>
                <w:rFonts w:ascii="Times New Roman" w:hAnsi="Times New Roman" w:eastAsia="宋体"/>
                <w:color w:val="C00000"/>
                <w:sz w:val="24"/>
              </w:rPr>
            </w:pPr>
            <w:r>
              <w:rPr>
                <w:rFonts w:hint="eastAsia" w:ascii="Times New Roman" w:hAnsi="Times New Roman" w:eastAsia="宋体"/>
                <w:snapToGrid w:val="0"/>
                <w:sz w:val="24"/>
                <w:lang w:val="en-US" w:eastAsia="zh-CN"/>
              </w:rPr>
              <w:t>0.0</w:t>
            </w:r>
            <w:r>
              <w:rPr>
                <w:rFonts w:hint="eastAsia"/>
                <w:snapToGrid w:val="0"/>
                <w:sz w:val="24"/>
                <w:lang w:val="en-US" w:eastAsia="zh-CN"/>
              </w:rPr>
              <w:t>3328</w:t>
            </w:r>
            <w:r>
              <w:rPr>
                <w:rFonts w:hint="eastAsia" w:ascii="Times New Roman" w:hAnsi="Times New Roman" w:eastAsia="宋体"/>
                <w:snapToGrid w:val="0"/>
                <w:sz w:val="24"/>
                <w:lang w:val="en-US" w:eastAsia="zh-CN"/>
              </w:rPr>
              <w:t>t</w:t>
            </w:r>
            <w:r>
              <w:rPr>
                <w:rFonts w:ascii="Times New Roman" w:hAnsi="Times New Roman" w:eastAsia="宋体"/>
                <w:snapToGrid w:val="0"/>
                <w:sz w:val="24"/>
              </w:rPr>
              <w:t>/a</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57" w:type="dxa"/>
            <w:bottom w:w="0" w:type="dxa"/>
            <w:right w:w="57" w:type="dxa"/>
          </w:tblCellMar>
        </w:tblPrEx>
        <w:trPr>
          <w:trHeight w:val="851" w:hRule="atLeast"/>
          <w:jc w:val="center"/>
        </w:trPr>
        <w:tc>
          <w:tcPr>
            <w:tcW w:w="832" w:type="dxa"/>
            <w:vMerge w:val="continue"/>
            <w:tcBorders>
              <w:left w:val="single" w:color="auto" w:sz="12" w:space="0"/>
              <w:bottom w:val="single" w:color="auto" w:sz="6" w:space="0"/>
              <w:right w:val="single" w:color="auto" w:sz="6" w:space="0"/>
            </w:tcBorders>
            <w:vAlign w:val="center"/>
          </w:tcPr>
          <w:p>
            <w:pPr>
              <w:spacing w:line="300" w:lineRule="atLeast"/>
              <w:jc w:val="center"/>
              <w:rPr>
                <w:rFonts w:ascii="Times New Roman" w:hAnsi="Times New Roman" w:eastAsia="宋体"/>
                <w:b/>
                <w:sz w:val="24"/>
              </w:rPr>
            </w:pPr>
          </w:p>
        </w:tc>
        <w:tc>
          <w:tcPr>
            <w:tcW w:w="1442" w:type="dxa"/>
            <w:tcBorders>
              <w:top w:val="single" w:color="auto" w:sz="4" w:space="0"/>
              <w:left w:val="single" w:color="auto" w:sz="6" w:space="0"/>
              <w:bottom w:val="single" w:color="auto" w:sz="6" w:space="0"/>
              <w:right w:val="single" w:color="auto" w:sz="6" w:space="0"/>
            </w:tcBorders>
            <w:vAlign w:val="center"/>
          </w:tcPr>
          <w:p>
            <w:pPr>
              <w:spacing w:line="300" w:lineRule="atLeast"/>
              <w:jc w:val="center"/>
              <w:rPr>
                <w:rFonts w:hint="eastAsia" w:ascii="Times New Roman" w:hAnsi="Times New Roman" w:eastAsia="宋体"/>
                <w:sz w:val="24"/>
                <w:lang w:eastAsia="zh-CN"/>
              </w:rPr>
            </w:pPr>
            <w:r>
              <w:rPr>
                <w:rFonts w:hint="eastAsia" w:ascii="Times New Roman" w:hAnsi="Times New Roman" w:eastAsia="宋体"/>
                <w:sz w:val="24"/>
                <w:lang w:eastAsia="zh-CN"/>
              </w:rPr>
              <w:t>下料、机加工</w:t>
            </w:r>
          </w:p>
        </w:tc>
        <w:tc>
          <w:tcPr>
            <w:tcW w:w="2100" w:type="dxa"/>
            <w:tcBorders>
              <w:top w:val="single" w:color="auto" w:sz="6" w:space="0"/>
              <w:left w:val="single" w:color="auto" w:sz="6" w:space="0"/>
              <w:bottom w:val="single" w:color="auto" w:sz="6" w:space="0"/>
              <w:right w:val="single" w:color="auto" w:sz="6" w:space="0"/>
            </w:tcBorders>
            <w:shd w:val="clear" w:color="auto" w:fill="auto"/>
            <w:vAlign w:val="center"/>
          </w:tcPr>
          <w:p>
            <w:pPr>
              <w:spacing w:line="300" w:lineRule="atLeast"/>
              <w:jc w:val="center"/>
              <w:rPr>
                <w:rFonts w:ascii="Times New Roman" w:hAnsi="Times New Roman" w:eastAsia="宋体"/>
                <w:color w:val="000000"/>
                <w:sz w:val="24"/>
              </w:rPr>
            </w:pPr>
            <w:r>
              <w:rPr>
                <w:rFonts w:hint="eastAsia" w:ascii="Times New Roman" w:hAnsi="Times New Roman" w:eastAsia="宋体"/>
                <w:color w:val="000000"/>
                <w:sz w:val="24"/>
                <w:lang w:eastAsia="zh-CN"/>
              </w:rPr>
              <w:t>粉尘</w:t>
            </w:r>
            <w:r>
              <w:rPr>
                <w:rFonts w:hint="eastAsia" w:ascii="Times New Roman" w:hAnsi="Times New Roman" w:eastAsia="宋体"/>
                <w:color w:val="000000"/>
                <w:sz w:val="24"/>
              </w:rPr>
              <w:t>（</w:t>
            </w:r>
            <w:r>
              <w:rPr>
                <w:rFonts w:hint="eastAsia" w:ascii="Times New Roman" w:hAnsi="Times New Roman" w:eastAsia="宋体"/>
                <w:color w:val="000000"/>
                <w:sz w:val="24"/>
                <w:lang w:eastAsia="zh-CN"/>
              </w:rPr>
              <w:t>无组织</w:t>
            </w:r>
            <w:r>
              <w:rPr>
                <w:rFonts w:hint="eastAsia" w:ascii="Times New Roman" w:hAnsi="Times New Roman" w:eastAsia="宋体"/>
                <w:color w:val="000000"/>
                <w:sz w:val="24"/>
              </w:rPr>
              <w:t>）</w:t>
            </w:r>
          </w:p>
        </w:tc>
        <w:tc>
          <w:tcPr>
            <w:tcW w:w="2308" w:type="dxa"/>
            <w:tcBorders>
              <w:top w:val="single" w:color="auto" w:sz="6" w:space="0"/>
              <w:left w:val="single" w:color="auto" w:sz="6" w:space="0"/>
              <w:bottom w:val="single" w:color="auto" w:sz="6" w:space="0"/>
              <w:right w:val="single" w:color="auto" w:sz="6" w:space="0"/>
            </w:tcBorders>
            <w:shd w:val="clear" w:color="auto" w:fill="auto"/>
            <w:vAlign w:val="center"/>
          </w:tcPr>
          <w:p>
            <w:pPr>
              <w:spacing w:line="300" w:lineRule="atLeast"/>
              <w:jc w:val="center"/>
              <w:rPr>
                <w:rFonts w:ascii="Times New Roman" w:hAnsi="Times New Roman" w:eastAsia="宋体"/>
                <w:sz w:val="24"/>
              </w:rPr>
            </w:pPr>
            <w:r>
              <w:rPr>
                <w:rFonts w:hint="eastAsia"/>
                <w:snapToGrid w:val="0"/>
                <w:sz w:val="24"/>
                <w:lang w:val="en-US" w:eastAsia="zh-CN"/>
              </w:rPr>
              <w:t>2</w:t>
            </w:r>
            <w:r>
              <w:rPr>
                <w:rFonts w:hint="eastAsia" w:ascii="Times New Roman" w:hAnsi="Times New Roman" w:eastAsia="宋体"/>
                <w:snapToGrid w:val="0"/>
                <w:sz w:val="24"/>
                <w:lang w:val="en-US" w:eastAsia="zh-CN"/>
              </w:rPr>
              <w:t>t</w:t>
            </w:r>
            <w:r>
              <w:rPr>
                <w:rFonts w:ascii="Times New Roman" w:hAnsi="Times New Roman" w:eastAsia="宋体"/>
                <w:snapToGrid w:val="0"/>
                <w:sz w:val="24"/>
              </w:rPr>
              <w:t>/a</w:t>
            </w:r>
          </w:p>
        </w:tc>
        <w:tc>
          <w:tcPr>
            <w:tcW w:w="2861" w:type="dxa"/>
            <w:tcBorders>
              <w:top w:val="single" w:color="auto" w:sz="6" w:space="0"/>
              <w:left w:val="single" w:color="auto" w:sz="6" w:space="0"/>
              <w:bottom w:val="single" w:color="auto" w:sz="6" w:space="0"/>
              <w:right w:val="single" w:color="auto" w:sz="12" w:space="0"/>
            </w:tcBorders>
            <w:shd w:val="clear" w:color="auto" w:fill="auto"/>
            <w:vAlign w:val="center"/>
          </w:tcPr>
          <w:p>
            <w:pPr>
              <w:spacing w:line="300" w:lineRule="atLeast"/>
              <w:jc w:val="center"/>
              <w:rPr>
                <w:rFonts w:ascii="Times New Roman" w:hAnsi="Times New Roman" w:eastAsia="宋体"/>
                <w:color w:val="C00000"/>
                <w:sz w:val="24"/>
              </w:rPr>
            </w:pPr>
            <w:r>
              <w:rPr>
                <w:rFonts w:hint="eastAsia"/>
                <w:snapToGrid w:val="0"/>
                <w:sz w:val="24"/>
                <w:lang w:val="en-US" w:eastAsia="zh-CN"/>
              </w:rPr>
              <w:t>0.1</w:t>
            </w:r>
            <w:r>
              <w:rPr>
                <w:rFonts w:hint="eastAsia" w:ascii="Times New Roman" w:hAnsi="Times New Roman" w:eastAsia="宋体"/>
                <w:snapToGrid w:val="0"/>
                <w:sz w:val="24"/>
                <w:lang w:val="en-US" w:eastAsia="zh-CN"/>
              </w:rPr>
              <w:t>t</w:t>
            </w:r>
            <w:r>
              <w:rPr>
                <w:rFonts w:ascii="Times New Roman" w:hAnsi="Times New Roman" w:eastAsia="宋体"/>
                <w:snapToGrid w:val="0"/>
                <w:sz w:val="24"/>
              </w:rPr>
              <w:t>/a</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57" w:type="dxa"/>
            <w:bottom w:w="0" w:type="dxa"/>
            <w:right w:w="57" w:type="dxa"/>
          </w:tblCellMar>
        </w:tblPrEx>
        <w:trPr>
          <w:trHeight w:val="312" w:hRule="atLeast"/>
          <w:jc w:val="center"/>
        </w:trPr>
        <w:tc>
          <w:tcPr>
            <w:tcW w:w="832" w:type="dxa"/>
            <w:vMerge w:val="restart"/>
            <w:tcBorders>
              <w:left w:val="single" w:color="auto" w:sz="12" w:space="0"/>
              <w:right w:val="single" w:color="auto" w:sz="6" w:space="0"/>
            </w:tcBorders>
            <w:vAlign w:val="center"/>
          </w:tcPr>
          <w:p>
            <w:pPr>
              <w:spacing w:line="300" w:lineRule="atLeast"/>
              <w:jc w:val="center"/>
              <w:rPr>
                <w:rFonts w:ascii="Times New Roman" w:hAnsi="Times New Roman" w:eastAsia="宋体"/>
                <w:b/>
                <w:sz w:val="24"/>
              </w:rPr>
            </w:pPr>
            <w:r>
              <w:rPr>
                <w:rFonts w:ascii="Times New Roman" w:hAnsi="Times New Roman" w:eastAsia="宋体"/>
                <w:b/>
                <w:sz w:val="24"/>
              </w:rPr>
              <w:t>水</w:t>
            </w:r>
          </w:p>
          <w:p>
            <w:pPr>
              <w:spacing w:line="300" w:lineRule="atLeast"/>
              <w:jc w:val="center"/>
              <w:rPr>
                <w:rFonts w:ascii="Times New Roman" w:hAnsi="Times New Roman" w:eastAsia="宋体"/>
                <w:b/>
                <w:sz w:val="24"/>
              </w:rPr>
            </w:pPr>
            <w:r>
              <w:rPr>
                <w:rFonts w:ascii="Times New Roman" w:hAnsi="Times New Roman" w:eastAsia="宋体"/>
                <w:b/>
                <w:sz w:val="24"/>
              </w:rPr>
              <w:t>污</w:t>
            </w:r>
          </w:p>
          <w:p>
            <w:pPr>
              <w:spacing w:line="300" w:lineRule="atLeast"/>
              <w:jc w:val="center"/>
              <w:rPr>
                <w:rFonts w:ascii="Times New Roman" w:hAnsi="Times New Roman" w:eastAsia="宋体"/>
                <w:b/>
                <w:sz w:val="24"/>
              </w:rPr>
            </w:pPr>
            <w:r>
              <w:rPr>
                <w:rFonts w:ascii="Times New Roman" w:hAnsi="Times New Roman" w:eastAsia="宋体"/>
                <w:b/>
                <w:sz w:val="24"/>
              </w:rPr>
              <w:t>染</w:t>
            </w:r>
          </w:p>
          <w:p>
            <w:pPr>
              <w:spacing w:line="300" w:lineRule="atLeast"/>
              <w:jc w:val="center"/>
              <w:rPr>
                <w:rFonts w:ascii="Times New Roman" w:hAnsi="Times New Roman" w:eastAsia="宋体"/>
                <w:b/>
                <w:sz w:val="24"/>
              </w:rPr>
            </w:pPr>
            <w:r>
              <w:rPr>
                <w:rFonts w:ascii="Times New Roman" w:hAnsi="Times New Roman" w:eastAsia="宋体"/>
                <w:b/>
                <w:sz w:val="24"/>
              </w:rPr>
              <w:t>物</w:t>
            </w:r>
          </w:p>
        </w:tc>
        <w:tc>
          <w:tcPr>
            <w:tcW w:w="1442" w:type="dxa"/>
            <w:vMerge w:val="restart"/>
            <w:tcBorders>
              <w:left w:val="single" w:color="auto" w:sz="6" w:space="0"/>
              <w:right w:val="single" w:color="auto" w:sz="6" w:space="0"/>
            </w:tcBorders>
            <w:vAlign w:val="center"/>
          </w:tcPr>
          <w:p>
            <w:pPr>
              <w:spacing w:line="360" w:lineRule="exact"/>
              <w:jc w:val="center"/>
              <w:rPr>
                <w:rFonts w:hint="eastAsia"/>
                <w:color w:val="000000" w:themeColor="text1"/>
                <w:sz w:val="24"/>
                <w:szCs w:val="24"/>
                <w:highlight w:val="none"/>
                <w:lang w:val="en-US" w:eastAsia="zh-CN"/>
              </w:rPr>
            </w:pPr>
            <w:r>
              <w:rPr>
                <w:rFonts w:hint="eastAsia"/>
                <w:color w:val="000000" w:themeColor="text1"/>
                <w:sz w:val="24"/>
                <w:szCs w:val="24"/>
                <w:highlight w:val="none"/>
                <w:lang w:val="en-US" w:eastAsia="zh-CN"/>
              </w:rPr>
              <w:t>生活污水</w:t>
            </w:r>
          </w:p>
          <w:p>
            <w:pPr>
              <w:spacing w:line="300" w:lineRule="atLeast"/>
              <w:jc w:val="center"/>
              <w:rPr>
                <w:rFonts w:ascii="Times New Roman" w:hAnsi="Times New Roman" w:eastAsia="宋体"/>
                <w:b/>
                <w:sz w:val="24"/>
              </w:rPr>
            </w:pPr>
            <w:r>
              <w:rPr>
                <w:rFonts w:hint="eastAsia"/>
                <w:color w:val="000000" w:themeColor="text1"/>
                <w:sz w:val="24"/>
                <w:szCs w:val="24"/>
                <w:highlight w:val="none"/>
                <w:lang w:val="en-US" w:eastAsia="zh-CN"/>
              </w:rPr>
              <w:t>192</w:t>
            </w:r>
            <w:r>
              <w:rPr>
                <w:rFonts w:hint="eastAsia"/>
                <w:color w:val="000000" w:themeColor="text1"/>
                <w:sz w:val="24"/>
                <w:szCs w:val="24"/>
                <w:highlight w:val="none"/>
              </w:rPr>
              <w:t>m</w:t>
            </w:r>
            <w:r>
              <w:rPr>
                <w:rFonts w:hint="eastAsia"/>
                <w:color w:val="000000" w:themeColor="text1"/>
                <w:sz w:val="24"/>
                <w:szCs w:val="24"/>
                <w:highlight w:val="none"/>
                <w:vertAlign w:val="superscript"/>
              </w:rPr>
              <w:t>3</w:t>
            </w:r>
            <w:r>
              <w:rPr>
                <w:rFonts w:hint="eastAsia"/>
                <w:color w:val="000000" w:themeColor="text1"/>
                <w:sz w:val="24"/>
                <w:szCs w:val="24"/>
                <w:highlight w:val="none"/>
              </w:rPr>
              <w:t>/a</w:t>
            </w:r>
          </w:p>
        </w:tc>
        <w:tc>
          <w:tcPr>
            <w:tcW w:w="2100" w:type="dxa"/>
            <w:vMerge w:val="restart"/>
            <w:tcBorders>
              <w:top w:val="single" w:color="auto" w:sz="6" w:space="0"/>
              <w:left w:val="single" w:color="auto" w:sz="6" w:space="0"/>
              <w:right w:val="single" w:color="auto" w:sz="6" w:space="0"/>
            </w:tcBorders>
            <w:shd w:val="clear" w:color="auto" w:fill="auto"/>
            <w:vAlign w:val="center"/>
          </w:tcPr>
          <w:p>
            <w:pPr>
              <w:spacing w:line="360" w:lineRule="exact"/>
              <w:jc w:val="center"/>
              <w:rPr>
                <w:rFonts w:ascii="Times New Roman" w:hAnsi="Times New Roman" w:eastAsia="宋体"/>
                <w:sz w:val="24"/>
                <w:szCs w:val="24"/>
              </w:rPr>
            </w:pPr>
            <w:r>
              <w:rPr>
                <w:rFonts w:hint="eastAsia"/>
                <w:color w:val="auto"/>
                <w:sz w:val="24"/>
                <w:szCs w:val="24"/>
                <w:highlight w:val="none"/>
              </w:rPr>
              <w:t>COD</w:t>
            </w:r>
          </w:p>
        </w:tc>
        <w:tc>
          <w:tcPr>
            <w:tcW w:w="2308" w:type="dxa"/>
            <w:vMerge w:val="restart"/>
            <w:tcBorders>
              <w:top w:val="single" w:color="auto" w:sz="6" w:space="0"/>
              <w:left w:val="single" w:color="auto" w:sz="6" w:space="0"/>
              <w:right w:val="single" w:color="auto" w:sz="6" w:space="0"/>
            </w:tcBorders>
            <w:shd w:val="clear" w:color="auto" w:fill="auto"/>
            <w:vAlign w:val="center"/>
          </w:tcPr>
          <w:p>
            <w:pPr>
              <w:spacing w:line="360" w:lineRule="exact"/>
              <w:jc w:val="center"/>
              <w:rPr>
                <w:rFonts w:ascii="Times New Roman" w:hAnsi="Times New Roman" w:eastAsia="宋体"/>
                <w:snapToGrid w:val="0"/>
                <w:sz w:val="24"/>
              </w:rPr>
            </w:pPr>
            <w:r>
              <w:rPr>
                <w:rFonts w:hint="eastAsia"/>
                <w:color w:val="auto"/>
                <w:sz w:val="24"/>
                <w:szCs w:val="24"/>
                <w:highlight w:val="none"/>
              </w:rPr>
              <w:t>300mg/L，</w:t>
            </w:r>
            <w:r>
              <w:rPr>
                <w:rFonts w:hint="eastAsia"/>
                <w:color w:val="auto"/>
                <w:sz w:val="24"/>
                <w:szCs w:val="24"/>
                <w:highlight w:val="none"/>
                <w:lang w:val="en-US" w:eastAsia="zh-CN"/>
              </w:rPr>
              <w:t>0.0576</w:t>
            </w:r>
            <w:r>
              <w:rPr>
                <w:color w:val="auto"/>
                <w:sz w:val="24"/>
                <w:szCs w:val="24"/>
                <w:highlight w:val="none"/>
              </w:rPr>
              <w:t>t/a</w:t>
            </w:r>
          </w:p>
        </w:tc>
        <w:tc>
          <w:tcPr>
            <w:tcW w:w="2861" w:type="dxa"/>
            <w:vMerge w:val="restart"/>
            <w:tcBorders>
              <w:top w:val="single" w:color="auto" w:sz="6" w:space="0"/>
              <w:left w:val="single" w:color="auto" w:sz="6" w:space="0"/>
              <w:right w:val="single" w:color="auto" w:sz="12" w:space="0"/>
            </w:tcBorders>
            <w:shd w:val="clear" w:color="auto" w:fill="auto"/>
            <w:vAlign w:val="center"/>
          </w:tcPr>
          <w:p>
            <w:pPr>
              <w:spacing w:line="360" w:lineRule="exact"/>
              <w:jc w:val="center"/>
              <w:rPr>
                <w:rFonts w:ascii="Times New Roman" w:hAnsi="Times New Roman" w:eastAsia="宋体"/>
                <w:snapToGrid w:val="0"/>
                <w:sz w:val="24"/>
              </w:rPr>
            </w:pPr>
            <w:r>
              <w:rPr>
                <w:rFonts w:hint="eastAsia"/>
                <w:color w:val="auto"/>
                <w:sz w:val="24"/>
                <w:szCs w:val="24"/>
                <w:highlight w:val="none"/>
                <w:lang w:val="en-US" w:eastAsia="zh-CN"/>
              </w:rPr>
              <w:t>5</w:t>
            </w:r>
            <w:r>
              <w:rPr>
                <w:rFonts w:hint="eastAsia"/>
                <w:color w:val="auto"/>
                <w:sz w:val="24"/>
                <w:szCs w:val="24"/>
                <w:highlight w:val="none"/>
              </w:rPr>
              <w:t>0mg/L，</w:t>
            </w:r>
            <w:r>
              <w:rPr>
                <w:rFonts w:hint="eastAsia"/>
                <w:color w:val="auto"/>
                <w:sz w:val="24"/>
                <w:szCs w:val="24"/>
                <w:highlight w:val="none"/>
                <w:lang w:val="en-US" w:eastAsia="zh-CN"/>
              </w:rPr>
              <w:t>0.0096</w:t>
            </w:r>
            <w:r>
              <w:rPr>
                <w:color w:val="auto"/>
                <w:sz w:val="24"/>
                <w:szCs w:val="24"/>
                <w:highlight w:val="none"/>
              </w:rPr>
              <w:t>t/a</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57" w:type="dxa"/>
            <w:bottom w:w="0" w:type="dxa"/>
            <w:right w:w="57" w:type="dxa"/>
          </w:tblCellMar>
        </w:tblPrEx>
        <w:trPr>
          <w:trHeight w:val="312" w:hRule="atLeast"/>
          <w:jc w:val="center"/>
        </w:trPr>
        <w:tc>
          <w:tcPr>
            <w:tcW w:w="832" w:type="dxa"/>
            <w:vMerge w:val="continue"/>
            <w:tcBorders>
              <w:left w:val="single" w:color="auto" w:sz="12" w:space="0"/>
              <w:right w:val="single" w:color="auto" w:sz="6" w:space="0"/>
            </w:tcBorders>
            <w:vAlign w:val="center"/>
          </w:tcPr>
          <w:p>
            <w:pPr>
              <w:spacing w:line="300" w:lineRule="atLeast"/>
              <w:jc w:val="center"/>
            </w:pPr>
          </w:p>
        </w:tc>
        <w:tc>
          <w:tcPr>
            <w:tcW w:w="1442" w:type="dxa"/>
            <w:vMerge w:val="continue"/>
            <w:tcBorders>
              <w:left w:val="single" w:color="auto" w:sz="6" w:space="0"/>
              <w:right w:val="single" w:color="auto" w:sz="6" w:space="0"/>
            </w:tcBorders>
            <w:vAlign w:val="center"/>
          </w:tcPr>
          <w:p>
            <w:pPr>
              <w:spacing w:line="300" w:lineRule="atLeast"/>
              <w:jc w:val="center"/>
            </w:pPr>
          </w:p>
        </w:tc>
        <w:tc>
          <w:tcPr>
            <w:tcW w:w="2100" w:type="dxa"/>
            <w:vMerge w:val="continue"/>
            <w:tcBorders>
              <w:left w:val="single" w:color="auto" w:sz="6" w:space="0"/>
              <w:right w:val="single" w:color="auto" w:sz="6" w:space="0"/>
            </w:tcBorders>
            <w:shd w:val="clear" w:color="auto" w:fill="auto"/>
            <w:vAlign w:val="center"/>
          </w:tcPr>
          <w:p>
            <w:pPr>
              <w:spacing w:line="300" w:lineRule="atLeast"/>
              <w:jc w:val="center"/>
              <w:rPr>
                <w:rFonts w:ascii="Times New Roman" w:hAnsi="Times New Roman" w:eastAsia="宋体"/>
                <w:sz w:val="24"/>
                <w:szCs w:val="24"/>
              </w:rPr>
            </w:pPr>
          </w:p>
        </w:tc>
        <w:tc>
          <w:tcPr>
            <w:tcW w:w="2308" w:type="dxa"/>
            <w:vMerge w:val="continue"/>
            <w:tcBorders>
              <w:left w:val="single" w:color="auto" w:sz="6" w:space="0"/>
              <w:right w:val="single" w:color="auto" w:sz="6" w:space="0"/>
            </w:tcBorders>
            <w:shd w:val="clear" w:color="auto" w:fill="auto"/>
            <w:vAlign w:val="center"/>
          </w:tcPr>
          <w:p>
            <w:pPr>
              <w:spacing w:line="300" w:lineRule="atLeast"/>
              <w:jc w:val="center"/>
              <w:rPr>
                <w:rFonts w:ascii="Times New Roman" w:hAnsi="Times New Roman" w:eastAsia="宋体"/>
                <w:sz w:val="24"/>
                <w:szCs w:val="24"/>
              </w:rPr>
            </w:pPr>
          </w:p>
        </w:tc>
        <w:tc>
          <w:tcPr>
            <w:tcW w:w="2861" w:type="dxa"/>
            <w:vMerge w:val="continue"/>
            <w:tcBorders>
              <w:left w:val="single" w:color="auto" w:sz="6" w:space="0"/>
              <w:right w:val="single" w:color="auto" w:sz="12" w:space="0"/>
            </w:tcBorders>
            <w:shd w:val="clear" w:color="auto" w:fill="auto"/>
            <w:vAlign w:val="center"/>
          </w:tcPr>
          <w:p>
            <w:pPr>
              <w:spacing w:line="300" w:lineRule="atLeast"/>
              <w:jc w:val="center"/>
              <w:rPr>
                <w:rFonts w:ascii="Times New Roman" w:hAnsi="Times New Roman" w:eastAsia="宋体"/>
                <w:sz w:val="24"/>
                <w:szCs w:val="24"/>
              </w:rPr>
            </w:pP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57" w:type="dxa"/>
            <w:bottom w:w="0" w:type="dxa"/>
            <w:right w:w="57" w:type="dxa"/>
          </w:tblCellMar>
        </w:tblPrEx>
        <w:trPr>
          <w:trHeight w:val="312" w:hRule="atLeast"/>
          <w:jc w:val="center"/>
        </w:trPr>
        <w:tc>
          <w:tcPr>
            <w:tcW w:w="832" w:type="dxa"/>
            <w:vMerge w:val="continue"/>
            <w:tcBorders>
              <w:left w:val="single" w:color="auto" w:sz="12" w:space="0"/>
              <w:right w:val="single" w:color="auto" w:sz="6" w:space="0"/>
            </w:tcBorders>
            <w:vAlign w:val="center"/>
          </w:tcPr>
          <w:p>
            <w:pPr>
              <w:spacing w:line="300" w:lineRule="atLeast"/>
              <w:jc w:val="center"/>
              <w:rPr>
                <w:rFonts w:ascii="Times New Roman" w:hAnsi="Times New Roman" w:eastAsia="宋体"/>
                <w:sz w:val="24"/>
                <w:szCs w:val="24"/>
              </w:rPr>
            </w:pPr>
          </w:p>
        </w:tc>
        <w:tc>
          <w:tcPr>
            <w:tcW w:w="1442" w:type="dxa"/>
            <w:vMerge w:val="continue"/>
            <w:tcBorders>
              <w:left w:val="single" w:color="auto" w:sz="6" w:space="0"/>
              <w:right w:val="single" w:color="auto" w:sz="6" w:space="0"/>
            </w:tcBorders>
            <w:vAlign w:val="center"/>
          </w:tcPr>
          <w:p>
            <w:pPr>
              <w:spacing w:line="300" w:lineRule="atLeast"/>
              <w:jc w:val="center"/>
              <w:rPr>
                <w:rFonts w:ascii="Times New Roman" w:hAnsi="Times New Roman" w:eastAsia="宋体"/>
                <w:sz w:val="24"/>
                <w:szCs w:val="24"/>
              </w:rPr>
            </w:pPr>
          </w:p>
        </w:tc>
        <w:tc>
          <w:tcPr>
            <w:tcW w:w="2100" w:type="dxa"/>
            <w:vMerge w:val="restart"/>
            <w:tcBorders>
              <w:top w:val="single" w:color="auto" w:sz="6" w:space="0"/>
              <w:left w:val="single" w:color="auto" w:sz="6" w:space="0"/>
              <w:right w:val="single" w:color="auto" w:sz="6" w:space="0"/>
            </w:tcBorders>
            <w:shd w:val="clear" w:color="auto" w:fill="auto"/>
            <w:vAlign w:val="center"/>
          </w:tcPr>
          <w:p>
            <w:pPr>
              <w:spacing w:line="360" w:lineRule="exact"/>
              <w:jc w:val="center"/>
              <w:rPr>
                <w:rFonts w:ascii="Times New Roman" w:hAnsi="Times New Roman" w:eastAsia="宋体"/>
                <w:sz w:val="24"/>
                <w:szCs w:val="24"/>
              </w:rPr>
            </w:pPr>
            <w:r>
              <w:rPr>
                <w:rFonts w:hint="eastAsia"/>
                <w:color w:val="auto"/>
                <w:sz w:val="24"/>
                <w:szCs w:val="24"/>
                <w:highlight w:val="none"/>
              </w:rPr>
              <w:t>NH</w:t>
            </w:r>
            <w:r>
              <w:rPr>
                <w:rFonts w:hint="eastAsia"/>
                <w:color w:val="auto"/>
                <w:sz w:val="24"/>
                <w:szCs w:val="24"/>
                <w:highlight w:val="none"/>
                <w:vertAlign w:val="subscript"/>
              </w:rPr>
              <w:t>3</w:t>
            </w:r>
            <w:r>
              <w:rPr>
                <w:rFonts w:hint="eastAsia"/>
                <w:color w:val="auto"/>
                <w:sz w:val="24"/>
                <w:szCs w:val="24"/>
                <w:highlight w:val="none"/>
              </w:rPr>
              <w:t>-N</w:t>
            </w:r>
          </w:p>
        </w:tc>
        <w:tc>
          <w:tcPr>
            <w:tcW w:w="2308" w:type="dxa"/>
            <w:vMerge w:val="restart"/>
            <w:tcBorders>
              <w:top w:val="single" w:color="auto" w:sz="6" w:space="0"/>
              <w:left w:val="single" w:color="auto" w:sz="6" w:space="0"/>
              <w:right w:val="single" w:color="auto" w:sz="6" w:space="0"/>
            </w:tcBorders>
            <w:shd w:val="clear" w:color="auto" w:fill="auto"/>
            <w:vAlign w:val="center"/>
          </w:tcPr>
          <w:p>
            <w:pPr>
              <w:spacing w:line="360" w:lineRule="exact"/>
              <w:jc w:val="center"/>
              <w:rPr>
                <w:rFonts w:ascii="Times New Roman" w:hAnsi="Times New Roman" w:eastAsia="宋体"/>
                <w:sz w:val="24"/>
                <w:szCs w:val="24"/>
              </w:rPr>
            </w:pPr>
            <w:r>
              <w:rPr>
                <w:rFonts w:hint="eastAsia"/>
                <w:color w:val="auto"/>
                <w:sz w:val="24"/>
                <w:szCs w:val="24"/>
                <w:highlight w:val="none"/>
              </w:rPr>
              <w:t>25mg/L，</w:t>
            </w:r>
            <w:r>
              <w:rPr>
                <w:rFonts w:hint="eastAsia"/>
                <w:color w:val="auto"/>
                <w:sz w:val="24"/>
                <w:szCs w:val="24"/>
                <w:highlight w:val="none"/>
                <w:lang w:val="en-US" w:eastAsia="zh-CN"/>
              </w:rPr>
              <w:t>0.0048</w:t>
            </w:r>
            <w:r>
              <w:rPr>
                <w:color w:val="auto"/>
                <w:sz w:val="24"/>
                <w:szCs w:val="24"/>
                <w:highlight w:val="none"/>
              </w:rPr>
              <w:t>t/a</w:t>
            </w:r>
          </w:p>
        </w:tc>
        <w:tc>
          <w:tcPr>
            <w:tcW w:w="2861" w:type="dxa"/>
            <w:vMerge w:val="restart"/>
            <w:tcBorders>
              <w:top w:val="single" w:color="auto" w:sz="6" w:space="0"/>
              <w:left w:val="single" w:color="auto" w:sz="6" w:space="0"/>
              <w:right w:val="single" w:color="auto" w:sz="12" w:space="0"/>
            </w:tcBorders>
            <w:shd w:val="clear" w:color="auto" w:fill="auto"/>
            <w:vAlign w:val="center"/>
          </w:tcPr>
          <w:p>
            <w:pPr>
              <w:spacing w:line="360" w:lineRule="exact"/>
              <w:jc w:val="center"/>
              <w:rPr>
                <w:rFonts w:ascii="Times New Roman" w:hAnsi="Times New Roman" w:eastAsia="宋体"/>
                <w:sz w:val="24"/>
                <w:szCs w:val="24"/>
              </w:rPr>
            </w:pPr>
            <w:r>
              <w:rPr>
                <w:rFonts w:hint="eastAsia"/>
                <w:color w:val="auto"/>
                <w:sz w:val="24"/>
                <w:szCs w:val="24"/>
                <w:highlight w:val="none"/>
              </w:rPr>
              <w:t>5mg/L，</w:t>
            </w:r>
            <w:r>
              <w:rPr>
                <w:rFonts w:hint="eastAsia"/>
                <w:color w:val="auto"/>
                <w:sz w:val="24"/>
                <w:szCs w:val="24"/>
                <w:highlight w:val="none"/>
                <w:lang w:val="en-US" w:eastAsia="zh-CN"/>
              </w:rPr>
              <w:t>0.00096</w:t>
            </w:r>
            <w:r>
              <w:rPr>
                <w:color w:val="auto"/>
                <w:sz w:val="24"/>
                <w:szCs w:val="24"/>
                <w:highlight w:val="none"/>
              </w:rPr>
              <w:t>t/a</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57" w:type="dxa"/>
            <w:bottom w:w="0" w:type="dxa"/>
            <w:right w:w="57" w:type="dxa"/>
          </w:tblCellMar>
        </w:tblPrEx>
        <w:trPr>
          <w:trHeight w:val="312" w:hRule="atLeast"/>
          <w:jc w:val="center"/>
        </w:trPr>
        <w:tc>
          <w:tcPr>
            <w:tcW w:w="832" w:type="dxa"/>
            <w:vMerge w:val="continue"/>
            <w:tcBorders>
              <w:left w:val="single" w:color="auto" w:sz="12" w:space="0"/>
              <w:bottom w:val="single" w:color="auto" w:sz="4" w:space="0"/>
              <w:right w:val="single" w:color="auto" w:sz="6" w:space="0"/>
            </w:tcBorders>
            <w:vAlign w:val="center"/>
          </w:tcPr>
          <w:p>
            <w:pPr>
              <w:spacing w:line="300" w:lineRule="atLeast"/>
              <w:jc w:val="center"/>
              <w:rPr>
                <w:rFonts w:ascii="Times New Roman" w:hAnsi="Times New Roman" w:eastAsia="宋体"/>
                <w:sz w:val="24"/>
                <w:szCs w:val="24"/>
              </w:rPr>
            </w:pPr>
          </w:p>
        </w:tc>
        <w:tc>
          <w:tcPr>
            <w:tcW w:w="1442" w:type="dxa"/>
            <w:vMerge w:val="continue"/>
            <w:tcBorders>
              <w:left w:val="single" w:color="auto" w:sz="6" w:space="0"/>
              <w:right w:val="single" w:color="auto" w:sz="6" w:space="0"/>
            </w:tcBorders>
            <w:vAlign w:val="center"/>
          </w:tcPr>
          <w:p>
            <w:pPr>
              <w:spacing w:line="300" w:lineRule="atLeast"/>
              <w:jc w:val="center"/>
              <w:rPr>
                <w:rFonts w:ascii="Times New Roman" w:hAnsi="Times New Roman" w:eastAsia="宋体"/>
                <w:sz w:val="24"/>
                <w:szCs w:val="24"/>
              </w:rPr>
            </w:pPr>
          </w:p>
        </w:tc>
        <w:tc>
          <w:tcPr>
            <w:tcW w:w="2100" w:type="dxa"/>
            <w:vMerge w:val="continue"/>
            <w:tcBorders>
              <w:left w:val="single" w:color="auto" w:sz="6" w:space="0"/>
              <w:right w:val="single" w:color="auto" w:sz="6" w:space="0"/>
            </w:tcBorders>
            <w:shd w:val="clear" w:color="auto" w:fill="auto"/>
            <w:vAlign w:val="center"/>
          </w:tcPr>
          <w:p>
            <w:pPr>
              <w:spacing w:line="300" w:lineRule="atLeast"/>
              <w:jc w:val="center"/>
              <w:rPr>
                <w:rFonts w:ascii="Times New Roman" w:hAnsi="Times New Roman" w:eastAsia="宋体"/>
                <w:sz w:val="24"/>
                <w:szCs w:val="24"/>
              </w:rPr>
            </w:pPr>
          </w:p>
        </w:tc>
        <w:tc>
          <w:tcPr>
            <w:tcW w:w="2308" w:type="dxa"/>
            <w:vMerge w:val="continue"/>
            <w:tcBorders>
              <w:left w:val="single" w:color="auto" w:sz="6" w:space="0"/>
              <w:right w:val="single" w:color="auto" w:sz="6" w:space="0"/>
            </w:tcBorders>
            <w:shd w:val="clear" w:color="auto" w:fill="auto"/>
            <w:vAlign w:val="center"/>
          </w:tcPr>
          <w:p>
            <w:pPr>
              <w:spacing w:line="300" w:lineRule="atLeast"/>
              <w:jc w:val="center"/>
              <w:rPr>
                <w:rFonts w:ascii="Times New Roman" w:hAnsi="Times New Roman" w:eastAsia="宋体"/>
                <w:sz w:val="24"/>
                <w:szCs w:val="24"/>
              </w:rPr>
            </w:pPr>
          </w:p>
        </w:tc>
        <w:tc>
          <w:tcPr>
            <w:tcW w:w="2861" w:type="dxa"/>
            <w:vMerge w:val="continue"/>
            <w:tcBorders>
              <w:left w:val="single" w:color="auto" w:sz="6" w:space="0"/>
              <w:right w:val="single" w:color="auto" w:sz="12" w:space="0"/>
            </w:tcBorders>
            <w:shd w:val="clear" w:color="auto" w:fill="auto"/>
            <w:vAlign w:val="center"/>
          </w:tcPr>
          <w:p>
            <w:pPr>
              <w:spacing w:line="300" w:lineRule="atLeast"/>
              <w:jc w:val="center"/>
              <w:rPr>
                <w:rFonts w:ascii="Times New Roman" w:hAnsi="Times New Roman" w:eastAsia="宋体"/>
                <w:sz w:val="24"/>
                <w:szCs w:val="24"/>
              </w:rPr>
            </w:pP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57" w:type="dxa"/>
            <w:bottom w:w="0" w:type="dxa"/>
            <w:right w:w="57" w:type="dxa"/>
          </w:tblCellMar>
        </w:tblPrEx>
        <w:trPr>
          <w:trHeight w:val="433" w:hRule="atLeast"/>
          <w:jc w:val="center"/>
        </w:trPr>
        <w:tc>
          <w:tcPr>
            <w:tcW w:w="832" w:type="dxa"/>
            <w:vMerge w:val="restart"/>
            <w:tcBorders>
              <w:top w:val="single" w:color="auto" w:sz="4" w:space="0"/>
              <w:left w:val="single" w:color="auto" w:sz="12" w:space="0"/>
              <w:right w:val="single" w:color="auto" w:sz="6" w:space="0"/>
            </w:tcBorders>
            <w:vAlign w:val="center"/>
          </w:tcPr>
          <w:p>
            <w:pPr>
              <w:spacing w:line="300" w:lineRule="atLeast"/>
              <w:jc w:val="center"/>
              <w:rPr>
                <w:rFonts w:ascii="Times New Roman" w:hAnsi="Times New Roman" w:eastAsia="宋体"/>
                <w:b/>
                <w:sz w:val="24"/>
              </w:rPr>
            </w:pPr>
            <w:r>
              <w:rPr>
                <w:rFonts w:hint="eastAsia" w:ascii="Times New Roman" w:hAnsi="Times New Roman" w:eastAsia="宋体"/>
                <w:b/>
                <w:sz w:val="24"/>
              </w:rPr>
              <w:t>固</w:t>
            </w:r>
          </w:p>
          <w:p>
            <w:pPr>
              <w:spacing w:line="300" w:lineRule="atLeast"/>
              <w:jc w:val="center"/>
              <w:rPr>
                <w:rFonts w:ascii="Times New Roman" w:hAnsi="Times New Roman" w:eastAsia="宋体"/>
                <w:b/>
                <w:sz w:val="24"/>
              </w:rPr>
            </w:pPr>
            <w:r>
              <w:rPr>
                <w:rFonts w:hint="eastAsia" w:ascii="Times New Roman" w:hAnsi="Times New Roman" w:eastAsia="宋体"/>
                <w:b/>
                <w:sz w:val="24"/>
              </w:rPr>
              <w:t>体</w:t>
            </w:r>
          </w:p>
          <w:p>
            <w:pPr>
              <w:spacing w:line="300" w:lineRule="atLeast"/>
              <w:jc w:val="center"/>
              <w:rPr>
                <w:rFonts w:ascii="Times New Roman" w:hAnsi="Times New Roman" w:eastAsia="宋体"/>
                <w:b/>
                <w:sz w:val="24"/>
              </w:rPr>
            </w:pPr>
            <w:r>
              <w:rPr>
                <w:rFonts w:hint="eastAsia" w:ascii="Times New Roman" w:hAnsi="Times New Roman" w:eastAsia="宋体"/>
                <w:b/>
                <w:sz w:val="24"/>
              </w:rPr>
              <w:t>废</w:t>
            </w:r>
          </w:p>
          <w:p>
            <w:pPr>
              <w:spacing w:line="300" w:lineRule="atLeast"/>
              <w:jc w:val="center"/>
              <w:rPr>
                <w:rFonts w:ascii="Times New Roman" w:hAnsi="Times New Roman" w:eastAsia="宋体"/>
                <w:b/>
                <w:sz w:val="24"/>
              </w:rPr>
            </w:pPr>
            <w:r>
              <w:rPr>
                <w:rFonts w:hint="eastAsia" w:ascii="Times New Roman" w:hAnsi="Times New Roman" w:eastAsia="宋体"/>
                <w:b/>
                <w:sz w:val="24"/>
              </w:rPr>
              <w:t>物</w:t>
            </w:r>
          </w:p>
        </w:tc>
        <w:tc>
          <w:tcPr>
            <w:tcW w:w="1442" w:type="dxa"/>
            <w:vMerge w:val="restart"/>
            <w:tcBorders>
              <w:top w:val="single" w:color="auto" w:sz="6" w:space="0"/>
              <w:left w:val="single" w:color="auto" w:sz="6" w:space="0"/>
              <w:right w:val="single" w:color="auto" w:sz="6" w:space="0"/>
            </w:tcBorders>
            <w:shd w:val="clear" w:color="auto" w:fill="auto"/>
            <w:vAlign w:val="center"/>
          </w:tcPr>
          <w:p>
            <w:pPr>
              <w:spacing w:line="300" w:lineRule="atLeast"/>
              <w:jc w:val="center"/>
              <w:rPr>
                <w:rFonts w:ascii="Times New Roman" w:hAnsi="Times New Roman" w:eastAsia="宋体"/>
                <w:sz w:val="24"/>
              </w:rPr>
            </w:pPr>
            <w:r>
              <w:rPr>
                <w:rFonts w:hint="eastAsia" w:ascii="Times New Roman" w:hAnsi="Times New Roman" w:eastAsia="宋体"/>
                <w:sz w:val="24"/>
              </w:rPr>
              <w:t>厂房内机械加工区域</w:t>
            </w:r>
          </w:p>
        </w:tc>
        <w:tc>
          <w:tcPr>
            <w:tcW w:w="2100" w:type="dxa"/>
            <w:tcBorders>
              <w:top w:val="single" w:color="auto" w:sz="6" w:space="0"/>
              <w:left w:val="single" w:color="auto" w:sz="6" w:space="0"/>
              <w:bottom w:val="single" w:color="auto" w:sz="6" w:space="0"/>
              <w:right w:val="single" w:color="auto" w:sz="6" w:space="0"/>
            </w:tcBorders>
            <w:shd w:val="clear" w:color="auto" w:fill="auto"/>
            <w:vAlign w:val="center"/>
          </w:tcPr>
          <w:p>
            <w:pPr>
              <w:spacing w:line="300" w:lineRule="atLeast"/>
              <w:jc w:val="center"/>
              <w:rPr>
                <w:rFonts w:ascii="Times New Roman" w:hAnsi="Times New Roman" w:eastAsia="宋体"/>
                <w:sz w:val="24"/>
              </w:rPr>
            </w:pPr>
            <w:r>
              <w:rPr>
                <w:rFonts w:hint="eastAsia" w:ascii="Times New Roman" w:hAnsi="Times New Roman" w:eastAsia="宋体"/>
                <w:sz w:val="24"/>
                <w:lang w:eastAsia="zh-CN"/>
              </w:rPr>
              <w:t>生活垃圾</w:t>
            </w:r>
          </w:p>
        </w:tc>
        <w:tc>
          <w:tcPr>
            <w:tcW w:w="2308" w:type="dxa"/>
            <w:tcBorders>
              <w:top w:val="single" w:color="auto" w:sz="6" w:space="0"/>
              <w:left w:val="single" w:color="auto" w:sz="6" w:space="0"/>
              <w:bottom w:val="single" w:color="auto" w:sz="6" w:space="0"/>
              <w:right w:val="single" w:color="auto" w:sz="6" w:space="0"/>
            </w:tcBorders>
            <w:shd w:val="clear" w:color="auto" w:fill="auto"/>
            <w:vAlign w:val="center"/>
          </w:tcPr>
          <w:p>
            <w:pPr>
              <w:spacing w:line="300" w:lineRule="atLeast"/>
              <w:jc w:val="center"/>
              <w:rPr>
                <w:rFonts w:ascii="Times New Roman" w:hAnsi="Times New Roman" w:eastAsia="宋体"/>
                <w:bCs/>
                <w:sz w:val="24"/>
              </w:rPr>
            </w:pPr>
            <w:r>
              <w:rPr>
                <w:rFonts w:hint="eastAsia" w:ascii="Times New Roman" w:hAnsi="Times New Roman" w:eastAsia="宋体"/>
                <w:bCs/>
                <w:sz w:val="24"/>
                <w:lang w:val="en-US" w:eastAsia="zh-CN"/>
              </w:rPr>
              <w:t>3t</w:t>
            </w:r>
            <w:r>
              <w:rPr>
                <w:rFonts w:hint="eastAsia" w:ascii="Times New Roman" w:hAnsi="Times New Roman" w:eastAsia="宋体"/>
                <w:bCs/>
                <w:sz w:val="24"/>
              </w:rPr>
              <w:t>/a</w:t>
            </w:r>
          </w:p>
        </w:tc>
        <w:tc>
          <w:tcPr>
            <w:tcW w:w="2861" w:type="dxa"/>
            <w:tcBorders>
              <w:top w:val="single" w:color="auto" w:sz="6" w:space="0"/>
              <w:left w:val="single" w:color="auto" w:sz="6" w:space="0"/>
              <w:bottom w:val="single" w:color="auto" w:sz="4" w:space="0"/>
              <w:right w:val="single" w:color="auto" w:sz="12" w:space="0"/>
            </w:tcBorders>
            <w:shd w:val="clear" w:color="auto" w:fill="auto"/>
            <w:vAlign w:val="center"/>
          </w:tcPr>
          <w:p>
            <w:pPr>
              <w:spacing w:line="300" w:lineRule="atLeast"/>
              <w:jc w:val="center"/>
              <w:rPr>
                <w:rFonts w:hint="default" w:ascii="Times New Roman" w:hAnsi="Times New Roman" w:eastAsia="宋体"/>
                <w:sz w:val="24"/>
                <w:lang w:val="en-US" w:eastAsia="zh-CN"/>
              </w:rPr>
            </w:pPr>
            <w:r>
              <w:rPr>
                <w:rFonts w:hint="eastAsia" w:ascii="Times New Roman" w:hAnsi="Times New Roman" w:eastAsia="宋体"/>
                <w:sz w:val="24"/>
                <w:lang w:val="en-US" w:eastAsia="zh-CN"/>
              </w:rPr>
              <w:t>环卫部门拉走处理</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57" w:type="dxa"/>
            <w:bottom w:w="0" w:type="dxa"/>
            <w:right w:w="57" w:type="dxa"/>
          </w:tblCellMar>
        </w:tblPrEx>
        <w:trPr>
          <w:trHeight w:val="433" w:hRule="atLeast"/>
          <w:jc w:val="center"/>
        </w:trPr>
        <w:tc>
          <w:tcPr>
            <w:tcW w:w="832" w:type="dxa"/>
            <w:vMerge w:val="continue"/>
            <w:tcBorders>
              <w:left w:val="single" w:color="auto" w:sz="12" w:space="0"/>
              <w:right w:val="single" w:color="auto" w:sz="6" w:space="0"/>
            </w:tcBorders>
            <w:vAlign w:val="center"/>
          </w:tcPr>
          <w:p>
            <w:pPr>
              <w:spacing w:line="300" w:lineRule="atLeast"/>
              <w:jc w:val="center"/>
            </w:pPr>
          </w:p>
        </w:tc>
        <w:tc>
          <w:tcPr>
            <w:tcW w:w="1442" w:type="dxa"/>
            <w:vMerge w:val="continue"/>
            <w:tcBorders>
              <w:left w:val="single" w:color="auto" w:sz="6" w:space="0"/>
              <w:right w:val="single" w:color="auto" w:sz="6" w:space="0"/>
            </w:tcBorders>
            <w:shd w:val="clear" w:color="auto" w:fill="auto"/>
            <w:vAlign w:val="center"/>
          </w:tcPr>
          <w:p>
            <w:pPr>
              <w:spacing w:line="300" w:lineRule="atLeast"/>
              <w:jc w:val="center"/>
            </w:pPr>
          </w:p>
        </w:tc>
        <w:tc>
          <w:tcPr>
            <w:tcW w:w="2100" w:type="dxa"/>
            <w:tcBorders>
              <w:top w:val="single" w:color="auto" w:sz="6" w:space="0"/>
              <w:left w:val="single" w:color="auto" w:sz="6" w:space="0"/>
              <w:bottom w:val="single" w:color="auto" w:sz="6" w:space="0"/>
              <w:right w:val="single" w:color="auto" w:sz="6" w:space="0"/>
            </w:tcBorders>
            <w:shd w:val="clear" w:color="auto" w:fill="auto"/>
            <w:vAlign w:val="center"/>
          </w:tcPr>
          <w:p>
            <w:pPr>
              <w:spacing w:line="300" w:lineRule="atLeast"/>
              <w:jc w:val="center"/>
              <w:rPr>
                <w:rFonts w:hint="eastAsia" w:ascii="Times New Roman" w:hAnsi="Times New Roman" w:eastAsia="宋体"/>
                <w:sz w:val="24"/>
                <w:lang w:eastAsia="zh-CN"/>
              </w:rPr>
            </w:pPr>
            <w:r>
              <w:rPr>
                <w:rFonts w:hint="eastAsia" w:ascii="Times New Roman" w:hAnsi="Times New Roman" w:eastAsia="宋体"/>
                <w:sz w:val="24"/>
                <w:lang w:eastAsia="zh-CN"/>
              </w:rPr>
              <w:t>金属废料</w:t>
            </w:r>
          </w:p>
        </w:tc>
        <w:tc>
          <w:tcPr>
            <w:tcW w:w="2308" w:type="dxa"/>
            <w:tcBorders>
              <w:top w:val="single" w:color="auto" w:sz="6" w:space="0"/>
              <w:left w:val="single" w:color="auto" w:sz="6" w:space="0"/>
              <w:bottom w:val="single" w:color="auto" w:sz="6" w:space="0"/>
              <w:right w:val="single" w:color="auto" w:sz="6" w:space="0"/>
            </w:tcBorders>
            <w:shd w:val="clear" w:color="auto" w:fill="auto"/>
            <w:vAlign w:val="center"/>
          </w:tcPr>
          <w:p>
            <w:pPr>
              <w:spacing w:line="300" w:lineRule="atLeast"/>
              <w:jc w:val="center"/>
              <w:rPr>
                <w:rFonts w:hint="default" w:ascii="Times New Roman" w:hAnsi="Times New Roman" w:eastAsia="宋体"/>
                <w:sz w:val="24"/>
                <w:lang w:val="en-US" w:eastAsia="zh-CN"/>
              </w:rPr>
            </w:pPr>
            <w:r>
              <w:rPr>
                <w:rFonts w:hint="eastAsia" w:ascii="Times New Roman" w:hAnsi="Times New Roman" w:eastAsia="宋体"/>
                <w:sz w:val="24"/>
                <w:lang w:val="en-US" w:eastAsia="zh-CN"/>
              </w:rPr>
              <w:t>30t/a</w:t>
            </w:r>
          </w:p>
        </w:tc>
        <w:tc>
          <w:tcPr>
            <w:tcW w:w="2861" w:type="dxa"/>
            <w:vMerge w:val="restart"/>
            <w:tcBorders>
              <w:top w:val="single" w:color="auto" w:sz="4" w:space="0"/>
              <w:left w:val="single" w:color="auto" w:sz="6" w:space="0"/>
              <w:right w:val="single" w:color="auto" w:sz="12" w:space="0"/>
            </w:tcBorders>
            <w:shd w:val="clear" w:color="auto" w:fill="auto"/>
            <w:vAlign w:val="center"/>
          </w:tcPr>
          <w:p>
            <w:pPr>
              <w:spacing w:line="300" w:lineRule="atLeast"/>
              <w:jc w:val="center"/>
              <w:rPr>
                <w:rFonts w:hint="eastAsia" w:ascii="Times New Roman" w:hAnsi="Times New Roman" w:eastAsia="宋体"/>
                <w:sz w:val="24"/>
                <w:lang w:eastAsia="zh-CN"/>
              </w:rPr>
            </w:pPr>
            <w:r>
              <w:rPr>
                <w:rFonts w:hAnsi="宋体"/>
                <w:color w:val="000000" w:themeColor="text1"/>
                <w:kern w:val="0"/>
                <w:sz w:val="24"/>
                <w:szCs w:val="24"/>
                <w:highlight w:val="none"/>
              </w:rPr>
              <w:t>统一收集后外售</w:t>
            </w:r>
            <w:r>
              <w:rPr>
                <w:rFonts w:hint="eastAsia" w:hAnsi="宋体"/>
                <w:color w:val="000000" w:themeColor="text1"/>
                <w:kern w:val="0"/>
                <w:sz w:val="24"/>
                <w:szCs w:val="24"/>
                <w:highlight w:val="none"/>
                <w:lang w:eastAsia="zh-CN"/>
              </w:rPr>
              <w:t>，不外排</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57" w:type="dxa"/>
            <w:bottom w:w="0" w:type="dxa"/>
            <w:right w:w="57" w:type="dxa"/>
          </w:tblCellMar>
        </w:tblPrEx>
        <w:trPr>
          <w:trHeight w:val="433" w:hRule="atLeast"/>
          <w:jc w:val="center"/>
        </w:trPr>
        <w:tc>
          <w:tcPr>
            <w:tcW w:w="832" w:type="dxa"/>
            <w:vMerge w:val="continue"/>
            <w:tcBorders>
              <w:left w:val="single" w:color="auto" w:sz="12" w:space="0"/>
              <w:right w:val="single" w:color="auto" w:sz="6" w:space="0"/>
            </w:tcBorders>
            <w:vAlign w:val="center"/>
          </w:tcPr>
          <w:p>
            <w:pPr>
              <w:spacing w:line="300" w:lineRule="atLeast"/>
              <w:jc w:val="center"/>
            </w:pPr>
          </w:p>
        </w:tc>
        <w:tc>
          <w:tcPr>
            <w:tcW w:w="1442" w:type="dxa"/>
            <w:vMerge w:val="continue"/>
            <w:tcBorders>
              <w:left w:val="single" w:color="auto" w:sz="6" w:space="0"/>
              <w:right w:val="single" w:color="auto" w:sz="6" w:space="0"/>
            </w:tcBorders>
            <w:shd w:val="clear" w:color="auto" w:fill="auto"/>
            <w:vAlign w:val="center"/>
          </w:tcPr>
          <w:p>
            <w:pPr>
              <w:spacing w:line="300" w:lineRule="atLeast"/>
              <w:jc w:val="center"/>
            </w:pPr>
          </w:p>
        </w:tc>
        <w:tc>
          <w:tcPr>
            <w:tcW w:w="2100" w:type="dxa"/>
            <w:tcBorders>
              <w:top w:val="single" w:color="auto" w:sz="6" w:space="0"/>
              <w:left w:val="single" w:color="auto" w:sz="6" w:space="0"/>
              <w:bottom w:val="single" w:color="auto" w:sz="6" w:space="0"/>
              <w:right w:val="single" w:color="auto" w:sz="6" w:space="0"/>
            </w:tcBorders>
            <w:shd w:val="clear" w:color="auto" w:fill="auto"/>
            <w:vAlign w:val="center"/>
          </w:tcPr>
          <w:p>
            <w:pPr>
              <w:spacing w:line="300" w:lineRule="atLeast"/>
              <w:jc w:val="center"/>
              <w:rPr>
                <w:rFonts w:hint="eastAsia" w:ascii="Times New Roman" w:hAnsi="Times New Roman" w:eastAsia="宋体"/>
                <w:sz w:val="24"/>
                <w:lang w:eastAsia="zh-CN"/>
              </w:rPr>
            </w:pPr>
            <w:r>
              <w:rPr>
                <w:rFonts w:hint="eastAsia" w:ascii="Times New Roman" w:hAnsi="Times New Roman"/>
                <w:sz w:val="24"/>
                <w:lang w:eastAsia="zh-CN"/>
              </w:rPr>
              <w:t>焊接</w:t>
            </w:r>
            <w:r>
              <w:rPr>
                <w:rFonts w:hint="eastAsia" w:ascii="Times New Roman" w:hAnsi="Times New Roman" w:eastAsia="宋体"/>
                <w:sz w:val="24"/>
                <w:lang w:eastAsia="zh-CN"/>
              </w:rPr>
              <w:t>烟尘净化器收集、自然沉降</w:t>
            </w:r>
            <w:r>
              <w:rPr>
                <w:rFonts w:hint="eastAsia" w:ascii="Times New Roman" w:hAnsi="Times New Roman" w:eastAsia="宋体"/>
                <w:sz w:val="24"/>
              </w:rPr>
              <w:t>粉尘</w:t>
            </w:r>
          </w:p>
        </w:tc>
        <w:tc>
          <w:tcPr>
            <w:tcW w:w="2308" w:type="dxa"/>
            <w:tcBorders>
              <w:top w:val="single" w:color="auto" w:sz="6" w:space="0"/>
              <w:left w:val="single" w:color="auto" w:sz="6" w:space="0"/>
              <w:bottom w:val="single" w:color="auto" w:sz="6" w:space="0"/>
              <w:right w:val="single" w:color="auto" w:sz="6" w:space="0"/>
            </w:tcBorders>
            <w:shd w:val="clear" w:color="auto" w:fill="auto"/>
            <w:vAlign w:val="center"/>
          </w:tcPr>
          <w:p>
            <w:pPr>
              <w:spacing w:line="300" w:lineRule="atLeast"/>
              <w:jc w:val="center"/>
              <w:rPr>
                <w:rFonts w:hint="eastAsia" w:ascii="Times New Roman" w:hAnsi="Times New Roman" w:eastAsia="宋体"/>
                <w:sz w:val="24"/>
                <w:lang w:eastAsia="zh-CN"/>
              </w:rPr>
            </w:pPr>
            <w:r>
              <w:rPr>
                <w:rFonts w:hint="eastAsia" w:ascii="Times New Roman" w:hAnsi="Times New Roman"/>
                <w:bCs/>
                <w:sz w:val="24"/>
                <w:lang w:val="en-US" w:eastAsia="zh-CN"/>
              </w:rPr>
              <w:t>1.93328</w:t>
            </w:r>
            <w:r>
              <w:rPr>
                <w:rFonts w:hint="eastAsia" w:ascii="Times New Roman" w:hAnsi="Times New Roman" w:eastAsia="宋体"/>
                <w:bCs/>
                <w:sz w:val="24"/>
                <w:lang w:val="en-US" w:eastAsia="zh-CN"/>
              </w:rPr>
              <w:t>t</w:t>
            </w:r>
            <w:r>
              <w:rPr>
                <w:rFonts w:hint="eastAsia" w:ascii="Times New Roman" w:hAnsi="Times New Roman" w:eastAsia="宋体"/>
                <w:bCs/>
                <w:sz w:val="24"/>
              </w:rPr>
              <w:t>/a</w:t>
            </w:r>
          </w:p>
        </w:tc>
        <w:tc>
          <w:tcPr>
            <w:tcW w:w="2861" w:type="dxa"/>
            <w:vMerge w:val="continue"/>
            <w:tcBorders>
              <w:left w:val="single" w:color="auto" w:sz="6" w:space="0"/>
              <w:bottom w:val="single" w:color="auto" w:sz="4" w:space="0"/>
              <w:right w:val="single" w:color="auto" w:sz="12" w:space="0"/>
            </w:tcBorders>
            <w:shd w:val="clear" w:color="auto" w:fill="auto"/>
            <w:vAlign w:val="center"/>
          </w:tcPr>
          <w:p>
            <w:pPr>
              <w:spacing w:line="300" w:lineRule="atLeast"/>
              <w:jc w:val="center"/>
              <w:rPr>
                <w:rFonts w:hint="eastAsia" w:ascii="Times New Roman" w:hAnsi="Times New Roman" w:eastAsia="宋体"/>
                <w:sz w:val="24"/>
                <w:lang w:eastAsia="zh-CN"/>
              </w:rPr>
            </w:pP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57" w:type="dxa"/>
            <w:bottom w:w="0" w:type="dxa"/>
            <w:right w:w="57" w:type="dxa"/>
          </w:tblCellMar>
        </w:tblPrEx>
        <w:trPr>
          <w:trHeight w:val="851" w:hRule="atLeast"/>
          <w:jc w:val="center"/>
        </w:trPr>
        <w:tc>
          <w:tcPr>
            <w:tcW w:w="832" w:type="dxa"/>
            <w:vMerge w:val="continue"/>
            <w:tcBorders>
              <w:left w:val="single" w:color="auto" w:sz="12" w:space="0"/>
              <w:right w:val="single" w:color="auto" w:sz="6" w:space="0"/>
            </w:tcBorders>
            <w:vAlign w:val="center"/>
          </w:tcPr>
          <w:p>
            <w:pPr>
              <w:spacing w:line="300" w:lineRule="atLeast"/>
              <w:jc w:val="center"/>
              <w:rPr>
                <w:rFonts w:ascii="Times New Roman" w:hAnsi="Times New Roman" w:eastAsia="宋体"/>
                <w:b/>
                <w:sz w:val="24"/>
              </w:rPr>
            </w:pPr>
          </w:p>
        </w:tc>
        <w:tc>
          <w:tcPr>
            <w:tcW w:w="1442" w:type="dxa"/>
            <w:vMerge w:val="continue"/>
            <w:tcBorders>
              <w:left w:val="single" w:color="auto" w:sz="6" w:space="0"/>
              <w:right w:val="single" w:color="auto" w:sz="6" w:space="0"/>
            </w:tcBorders>
            <w:shd w:val="clear" w:color="auto" w:fill="auto"/>
            <w:vAlign w:val="center"/>
          </w:tcPr>
          <w:p>
            <w:pPr>
              <w:spacing w:line="300" w:lineRule="atLeast"/>
              <w:jc w:val="center"/>
              <w:rPr>
                <w:rFonts w:ascii="Times New Roman" w:hAnsi="Times New Roman" w:eastAsia="宋体"/>
                <w:sz w:val="24"/>
              </w:rPr>
            </w:pPr>
          </w:p>
        </w:tc>
        <w:tc>
          <w:tcPr>
            <w:tcW w:w="2100" w:type="dxa"/>
            <w:tcBorders>
              <w:top w:val="single" w:color="auto" w:sz="6" w:space="0"/>
              <w:left w:val="single" w:color="auto" w:sz="6" w:space="0"/>
              <w:bottom w:val="single" w:color="auto" w:sz="6" w:space="0"/>
              <w:right w:val="single" w:color="auto" w:sz="6" w:space="0"/>
            </w:tcBorders>
            <w:shd w:val="clear" w:color="auto" w:fill="auto"/>
            <w:vAlign w:val="center"/>
          </w:tcPr>
          <w:p>
            <w:pPr>
              <w:spacing w:line="300" w:lineRule="atLeast"/>
              <w:jc w:val="center"/>
              <w:rPr>
                <w:rFonts w:ascii="Times New Roman" w:hAnsi="Times New Roman" w:eastAsia="宋体"/>
                <w:sz w:val="24"/>
              </w:rPr>
            </w:pPr>
            <w:r>
              <w:rPr>
                <w:rFonts w:hint="eastAsia" w:ascii="Times New Roman" w:hAnsi="Times New Roman" w:eastAsia="宋体"/>
                <w:sz w:val="24"/>
              </w:rPr>
              <w:t>废机油</w:t>
            </w:r>
          </w:p>
        </w:tc>
        <w:tc>
          <w:tcPr>
            <w:tcW w:w="2308" w:type="dxa"/>
            <w:tcBorders>
              <w:top w:val="single" w:color="auto" w:sz="6" w:space="0"/>
              <w:left w:val="single" w:color="auto" w:sz="6" w:space="0"/>
              <w:bottom w:val="single" w:color="auto" w:sz="6" w:space="0"/>
              <w:right w:val="single" w:color="auto" w:sz="6" w:space="0"/>
            </w:tcBorders>
            <w:shd w:val="clear" w:color="auto" w:fill="auto"/>
            <w:vAlign w:val="center"/>
          </w:tcPr>
          <w:p>
            <w:pPr>
              <w:spacing w:line="300" w:lineRule="atLeast"/>
              <w:jc w:val="center"/>
              <w:rPr>
                <w:rFonts w:ascii="Times New Roman" w:hAnsi="Times New Roman" w:eastAsia="宋体"/>
                <w:bCs/>
                <w:sz w:val="24"/>
              </w:rPr>
            </w:pPr>
            <w:r>
              <w:rPr>
                <w:rFonts w:hint="eastAsia" w:ascii="Times New Roman" w:hAnsi="Times New Roman" w:eastAsia="宋体"/>
                <w:bCs/>
                <w:sz w:val="24"/>
              </w:rPr>
              <w:t>0.</w:t>
            </w:r>
            <w:r>
              <w:rPr>
                <w:rFonts w:hint="eastAsia" w:ascii="Times New Roman" w:hAnsi="Times New Roman" w:eastAsia="宋体"/>
                <w:bCs/>
                <w:sz w:val="24"/>
                <w:lang w:val="en-US" w:eastAsia="zh-CN"/>
              </w:rPr>
              <w:t>05</w:t>
            </w:r>
            <w:r>
              <w:rPr>
                <w:rFonts w:ascii="Times New Roman" w:hAnsi="Times New Roman" w:eastAsia="宋体"/>
                <w:bCs/>
                <w:sz w:val="24"/>
              </w:rPr>
              <w:t>t/a</w:t>
            </w:r>
          </w:p>
        </w:tc>
        <w:tc>
          <w:tcPr>
            <w:tcW w:w="2861" w:type="dxa"/>
            <w:vMerge w:val="restart"/>
            <w:tcBorders>
              <w:top w:val="single" w:color="auto" w:sz="4" w:space="0"/>
              <w:left w:val="single" w:color="auto" w:sz="6" w:space="0"/>
              <w:right w:val="single" w:color="auto" w:sz="12" w:space="0"/>
            </w:tcBorders>
            <w:shd w:val="clear" w:color="auto" w:fill="auto"/>
            <w:vAlign w:val="center"/>
          </w:tcPr>
          <w:p>
            <w:pPr>
              <w:spacing w:line="300" w:lineRule="atLeast"/>
              <w:jc w:val="center"/>
              <w:rPr>
                <w:rFonts w:ascii="Times New Roman" w:hAnsi="Times New Roman" w:eastAsia="宋体"/>
                <w:sz w:val="24"/>
              </w:rPr>
            </w:pPr>
            <w:r>
              <w:rPr>
                <w:rFonts w:hint="eastAsia"/>
                <w:color w:val="000000" w:themeColor="text1"/>
                <w:sz w:val="24"/>
                <w:szCs w:val="24"/>
                <w:highlight w:val="none"/>
              </w:rPr>
              <w:t>专用收集桶收集，</w:t>
            </w:r>
            <w:r>
              <w:rPr>
                <w:rFonts w:hint="eastAsia"/>
                <w:color w:val="000000" w:themeColor="text1"/>
                <w:sz w:val="24"/>
                <w:szCs w:val="24"/>
                <w:highlight w:val="none"/>
                <w:lang w:eastAsia="zh-CN"/>
              </w:rPr>
              <w:t>委托</w:t>
            </w:r>
            <w:r>
              <w:rPr>
                <w:rFonts w:hint="eastAsia"/>
                <w:color w:val="000000" w:themeColor="text1"/>
                <w:sz w:val="24"/>
                <w:szCs w:val="24"/>
                <w:highlight w:val="none"/>
              </w:rPr>
              <w:t>有资质单位处理</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57" w:type="dxa"/>
            <w:bottom w:w="0" w:type="dxa"/>
            <w:right w:w="57" w:type="dxa"/>
          </w:tblCellMar>
        </w:tblPrEx>
        <w:trPr>
          <w:trHeight w:val="851" w:hRule="atLeast"/>
          <w:jc w:val="center"/>
        </w:trPr>
        <w:tc>
          <w:tcPr>
            <w:tcW w:w="832" w:type="dxa"/>
            <w:vMerge w:val="continue"/>
            <w:tcBorders>
              <w:left w:val="single" w:color="auto" w:sz="12" w:space="0"/>
              <w:bottom w:val="single" w:color="auto" w:sz="6" w:space="0"/>
              <w:right w:val="single" w:color="auto" w:sz="6" w:space="0"/>
            </w:tcBorders>
            <w:vAlign w:val="center"/>
          </w:tcPr>
          <w:p>
            <w:pPr>
              <w:spacing w:line="300" w:lineRule="atLeast"/>
              <w:jc w:val="center"/>
              <w:rPr>
                <w:rFonts w:ascii="Times New Roman" w:hAnsi="Times New Roman" w:eastAsia="宋体"/>
                <w:b/>
                <w:sz w:val="24"/>
              </w:rPr>
            </w:pPr>
          </w:p>
        </w:tc>
        <w:tc>
          <w:tcPr>
            <w:tcW w:w="1442" w:type="dxa"/>
            <w:vMerge w:val="continue"/>
            <w:tcBorders>
              <w:left w:val="single" w:color="auto" w:sz="6" w:space="0"/>
              <w:bottom w:val="single" w:color="auto" w:sz="6" w:space="0"/>
              <w:right w:val="single" w:color="auto" w:sz="6" w:space="0"/>
            </w:tcBorders>
            <w:shd w:val="clear" w:color="auto" w:fill="auto"/>
            <w:vAlign w:val="center"/>
          </w:tcPr>
          <w:p>
            <w:pPr>
              <w:spacing w:line="300" w:lineRule="atLeast"/>
              <w:jc w:val="center"/>
              <w:rPr>
                <w:rFonts w:ascii="Times New Roman" w:hAnsi="Times New Roman" w:eastAsia="宋体"/>
                <w:sz w:val="24"/>
              </w:rPr>
            </w:pPr>
          </w:p>
        </w:tc>
        <w:tc>
          <w:tcPr>
            <w:tcW w:w="2100" w:type="dxa"/>
            <w:tcBorders>
              <w:top w:val="single" w:color="auto" w:sz="6" w:space="0"/>
              <w:left w:val="single" w:color="auto" w:sz="6" w:space="0"/>
              <w:bottom w:val="single" w:color="auto" w:sz="6" w:space="0"/>
              <w:right w:val="single" w:color="auto" w:sz="6" w:space="0"/>
            </w:tcBorders>
            <w:shd w:val="clear" w:color="auto" w:fill="auto"/>
            <w:vAlign w:val="center"/>
          </w:tcPr>
          <w:p>
            <w:pPr>
              <w:spacing w:line="300" w:lineRule="atLeast"/>
              <w:jc w:val="center"/>
              <w:rPr>
                <w:rFonts w:ascii="Times New Roman" w:hAnsi="Times New Roman" w:eastAsia="宋体"/>
                <w:sz w:val="24"/>
              </w:rPr>
            </w:pPr>
            <w:r>
              <w:rPr>
                <w:rFonts w:hint="eastAsia" w:ascii="Times New Roman" w:hAnsi="Times New Roman" w:eastAsia="宋体"/>
                <w:sz w:val="24"/>
              </w:rPr>
              <w:t>废乳化液</w:t>
            </w:r>
          </w:p>
        </w:tc>
        <w:tc>
          <w:tcPr>
            <w:tcW w:w="2308" w:type="dxa"/>
            <w:tcBorders>
              <w:top w:val="single" w:color="auto" w:sz="6" w:space="0"/>
              <w:left w:val="single" w:color="auto" w:sz="6" w:space="0"/>
              <w:bottom w:val="single" w:color="auto" w:sz="6" w:space="0"/>
              <w:right w:val="single" w:color="auto" w:sz="6" w:space="0"/>
            </w:tcBorders>
            <w:shd w:val="clear" w:color="auto" w:fill="auto"/>
            <w:vAlign w:val="center"/>
          </w:tcPr>
          <w:p>
            <w:pPr>
              <w:spacing w:line="300" w:lineRule="atLeast"/>
              <w:jc w:val="center"/>
              <w:rPr>
                <w:rFonts w:ascii="Times New Roman" w:hAnsi="Times New Roman" w:eastAsia="宋体"/>
                <w:bCs/>
                <w:sz w:val="24"/>
              </w:rPr>
            </w:pPr>
            <w:r>
              <w:rPr>
                <w:rFonts w:hint="eastAsia" w:ascii="Times New Roman" w:hAnsi="Times New Roman" w:eastAsia="宋体"/>
                <w:bCs/>
                <w:sz w:val="24"/>
              </w:rPr>
              <w:t>0.</w:t>
            </w:r>
            <w:r>
              <w:rPr>
                <w:rFonts w:hint="eastAsia" w:ascii="Times New Roman" w:hAnsi="Times New Roman" w:eastAsia="宋体"/>
                <w:bCs/>
                <w:sz w:val="24"/>
                <w:lang w:val="en-US" w:eastAsia="zh-CN"/>
              </w:rPr>
              <w:t>1</w:t>
            </w:r>
            <w:r>
              <w:rPr>
                <w:rFonts w:ascii="Times New Roman" w:hAnsi="Times New Roman" w:eastAsia="宋体"/>
                <w:bCs/>
                <w:sz w:val="24"/>
              </w:rPr>
              <w:t>t/a</w:t>
            </w:r>
          </w:p>
        </w:tc>
        <w:tc>
          <w:tcPr>
            <w:tcW w:w="2861" w:type="dxa"/>
            <w:vMerge w:val="continue"/>
            <w:tcBorders>
              <w:left w:val="single" w:color="auto" w:sz="6" w:space="0"/>
              <w:bottom w:val="single" w:color="auto" w:sz="6" w:space="0"/>
              <w:right w:val="single" w:color="auto" w:sz="12" w:space="0"/>
            </w:tcBorders>
            <w:shd w:val="clear" w:color="auto" w:fill="auto"/>
            <w:vAlign w:val="center"/>
          </w:tcPr>
          <w:p>
            <w:pPr>
              <w:spacing w:line="300" w:lineRule="atLeast"/>
              <w:jc w:val="center"/>
              <w:rPr>
                <w:rFonts w:ascii="Times New Roman" w:hAnsi="Times New Roman" w:eastAsia="宋体"/>
                <w:sz w:val="24"/>
              </w:rPr>
            </w:pP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57" w:type="dxa"/>
            <w:bottom w:w="0" w:type="dxa"/>
            <w:right w:w="57" w:type="dxa"/>
          </w:tblCellMar>
        </w:tblPrEx>
        <w:trPr>
          <w:trHeight w:val="851" w:hRule="atLeast"/>
          <w:jc w:val="center"/>
        </w:trPr>
        <w:tc>
          <w:tcPr>
            <w:tcW w:w="832" w:type="dxa"/>
            <w:tcBorders>
              <w:top w:val="single" w:color="auto" w:sz="6" w:space="0"/>
              <w:left w:val="single" w:color="auto" w:sz="12" w:space="0"/>
              <w:bottom w:val="single" w:color="auto" w:sz="6" w:space="0"/>
              <w:right w:val="single" w:color="auto" w:sz="6" w:space="0"/>
            </w:tcBorders>
            <w:vAlign w:val="center"/>
          </w:tcPr>
          <w:p>
            <w:pPr>
              <w:spacing w:line="300" w:lineRule="atLeast"/>
              <w:jc w:val="center"/>
              <w:rPr>
                <w:rFonts w:ascii="Times New Roman" w:hAnsi="Times New Roman" w:eastAsia="宋体"/>
                <w:b/>
                <w:sz w:val="24"/>
              </w:rPr>
            </w:pPr>
            <w:r>
              <w:rPr>
                <w:rFonts w:ascii="Times New Roman" w:hAnsi="Times New Roman" w:eastAsia="宋体"/>
                <w:b/>
                <w:sz w:val="24"/>
              </w:rPr>
              <w:t>噪</w:t>
            </w:r>
          </w:p>
          <w:p>
            <w:pPr>
              <w:spacing w:line="300" w:lineRule="atLeast"/>
              <w:jc w:val="center"/>
              <w:rPr>
                <w:rFonts w:ascii="Times New Roman" w:hAnsi="Times New Roman" w:eastAsia="宋体"/>
                <w:b/>
                <w:sz w:val="24"/>
              </w:rPr>
            </w:pPr>
            <w:r>
              <w:rPr>
                <w:rFonts w:ascii="Times New Roman" w:hAnsi="Times New Roman" w:eastAsia="宋体"/>
                <w:b/>
                <w:sz w:val="24"/>
              </w:rPr>
              <w:t>声</w:t>
            </w:r>
          </w:p>
        </w:tc>
        <w:tc>
          <w:tcPr>
            <w:tcW w:w="8711" w:type="dxa"/>
            <w:gridSpan w:val="4"/>
            <w:tcBorders>
              <w:top w:val="single" w:color="auto" w:sz="6" w:space="0"/>
              <w:left w:val="single" w:color="auto" w:sz="6" w:space="0"/>
              <w:bottom w:val="single" w:color="auto" w:sz="6" w:space="0"/>
              <w:right w:val="single" w:color="auto" w:sz="12" w:space="0"/>
            </w:tcBorders>
            <w:vAlign w:val="center"/>
          </w:tcPr>
          <w:p>
            <w:pPr>
              <w:pStyle w:val="42"/>
              <w:spacing w:line="520" w:lineRule="exact"/>
              <w:rPr>
                <w:rFonts w:ascii="Times New Roman" w:hAnsi="Times New Roman" w:eastAsia="宋体"/>
              </w:rPr>
            </w:pPr>
            <w:r>
              <w:rPr>
                <w:rFonts w:ascii="Times New Roman" w:hAnsi="Times New Roman" w:eastAsia="宋体"/>
              </w:rPr>
              <w:t>本项目</w:t>
            </w:r>
            <w:r>
              <w:rPr>
                <w:rFonts w:hint="eastAsia" w:ascii="Times New Roman" w:hAnsi="Times New Roman" w:eastAsia="宋体"/>
              </w:rPr>
              <w:t>新增</w:t>
            </w:r>
            <w:r>
              <w:rPr>
                <w:rFonts w:ascii="Times New Roman" w:hAnsi="Times New Roman" w:eastAsia="宋体"/>
              </w:rPr>
              <w:t>设备声源强在</w:t>
            </w:r>
            <w:r>
              <w:rPr>
                <w:rFonts w:hint="eastAsia"/>
                <w:lang w:val="en-US" w:eastAsia="zh-CN"/>
              </w:rPr>
              <w:t>75</w:t>
            </w:r>
            <w:r>
              <w:rPr>
                <w:rFonts w:ascii="Times New Roman" w:hAnsi="Times New Roman" w:eastAsia="宋体"/>
              </w:rPr>
              <w:t>～</w:t>
            </w:r>
            <w:r>
              <w:rPr>
                <w:rFonts w:hint="eastAsia"/>
                <w:lang w:val="en-US" w:eastAsia="zh-CN"/>
              </w:rPr>
              <w:t>90</w:t>
            </w:r>
            <w:r>
              <w:rPr>
                <w:rFonts w:ascii="Times New Roman" w:hAnsi="Times New Roman" w:eastAsia="宋体"/>
              </w:rPr>
              <w:t>dB（A）之间，经过相应的</w:t>
            </w:r>
            <w:r>
              <w:rPr>
                <w:rFonts w:hint="eastAsia" w:ascii="Times New Roman" w:hAnsi="Times New Roman" w:eastAsia="宋体"/>
              </w:rPr>
              <w:t>隔声、</w:t>
            </w:r>
            <w:r>
              <w:rPr>
                <w:rFonts w:ascii="Times New Roman" w:hAnsi="Times New Roman" w:eastAsia="宋体"/>
              </w:rPr>
              <w:t>减振</w:t>
            </w:r>
            <w:r>
              <w:rPr>
                <w:rFonts w:hint="eastAsia" w:ascii="Times New Roman" w:hAnsi="Times New Roman" w:eastAsia="宋体"/>
              </w:rPr>
              <w:t>以及距离衰减等</w:t>
            </w:r>
            <w:r>
              <w:rPr>
                <w:rFonts w:ascii="Times New Roman" w:hAnsi="Times New Roman" w:eastAsia="宋体"/>
              </w:rPr>
              <w:t>措施后，</w:t>
            </w:r>
            <w:r>
              <w:rPr>
                <w:rFonts w:hint="eastAsia"/>
                <w:lang w:eastAsia="zh-CN"/>
              </w:rPr>
              <w:t>周边敏感点及</w:t>
            </w:r>
            <w:r>
              <w:rPr>
                <w:rFonts w:ascii="Times New Roman" w:hAnsi="Times New Roman" w:eastAsia="宋体"/>
              </w:rPr>
              <w:t>厂界噪声符合《工业企业厂界环境噪声排放标准》（GB12348-2008）</w:t>
            </w:r>
            <w:r>
              <w:rPr>
                <w:rFonts w:hint="eastAsia"/>
                <w:lang w:val="en-US" w:eastAsia="zh-CN"/>
              </w:rPr>
              <w:t>2类</w:t>
            </w:r>
            <w:r>
              <w:rPr>
                <w:rFonts w:ascii="Times New Roman" w:hAnsi="Times New Roman" w:eastAsia="宋体"/>
              </w:rPr>
              <w:t>标准的要求，对周围环境影响</w:t>
            </w:r>
            <w:r>
              <w:rPr>
                <w:rFonts w:hint="eastAsia" w:ascii="Times New Roman" w:hAnsi="Times New Roman" w:eastAsia="宋体"/>
              </w:rPr>
              <w:t>不大</w:t>
            </w:r>
            <w:r>
              <w:rPr>
                <w:rFonts w:ascii="Times New Roman" w:hAnsi="Times New Roman" w:eastAsia="宋体"/>
              </w:rPr>
              <w:t>。</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57" w:type="dxa"/>
            <w:bottom w:w="0" w:type="dxa"/>
            <w:right w:w="57" w:type="dxa"/>
          </w:tblCellMar>
        </w:tblPrEx>
        <w:trPr>
          <w:trHeight w:val="851" w:hRule="atLeast"/>
          <w:jc w:val="center"/>
        </w:trPr>
        <w:tc>
          <w:tcPr>
            <w:tcW w:w="832" w:type="dxa"/>
            <w:tcBorders>
              <w:top w:val="single" w:color="auto" w:sz="6" w:space="0"/>
              <w:left w:val="single" w:color="auto" w:sz="12" w:space="0"/>
              <w:bottom w:val="single" w:color="auto" w:sz="6" w:space="0"/>
              <w:right w:val="single" w:color="auto" w:sz="6" w:space="0"/>
            </w:tcBorders>
            <w:vAlign w:val="center"/>
          </w:tcPr>
          <w:p>
            <w:pPr>
              <w:spacing w:line="300" w:lineRule="atLeast"/>
              <w:jc w:val="center"/>
              <w:rPr>
                <w:rFonts w:ascii="Times New Roman" w:hAnsi="Times New Roman" w:eastAsia="宋体"/>
                <w:b/>
                <w:sz w:val="24"/>
              </w:rPr>
            </w:pPr>
            <w:r>
              <w:rPr>
                <w:rFonts w:ascii="Times New Roman" w:hAnsi="Times New Roman" w:eastAsia="宋体"/>
                <w:b/>
                <w:sz w:val="24"/>
              </w:rPr>
              <w:t>其他</w:t>
            </w:r>
          </w:p>
        </w:tc>
        <w:tc>
          <w:tcPr>
            <w:tcW w:w="8711" w:type="dxa"/>
            <w:gridSpan w:val="4"/>
            <w:tcBorders>
              <w:top w:val="single" w:color="auto" w:sz="6" w:space="0"/>
              <w:left w:val="single" w:color="auto" w:sz="6" w:space="0"/>
              <w:bottom w:val="single" w:color="auto" w:sz="6" w:space="0"/>
              <w:right w:val="single" w:color="auto" w:sz="12" w:space="0"/>
            </w:tcBorders>
            <w:vAlign w:val="center"/>
          </w:tcPr>
          <w:p>
            <w:pPr>
              <w:spacing w:line="300" w:lineRule="atLeast"/>
              <w:jc w:val="center"/>
              <w:rPr>
                <w:rFonts w:ascii="Times New Roman" w:hAnsi="Times New Roman" w:eastAsia="宋体"/>
                <w:sz w:val="24"/>
              </w:rPr>
            </w:pP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57" w:type="dxa"/>
            <w:bottom w:w="0" w:type="dxa"/>
            <w:right w:w="57" w:type="dxa"/>
          </w:tblCellMar>
        </w:tblPrEx>
        <w:trPr>
          <w:trHeight w:val="3452" w:hRule="atLeast"/>
          <w:jc w:val="center"/>
        </w:trPr>
        <w:tc>
          <w:tcPr>
            <w:tcW w:w="9543" w:type="dxa"/>
            <w:gridSpan w:val="5"/>
            <w:tcBorders>
              <w:top w:val="single" w:color="auto" w:sz="6" w:space="0"/>
              <w:left w:val="single" w:color="auto" w:sz="12" w:space="0"/>
              <w:bottom w:val="single" w:color="auto" w:sz="12" w:space="0"/>
              <w:right w:val="single" w:color="auto" w:sz="12" w:space="0"/>
            </w:tcBorders>
            <w:vAlign w:val="center"/>
          </w:tcPr>
          <w:p>
            <w:pPr>
              <w:adjustRightInd w:val="0"/>
              <w:snapToGrid w:val="0"/>
              <w:spacing w:beforeLines="50" w:line="360" w:lineRule="auto"/>
              <w:rPr>
                <w:rFonts w:ascii="Times New Roman" w:hAnsi="Times New Roman" w:eastAsia="宋体"/>
                <w:b/>
                <w:sz w:val="24"/>
              </w:rPr>
            </w:pPr>
            <w:r>
              <w:rPr>
                <w:rFonts w:ascii="Times New Roman" w:hAnsi="Times New Roman" w:eastAsia="宋体"/>
                <w:b/>
                <w:sz w:val="24"/>
              </w:rPr>
              <w:t>主要生态影响(不够时可附另页)</w:t>
            </w:r>
          </w:p>
          <w:p>
            <w:pPr>
              <w:spacing w:line="520" w:lineRule="exact"/>
              <w:ind w:firstLine="480" w:firstLineChars="200"/>
              <w:rPr>
                <w:rFonts w:ascii="Times New Roman" w:hAnsi="Times New Roman" w:eastAsia="宋体"/>
                <w:color w:val="000000"/>
                <w:sz w:val="24"/>
              </w:rPr>
            </w:pPr>
            <w:r>
              <w:rPr>
                <w:rFonts w:ascii="Times New Roman" w:hAnsi="Times New Roman" w:eastAsia="宋体"/>
                <w:color w:val="000000"/>
                <w:sz w:val="24"/>
              </w:rPr>
              <w:t>本项目位于</w:t>
            </w:r>
            <w:r>
              <w:rPr>
                <w:rFonts w:hint="eastAsia" w:ascii="Times New Roman" w:hAnsi="Times New Roman" w:eastAsia="宋体"/>
                <w:sz w:val="24"/>
                <w:lang w:eastAsia="zh-CN"/>
              </w:rPr>
              <w:t>平顶山市卫东区矿工路59号院</w:t>
            </w:r>
            <w:r>
              <w:rPr>
                <w:rFonts w:hint="eastAsia" w:ascii="Times New Roman" w:hAnsi="Times New Roman" w:eastAsia="宋体"/>
                <w:sz w:val="24"/>
              </w:rPr>
              <w:t>，</w:t>
            </w:r>
            <w:r>
              <w:rPr>
                <w:rFonts w:hint="eastAsia"/>
                <w:color w:val="000000" w:themeColor="text1"/>
                <w:sz w:val="24"/>
                <w:lang w:eastAsia="zh-CN"/>
              </w:rPr>
              <w:t>豫中地质勘查工程公司平顶山第四工程处院</w:t>
            </w:r>
            <w:r>
              <w:rPr>
                <w:rFonts w:hint="eastAsia" w:ascii="Times New Roman" w:hAnsi="Times New Roman" w:eastAsia="宋体"/>
                <w:sz w:val="24"/>
              </w:rPr>
              <w:t>内</w:t>
            </w:r>
            <w:r>
              <w:rPr>
                <w:rFonts w:ascii="Times New Roman" w:hAnsi="Times New Roman" w:eastAsia="宋体"/>
                <w:color w:val="000000"/>
                <w:sz w:val="24"/>
              </w:rPr>
              <w:t>，受人为活动影响，目前所在地已无野生动物生存，主要动物为小型的鼠类、昆虫等，无国家野生保护动物存在。</w:t>
            </w:r>
          </w:p>
          <w:p>
            <w:pPr>
              <w:spacing w:line="520" w:lineRule="exact"/>
              <w:rPr>
                <w:rFonts w:ascii="Times New Roman" w:hAnsi="Times New Roman" w:eastAsia="宋体"/>
                <w:color w:val="000000"/>
                <w:sz w:val="24"/>
              </w:rPr>
            </w:pPr>
          </w:p>
        </w:tc>
      </w:tr>
    </w:tbl>
    <w:p>
      <w:pPr>
        <w:spacing w:line="360" w:lineRule="auto"/>
        <w:rPr>
          <w:rFonts w:eastAsia="黑体"/>
          <w:b/>
          <w:sz w:val="30"/>
        </w:rPr>
      </w:pPr>
      <w:r>
        <w:rPr>
          <w:sz w:val="28"/>
        </w:rPr>
        <w:br w:type="page"/>
      </w:r>
      <w:r>
        <w:rPr>
          <w:rFonts w:eastAsia="黑体"/>
          <w:b/>
          <w:sz w:val="30"/>
        </w:rPr>
        <w:t>环境影响分析</w:t>
      </w:r>
    </w:p>
    <w:tbl>
      <w:tblPr>
        <w:tblStyle w:val="23"/>
        <w:tblW w:w="0" w:type="auto"/>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12" w:space="0"/>
        </w:tblBorders>
        <w:tblLayout w:type="fixed"/>
        <w:tblCellMar>
          <w:top w:w="0" w:type="dxa"/>
          <w:left w:w="108" w:type="dxa"/>
          <w:bottom w:w="0" w:type="dxa"/>
          <w:right w:w="108" w:type="dxa"/>
        </w:tblCellMar>
      </w:tblPr>
      <w:tblGrid>
        <w:gridCol w:w="9286"/>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12" w:space="0"/>
          </w:tblBorders>
          <w:tblCellMar>
            <w:top w:w="0" w:type="dxa"/>
            <w:left w:w="108" w:type="dxa"/>
            <w:bottom w:w="0" w:type="dxa"/>
            <w:right w:w="108" w:type="dxa"/>
          </w:tblCellMar>
        </w:tblPrEx>
        <w:trPr>
          <w:trHeight w:val="90" w:hRule="atLeast"/>
        </w:trPr>
        <w:tc>
          <w:tcPr>
            <w:tcW w:w="9286" w:type="dxa"/>
          </w:tcPr>
          <w:p>
            <w:pPr>
              <w:adjustRightInd w:val="0"/>
              <w:snapToGrid w:val="0"/>
              <w:spacing w:beforeLines="50" w:line="360" w:lineRule="auto"/>
              <w:rPr>
                <w:rFonts w:ascii="Times New Roman" w:hAnsi="Times New Roman" w:eastAsia="宋体"/>
                <w:b/>
                <w:sz w:val="28"/>
                <w:szCs w:val="28"/>
              </w:rPr>
            </w:pPr>
            <w:r>
              <w:rPr>
                <w:rFonts w:ascii="Times New Roman" w:hAnsi="Times New Roman" w:eastAsia="宋体"/>
                <w:b/>
                <w:sz w:val="28"/>
                <w:szCs w:val="28"/>
              </w:rPr>
              <w:t>营运期环境影响分析：</w:t>
            </w:r>
          </w:p>
          <w:p>
            <w:pPr>
              <w:widowControl/>
              <w:snapToGrid w:val="0"/>
              <w:spacing w:line="520" w:lineRule="exact"/>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1、水环境影响分析</w:t>
            </w:r>
          </w:p>
          <w:p>
            <w:pPr>
              <w:autoSpaceDE w:val="0"/>
              <w:autoSpaceDN w:val="0"/>
              <w:spacing w:before="50" w:line="520" w:lineRule="exact"/>
              <w:ind w:firstLine="482"/>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1.1地表水环境影响分析</w:t>
            </w:r>
          </w:p>
          <w:p>
            <w:pPr>
              <w:autoSpaceDE w:val="0"/>
              <w:autoSpaceDN w:val="0"/>
              <w:spacing w:before="50" w:line="520" w:lineRule="exact"/>
              <w:ind w:firstLine="482"/>
              <w:rPr>
                <w:rFonts w:hint="eastAsia" w:ascii="Times New Roman" w:hAnsi="Times New Roman" w:eastAsia="宋体" w:cs="Times New Roman"/>
                <w:sz w:val="24"/>
                <w:szCs w:val="24"/>
                <w:lang w:eastAsia="zh-CN"/>
              </w:rPr>
            </w:pPr>
            <w:r>
              <w:rPr>
                <w:rFonts w:hint="eastAsia" w:ascii="Times New Roman" w:hAnsi="Times New Roman" w:eastAsia="宋体" w:cs="Times New Roman"/>
                <w:sz w:val="24"/>
                <w:szCs w:val="24"/>
                <w:lang w:eastAsia="zh-CN"/>
              </w:rPr>
              <w:t>根据工程分析可知，</w:t>
            </w:r>
            <w:r>
              <w:rPr>
                <w:rFonts w:hint="default" w:ascii="Times New Roman" w:hAnsi="Times New Roman" w:eastAsia="宋体" w:cs="Times New Roman"/>
                <w:sz w:val="24"/>
                <w:szCs w:val="24"/>
                <w:lang w:eastAsia="zh-CN"/>
              </w:rPr>
              <w:t>项目运营期</w:t>
            </w:r>
            <w:r>
              <w:rPr>
                <w:rFonts w:hint="eastAsia" w:ascii="Times New Roman" w:hAnsi="Times New Roman" w:eastAsia="宋体" w:cs="Times New Roman"/>
                <w:sz w:val="24"/>
                <w:szCs w:val="24"/>
                <w:lang w:eastAsia="zh-CN"/>
              </w:rPr>
              <w:t>产生的废水主要为职工生活污水。</w:t>
            </w:r>
          </w:p>
          <w:p>
            <w:pPr>
              <w:keepNext w:val="0"/>
              <w:keepLines w:val="0"/>
              <w:pageBreakBefore w:val="0"/>
              <w:widowControl w:val="0"/>
              <w:kinsoku/>
              <w:wordWrap/>
              <w:overflowPunct/>
              <w:topLinePunct w:val="0"/>
              <w:autoSpaceDE w:val="0"/>
              <w:autoSpaceDN w:val="0"/>
              <w:bidi w:val="0"/>
              <w:adjustRightInd/>
              <w:snapToGrid/>
              <w:spacing w:line="520" w:lineRule="exact"/>
              <w:ind w:firstLine="482"/>
              <w:textAlignment w:val="auto"/>
              <w:rPr>
                <w:rFonts w:hint="eastAsia" w:ascii="Times New Roman" w:hAnsi="Times New Roman" w:eastAsia="宋体" w:cs="Times New Roman"/>
                <w:sz w:val="24"/>
                <w:szCs w:val="24"/>
                <w:lang w:eastAsia="zh-CN"/>
              </w:rPr>
            </w:pPr>
            <w:r>
              <w:rPr>
                <w:rFonts w:hint="default" w:ascii="Times New Roman" w:hAnsi="Times New Roman" w:eastAsia="宋体" w:cs="Times New Roman"/>
                <w:sz w:val="24"/>
                <w:szCs w:val="24"/>
              </w:rPr>
              <w:t>职工生活污水产生量为</w:t>
            </w:r>
            <w:r>
              <w:rPr>
                <w:rFonts w:hint="eastAsia" w:ascii="Times New Roman" w:hAnsi="Times New Roman" w:eastAsia="宋体" w:cs="Times New Roman"/>
                <w:sz w:val="24"/>
                <w:szCs w:val="24"/>
                <w:lang w:val="en-US" w:eastAsia="zh-CN"/>
              </w:rPr>
              <w:t>0.64</w:t>
            </w:r>
            <w:r>
              <w:rPr>
                <w:rFonts w:hint="default" w:ascii="Times New Roman" w:hAnsi="Times New Roman" w:eastAsia="宋体" w:cs="Times New Roman"/>
                <w:sz w:val="24"/>
                <w:szCs w:val="24"/>
              </w:rPr>
              <w:t>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/d，</w:t>
            </w:r>
            <w:r>
              <w:rPr>
                <w:rFonts w:hint="eastAsia" w:ascii="Times New Roman" w:hAnsi="Times New Roman" w:eastAsia="宋体" w:cs="Times New Roman"/>
                <w:sz w:val="24"/>
                <w:szCs w:val="24"/>
                <w:lang w:val="en-US" w:eastAsia="zh-CN"/>
              </w:rPr>
              <w:t>192</w:t>
            </w:r>
            <w:r>
              <w:rPr>
                <w:rFonts w:hint="default" w:ascii="Times New Roman" w:hAnsi="Times New Roman" w:eastAsia="宋体" w:cs="Times New Roman"/>
                <w:sz w:val="24"/>
                <w:szCs w:val="24"/>
              </w:rPr>
              <w:t>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/a</w:t>
            </w:r>
            <w:r>
              <w:rPr>
                <w:rFonts w:hint="eastAsia" w:ascii="Times New Roman" w:hAnsi="Times New Roman" w:eastAsia="宋体" w:cs="Times New Roman"/>
                <w:sz w:val="24"/>
                <w:szCs w:val="24"/>
                <w:lang w:eastAsia="zh-CN"/>
              </w:rPr>
              <w:t>。</w:t>
            </w:r>
          </w:p>
          <w:p>
            <w:pPr>
              <w:adjustRightInd w:val="0"/>
              <w:snapToGrid w:val="0"/>
              <w:spacing w:line="520" w:lineRule="exact"/>
              <w:ind w:firstLine="480" w:firstLineChars="200"/>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fldChar w:fldCharType="begin"/>
            </w:r>
            <w:r>
              <w:rPr>
                <w:rFonts w:hint="eastAsia" w:ascii="Times New Roman" w:hAnsi="Times New Roman" w:eastAsia="宋体" w:cs="Times New Roman"/>
                <w:sz w:val="24"/>
                <w:szCs w:val="24"/>
                <w:lang w:val="en-US" w:eastAsia="zh-CN"/>
              </w:rPr>
              <w:instrText xml:space="preserve"> = 1 \* GB3 \* MERGEFORMAT </w:instrText>
            </w:r>
            <w:r>
              <w:rPr>
                <w:rFonts w:hint="eastAsia" w:ascii="Times New Roman" w:hAnsi="Times New Roman" w:eastAsia="宋体" w:cs="Times New Roman"/>
                <w:sz w:val="24"/>
                <w:szCs w:val="24"/>
                <w:lang w:val="en-US" w:eastAsia="zh-CN"/>
              </w:rPr>
              <w:fldChar w:fldCharType="separate"/>
            </w:r>
            <w:r>
              <w:rPr>
                <w:rFonts w:hint="eastAsia" w:ascii="Times New Roman" w:hAnsi="Times New Roman" w:eastAsia="宋体" w:cs="Times New Roman"/>
                <w:sz w:val="24"/>
                <w:szCs w:val="24"/>
                <w:lang w:val="en-US" w:eastAsia="zh-CN"/>
              </w:rPr>
              <w:t>①</w:t>
            </w:r>
            <w:r>
              <w:rPr>
                <w:rFonts w:hint="eastAsia" w:ascii="Times New Roman" w:hAnsi="Times New Roman" w:eastAsia="宋体" w:cs="Times New Roman"/>
                <w:sz w:val="24"/>
                <w:szCs w:val="24"/>
                <w:lang w:val="en-US" w:eastAsia="zh-CN"/>
              </w:rPr>
              <w:fldChar w:fldCharType="end"/>
            </w:r>
            <w:r>
              <w:rPr>
                <w:rFonts w:hint="eastAsia" w:ascii="Times New Roman" w:hAnsi="Times New Roman" w:eastAsia="宋体" w:cs="Times New Roman"/>
                <w:sz w:val="24"/>
                <w:szCs w:val="24"/>
                <w:lang w:val="en-US" w:eastAsia="zh-CN"/>
              </w:rPr>
              <w:t>本项目废水处理可行性分析：</w:t>
            </w:r>
          </w:p>
          <w:p>
            <w:pPr>
              <w:adjustRightInd w:val="0"/>
              <w:snapToGrid w:val="0"/>
              <w:spacing w:line="520" w:lineRule="exact"/>
              <w:ind w:firstLine="480" w:firstLineChars="200"/>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本项目废水量0.24m</w:t>
            </w:r>
            <w:r>
              <w:rPr>
                <w:rFonts w:hint="eastAsia" w:ascii="Times New Roman" w:hAnsi="Times New Roman" w:eastAsia="宋体" w:cs="Times New Roman"/>
                <w:sz w:val="24"/>
                <w:szCs w:val="24"/>
                <w:vertAlign w:val="superscript"/>
                <w:lang w:val="en-US" w:eastAsia="zh-CN"/>
              </w:rPr>
              <w:t>3</w:t>
            </w:r>
            <w:r>
              <w:rPr>
                <w:rFonts w:hint="eastAsia" w:ascii="Times New Roman" w:hAnsi="Times New Roman" w:eastAsia="宋体" w:cs="Times New Roman"/>
                <w:sz w:val="24"/>
                <w:szCs w:val="24"/>
                <w:lang w:val="en-US" w:eastAsia="zh-CN"/>
              </w:rPr>
              <w:t>/d，年废水量192m</w:t>
            </w:r>
            <w:r>
              <w:rPr>
                <w:rFonts w:hint="eastAsia" w:ascii="Times New Roman" w:hAnsi="Times New Roman" w:eastAsia="宋体" w:cs="Times New Roman"/>
                <w:sz w:val="24"/>
                <w:szCs w:val="24"/>
                <w:vertAlign w:val="superscript"/>
                <w:lang w:val="en-US" w:eastAsia="zh-CN"/>
              </w:rPr>
              <w:t>3</w:t>
            </w:r>
            <w:r>
              <w:rPr>
                <w:rFonts w:hint="eastAsia" w:ascii="Times New Roman" w:hAnsi="Times New Roman" w:eastAsia="宋体" w:cs="Times New Roman"/>
                <w:sz w:val="24"/>
                <w:szCs w:val="24"/>
                <w:lang w:val="en-US" w:eastAsia="zh-CN"/>
              </w:rPr>
              <w:t>/a。废水为生活污水，其主要成分为有机物、悬浮物、pH及粪大肠菌群等。本项目</w:t>
            </w:r>
            <w:r>
              <w:rPr>
                <w:rFonts w:hint="default" w:ascii="Times New Roman" w:hAnsi="Times New Roman" w:eastAsia="宋体" w:cs="Times New Roman"/>
                <w:sz w:val="24"/>
                <w:szCs w:val="24"/>
                <w:lang w:val="en-US" w:eastAsia="zh-CN"/>
              </w:rPr>
              <w:t>职工生活污水</w:t>
            </w:r>
            <w:r>
              <w:rPr>
                <w:rFonts w:hint="eastAsia" w:ascii="Times New Roman" w:hAnsi="Times New Roman" w:eastAsia="宋体" w:cs="Times New Roman"/>
                <w:sz w:val="24"/>
                <w:szCs w:val="24"/>
                <w:lang w:val="en-US" w:eastAsia="zh-CN"/>
              </w:rPr>
              <w:t>依托豫中地质勘查工程公司平顶山第四工程处院内化粪池处理后经市政管网最终进入城市污水处理厂做进一步处理，对地表水环境影响较小。</w:t>
            </w:r>
          </w:p>
          <w:p>
            <w:pPr>
              <w:adjustRightInd w:val="0"/>
              <w:snapToGrid w:val="0"/>
              <w:spacing w:line="520" w:lineRule="exact"/>
              <w:ind w:firstLine="480" w:firstLineChars="200"/>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fldChar w:fldCharType="begin"/>
            </w:r>
            <w:r>
              <w:rPr>
                <w:rFonts w:hint="eastAsia" w:ascii="Times New Roman" w:hAnsi="Times New Roman" w:eastAsia="宋体" w:cs="Times New Roman"/>
                <w:sz w:val="24"/>
                <w:szCs w:val="24"/>
                <w:lang w:val="en-US" w:eastAsia="zh-CN"/>
              </w:rPr>
              <w:instrText xml:space="preserve"> = 2 \* GB3 \* MERGEFORMAT </w:instrText>
            </w:r>
            <w:r>
              <w:rPr>
                <w:rFonts w:hint="eastAsia" w:ascii="Times New Roman" w:hAnsi="Times New Roman" w:eastAsia="宋体" w:cs="Times New Roman"/>
                <w:sz w:val="24"/>
                <w:szCs w:val="24"/>
                <w:lang w:val="en-US" w:eastAsia="zh-CN"/>
              </w:rPr>
              <w:fldChar w:fldCharType="separate"/>
            </w:r>
            <w:r>
              <w:rPr>
                <w:rFonts w:hint="eastAsia" w:ascii="Times New Roman" w:hAnsi="Times New Roman" w:eastAsia="宋体" w:cs="Times New Roman"/>
                <w:sz w:val="24"/>
                <w:szCs w:val="24"/>
                <w:lang w:val="en-US" w:eastAsia="zh-CN"/>
              </w:rPr>
              <w:t>②</w:t>
            </w:r>
            <w:r>
              <w:rPr>
                <w:rFonts w:hint="eastAsia" w:ascii="Times New Roman" w:hAnsi="Times New Roman" w:eastAsia="宋体" w:cs="Times New Roman"/>
                <w:sz w:val="24"/>
                <w:szCs w:val="24"/>
                <w:lang w:val="en-US" w:eastAsia="zh-CN"/>
              </w:rPr>
              <w:fldChar w:fldCharType="end"/>
            </w:r>
            <w:r>
              <w:rPr>
                <w:rFonts w:hint="eastAsia" w:ascii="Times New Roman" w:hAnsi="Times New Roman" w:eastAsia="宋体" w:cs="Times New Roman"/>
                <w:sz w:val="24"/>
                <w:szCs w:val="24"/>
                <w:lang w:val="en-US" w:eastAsia="zh-CN"/>
              </w:rPr>
              <w:t>地表水环境影响分析</w:t>
            </w:r>
          </w:p>
          <w:p>
            <w:pPr>
              <w:adjustRightInd w:val="0"/>
              <w:snapToGrid w:val="0"/>
              <w:spacing w:line="500" w:lineRule="exact"/>
              <w:ind w:firstLine="480" w:firstLineChars="200"/>
              <w:rPr>
                <w:rFonts w:hint="default" w:ascii="Times New Roman" w:hAnsi="Times New Roman" w:eastAsia="宋体" w:cs="Times New Roman"/>
                <w:sz w:val="24"/>
                <w:szCs w:val="24"/>
              </w:rPr>
            </w:pPr>
            <w:r>
              <w:rPr>
                <w:rFonts w:ascii="Times New Roman" w:hAnsi="Times New Roman" w:eastAsia="宋体"/>
                <w:sz w:val="24"/>
                <w:szCs w:val="22"/>
              </w:rPr>
              <w:t>本项目</w:t>
            </w:r>
            <w:r>
              <w:rPr>
                <w:rFonts w:hint="eastAsia" w:ascii="Times New Roman" w:hAnsi="Times New Roman" w:eastAsia="宋体"/>
                <w:sz w:val="24"/>
                <w:szCs w:val="22"/>
              </w:rPr>
              <w:t>废水</w:t>
            </w:r>
            <w:r>
              <w:rPr>
                <w:rFonts w:ascii="Times New Roman" w:hAnsi="Times New Roman" w:eastAsia="宋体"/>
                <w:sz w:val="24"/>
                <w:szCs w:val="22"/>
              </w:rPr>
              <w:t>经</w:t>
            </w:r>
            <w:r>
              <w:rPr>
                <w:rFonts w:hint="eastAsia" w:ascii="Times New Roman" w:hAnsi="Times New Roman" w:eastAsia="宋体" w:cs="Times New Roman"/>
                <w:sz w:val="24"/>
                <w:szCs w:val="24"/>
                <w:lang w:val="en-US" w:eastAsia="zh-CN"/>
              </w:rPr>
              <w:t>豫中地质勘查工程公司平顶山第四工程处院内化粪池</w:t>
            </w:r>
            <w:r>
              <w:rPr>
                <w:rFonts w:hint="eastAsia" w:ascii="Times New Roman" w:hAnsi="Times New Roman" w:eastAsia="宋体"/>
                <w:sz w:val="24"/>
                <w:szCs w:val="22"/>
              </w:rPr>
              <w:t>处理后</w:t>
            </w:r>
            <w:r>
              <w:rPr>
                <w:rFonts w:ascii="Times New Roman" w:hAnsi="Times New Roman" w:eastAsia="宋体"/>
                <w:sz w:val="24"/>
                <w:szCs w:val="22"/>
              </w:rPr>
              <w:t>，</w:t>
            </w:r>
            <w:r>
              <w:rPr>
                <w:rFonts w:hint="eastAsia" w:ascii="Times New Roman" w:hAnsi="Times New Roman" w:eastAsia="宋体"/>
                <w:sz w:val="24"/>
                <w:szCs w:val="22"/>
              </w:rPr>
              <w:t>经污水管网排入城市污水处理厂</w:t>
            </w:r>
            <w:r>
              <w:rPr>
                <w:rFonts w:ascii="Times New Roman" w:hAnsi="Times New Roman" w:eastAsia="宋体"/>
                <w:sz w:val="24"/>
                <w:szCs w:val="22"/>
              </w:rPr>
              <w:t>，</w:t>
            </w:r>
            <w:r>
              <w:rPr>
                <w:rFonts w:hint="default" w:ascii="Times New Roman" w:hAnsi="Times New Roman" w:eastAsia="宋体" w:cs="Times New Roman"/>
                <w:sz w:val="24"/>
                <w:szCs w:val="24"/>
              </w:rPr>
              <w:t>根据《</w:t>
            </w:r>
            <w:r>
              <w:rPr>
                <w:rFonts w:hint="default" w:ascii="Times New Roman" w:hAnsi="Times New Roman" w:eastAsia="宋体" w:cs="Times New Roman"/>
                <w:sz w:val="24"/>
                <w:szCs w:val="24"/>
                <w:lang w:eastAsia="ja-JP"/>
              </w:rPr>
              <w:t>环境影响评价技术导则地面水环境</w:t>
            </w:r>
            <w:r>
              <w:rPr>
                <w:rFonts w:hint="default" w:ascii="Times New Roman" w:hAnsi="Times New Roman" w:eastAsia="宋体" w:cs="Times New Roman"/>
                <w:sz w:val="24"/>
                <w:szCs w:val="24"/>
              </w:rPr>
              <w:t>》（HJ/T2.3-2018），本项目</w:t>
            </w:r>
            <w:r>
              <w:rPr>
                <w:rFonts w:hint="eastAsia" w:ascii="Times New Roman" w:hAnsi="Times New Roman" w:eastAsia="宋体" w:cs="Times New Roman"/>
                <w:sz w:val="24"/>
                <w:szCs w:val="24"/>
                <w:lang w:eastAsia="zh-CN"/>
              </w:rPr>
              <w:t>地表水</w:t>
            </w:r>
            <w:r>
              <w:rPr>
                <w:rFonts w:hint="default" w:ascii="Times New Roman" w:hAnsi="Times New Roman" w:eastAsia="宋体" w:cs="Times New Roman"/>
                <w:sz w:val="24"/>
                <w:szCs w:val="24"/>
              </w:rPr>
              <w:t>评价等级为三级B，因此本项目地表水评价内容仅包括水污染控制和水环境影响减缓措施有效性评价以及依托污水处理设施的环境可行性评价。</w:t>
            </w:r>
          </w:p>
          <w:p>
            <w:pPr>
              <w:adjustRightInd w:val="0"/>
              <w:snapToGrid w:val="0"/>
              <w:spacing w:line="500" w:lineRule="exact"/>
              <w:ind w:firstLine="480" w:firstLineChars="200"/>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具体内容如下：</w:t>
            </w:r>
          </w:p>
          <w:p>
            <w:pPr>
              <w:pStyle w:val="79"/>
              <w:spacing w:line="500" w:lineRule="atLeast"/>
              <w:rPr>
                <w:rFonts w:ascii="Times New Roman" w:hAnsi="Times New Roman" w:eastAsia="宋体"/>
                <w:lang w:val="en-US" w:eastAsia="zh-CN"/>
              </w:rPr>
            </w:pPr>
            <w:r>
              <w:rPr>
                <w:rFonts w:ascii="Times New Roman" w:hAnsi="Times New Roman" w:eastAsia="宋体"/>
                <w:lang w:val="en-US" w:eastAsia="zh-CN"/>
              </w:rPr>
              <w:t>1）水污染控制和水环境影响减缓措施有效性评价</w:t>
            </w:r>
          </w:p>
          <w:p>
            <w:pPr>
              <w:spacing w:line="500" w:lineRule="exact"/>
              <w:ind w:firstLine="480" w:firstLineChars="200"/>
              <w:rPr>
                <w:rFonts w:ascii="Times New Roman" w:hAnsi="Times New Roman" w:eastAsia="宋体"/>
                <w:color w:val="FF0000"/>
                <w:sz w:val="24"/>
              </w:rPr>
            </w:pPr>
            <w:r>
              <w:rPr>
                <w:rFonts w:ascii="Times New Roman" w:hAnsi="Times New Roman" w:eastAsia="宋体"/>
                <w:sz w:val="24"/>
              </w:rPr>
              <w:t>a) 污染控制措施及各类排放口排放浓度限值等应满足国家和地方相关排放标准及符合有关标准规定的排水协议关于水污染物排放的条款要求；</w:t>
            </w:r>
          </w:p>
          <w:p>
            <w:pPr>
              <w:adjustRightInd w:val="0"/>
              <w:snapToGrid w:val="0"/>
              <w:spacing w:line="500" w:lineRule="exact"/>
              <w:ind w:firstLine="480" w:firstLineChars="200"/>
              <w:rPr>
                <w:rFonts w:hint="eastAsia" w:ascii="Times New Roman" w:hAnsi="Times New Roman" w:eastAsia="宋体" w:cs="Times New Roman"/>
                <w:sz w:val="24"/>
                <w:szCs w:val="24"/>
                <w:lang w:eastAsia="zh-CN"/>
              </w:rPr>
            </w:pPr>
            <w:r>
              <w:rPr>
                <w:rFonts w:ascii="Times New Roman" w:hAnsi="Times New Roman" w:eastAsia="宋体" w:cs="Times New Roman"/>
                <w:sz w:val="24"/>
              </w:rPr>
              <w:t>本项目废水</w:t>
            </w:r>
            <w:r>
              <w:rPr>
                <w:rFonts w:hint="eastAsia" w:ascii="Times New Roman" w:hAnsi="Times New Roman" w:eastAsia="宋体" w:cs="Times New Roman"/>
                <w:sz w:val="24"/>
              </w:rPr>
              <w:t>主要为</w:t>
            </w:r>
            <w:r>
              <w:rPr>
                <w:rFonts w:hint="eastAsia" w:ascii="Times New Roman" w:hAnsi="Times New Roman" w:eastAsia="宋体" w:cs="Times New Roman"/>
                <w:sz w:val="24"/>
                <w:lang w:eastAsia="zh-CN"/>
              </w:rPr>
              <w:t>职工生活污水</w:t>
            </w:r>
            <w:r>
              <w:rPr>
                <w:rFonts w:hint="eastAsia" w:ascii="Times New Roman" w:hAnsi="Times New Roman" w:eastAsia="宋体" w:cs="Times New Roman"/>
                <w:sz w:val="24"/>
              </w:rPr>
              <w:t>，</w:t>
            </w:r>
            <w:r>
              <w:rPr>
                <w:rFonts w:hint="eastAsia" w:ascii="Times New Roman" w:hAnsi="Times New Roman" w:eastAsia="宋体" w:cs="Times New Roman"/>
                <w:sz w:val="24"/>
                <w:lang w:eastAsia="zh-CN"/>
              </w:rPr>
              <w:t>依托</w:t>
            </w:r>
            <w:r>
              <w:rPr>
                <w:rFonts w:hint="eastAsia" w:ascii="Times New Roman" w:hAnsi="Times New Roman" w:eastAsia="宋体" w:cs="Times New Roman"/>
                <w:sz w:val="24"/>
                <w:lang w:val="en-US" w:eastAsia="zh-CN"/>
              </w:rPr>
              <w:t>豫中地质勘查工程公司平顶山第四工程处院内化粪池处理后经市政管网最终进入城市污水处理厂做进一步处理，</w:t>
            </w:r>
            <w:r>
              <w:rPr>
                <w:rFonts w:hint="eastAsia" w:ascii="Times New Roman" w:hAnsi="Times New Roman" w:eastAsia="宋体" w:cs="Times New Roman"/>
                <w:sz w:val="24"/>
                <w:lang w:eastAsia="zh-CN"/>
              </w:rPr>
              <w:t>对地表水环境影响较小</w:t>
            </w:r>
            <w:r>
              <w:rPr>
                <w:rFonts w:hint="eastAsia" w:ascii="Times New Roman" w:hAnsi="Times New Roman" w:eastAsia="宋体" w:cs="Times New Roman"/>
                <w:sz w:val="24"/>
                <w:szCs w:val="24"/>
                <w:lang w:eastAsia="zh-CN"/>
              </w:rPr>
              <w:t>。</w:t>
            </w:r>
          </w:p>
          <w:p>
            <w:pPr>
              <w:spacing w:line="500" w:lineRule="exact"/>
              <w:ind w:firstLine="480" w:firstLineChars="200"/>
              <w:rPr>
                <w:rFonts w:ascii="Times New Roman" w:hAnsi="Times New Roman" w:eastAsia="宋体"/>
                <w:sz w:val="24"/>
              </w:rPr>
            </w:pPr>
            <w:r>
              <w:rPr>
                <w:rFonts w:ascii="Times New Roman" w:hAnsi="Times New Roman" w:eastAsia="宋体"/>
                <w:sz w:val="24"/>
              </w:rPr>
              <w:t>b) 水动力影响、生态流量、水温影响减缓措施应满足水环境保护目标的要求；</w:t>
            </w:r>
          </w:p>
          <w:p>
            <w:pPr>
              <w:spacing w:line="520" w:lineRule="exact"/>
              <w:ind w:firstLine="480" w:firstLineChars="200"/>
              <w:textAlignment w:val="baseline"/>
              <w:rPr>
                <w:rFonts w:ascii="Times New Roman" w:hAnsi="Times New Roman" w:eastAsia="宋体"/>
                <w:sz w:val="24"/>
              </w:rPr>
            </w:pPr>
            <w:r>
              <w:rPr>
                <w:rFonts w:ascii="Times New Roman" w:hAnsi="Times New Roman" w:eastAsia="宋体"/>
                <w:sz w:val="24"/>
              </w:rPr>
              <w:t>本项目位于</w:t>
            </w:r>
            <w:r>
              <w:rPr>
                <w:rFonts w:hint="eastAsia" w:ascii="Times New Roman" w:hAnsi="Times New Roman" w:eastAsia="宋体"/>
                <w:color w:val="000000" w:themeColor="text1"/>
                <w:sz w:val="24"/>
                <w:lang w:eastAsia="zh-CN"/>
              </w:rPr>
              <w:t>平顶山市卫东区矿工路59号院</w:t>
            </w:r>
            <w:r>
              <w:rPr>
                <w:rFonts w:ascii="Times New Roman" w:hAnsi="Times New Roman" w:eastAsia="宋体"/>
                <w:color w:val="000000" w:themeColor="text1"/>
                <w:sz w:val="24"/>
              </w:rPr>
              <w:t>，</w:t>
            </w:r>
            <w:r>
              <w:rPr>
                <w:rFonts w:hint="eastAsia" w:ascii="Times New Roman" w:hAnsi="Times New Roman" w:eastAsia="宋体"/>
                <w:color w:val="000000" w:themeColor="text1"/>
                <w:sz w:val="24"/>
                <w:lang w:eastAsia="zh-CN"/>
              </w:rPr>
              <w:t>豫中地质勘查工程公司平顶山第四工程处院内</w:t>
            </w:r>
            <w:r>
              <w:rPr>
                <w:rFonts w:ascii="Times New Roman" w:hAnsi="Times New Roman" w:eastAsia="宋体"/>
                <w:sz w:val="24"/>
              </w:rPr>
              <w:t>。</w:t>
            </w:r>
            <w:r>
              <w:rPr>
                <w:rFonts w:hint="eastAsia" w:ascii="Times New Roman" w:hAnsi="Times New Roman" w:eastAsia="宋体"/>
                <w:color w:val="000000"/>
                <w:sz w:val="24"/>
              </w:rPr>
              <w:t>本项目位于</w:t>
            </w:r>
            <w:r>
              <w:rPr>
                <w:rFonts w:hint="eastAsia" w:ascii="Times New Roman" w:hAnsi="Times New Roman" w:eastAsia="宋体"/>
                <w:color w:val="000000"/>
                <w:sz w:val="24"/>
                <w:lang w:eastAsia="zh-CN"/>
              </w:rPr>
              <w:t>白龟山水库东北侧</w:t>
            </w:r>
            <w:r>
              <w:rPr>
                <w:rFonts w:hint="eastAsia" w:ascii="Times New Roman" w:hAnsi="Times New Roman" w:eastAsia="宋体"/>
                <w:color w:val="000000"/>
                <w:sz w:val="24"/>
              </w:rPr>
              <w:t>约</w:t>
            </w:r>
            <w:r>
              <w:rPr>
                <w:rFonts w:hint="eastAsia" w:ascii="Times New Roman" w:hAnsi="Times New Roman" w:eastAsia="宋体"/>
                <w:color w:val="000000"/>
                <w:sz w:val="24"/>
                <w:lang w:val="en-US" w:eastAsia="zh-CN"/>
              </w:rPr>
              <w:t>6.57k</w:t>
            </w:r>
            <w:r>
              <w:rPr>
                <w:rFonts w:hint="eastAsia" w:ascii="Times New Roman" w:hAnsi="Times New Roman" w:eastAsia="宋体"/>
                <w:color w:val="000000"/>
                <w:sz w:val="24"/>
              </w:rPr>
              <w:t>m</w:t>
            </w:r>
            <w:r>
              <w:rPr>
                <w:rFonts w:hint="eastAsia" w:ascii="Times New Roman" w:hAnsi="Times New Roman" w:eastAsia="宋体"/>
                <w:color w:val="000000"/>
                <w:sz w:val="24"/>
                <w:lang w:eastAsia="zh-CN"/>
              </w:rPr>
              <w:t>，</w:t>
            </w:r>
            <w:r>
              <w:rPr>
                <w:rFonts w:ascii="Times New Roman" w:hAnsi="Times New Roman" w:eastAsia="宋体"/>
                <w:sz w:val="24"/>
              </w:rPr>
              <w:t xml:space="preserve">本项目不在平顶山市地表饮用水源地保护范围内，本项目符合平顶山市地表饮用水源地保护饮用水水源保护区划的要求。 </w:t>
            </w:r>
          </w:p>
          <w:p>
            <w:pPr>
              <w:spacing w:line="500" w:lineRule="exact"/>
              <w:ind w:firstLine="480" w:firstLineChars="200"/>
              <w:rPr>
                <w:rFonts w:ascii="Times New Roman" w:hAnsi="Times New Roman" w:eastAsia="宋体"/>
                <w:sz w:val="24"/>
              </w:rPr>
            </w:pPr>
            <w:r>
              <w:rPr>
                <w:rFonts w:ascii="Times New Roman" w:hAnsi="Times New Roman" w:eastAsia="宋体"/>
                <w:sz w:val="24"/>
              </w:rPr>
              <w:t>c) 涉及面源污染的，应满足国家和地方有关面源污染控制治理要求；</w:t>
            </w:r>
          </w:p>
          <w:p>
            <w:pPr>
              <w:spacing w:line="500" w:lineRule="exact"/>
              <w:ind w:firstLine="480" w:firstLineChars="200"/>
              <w:rPr>
                <w:rFonts w:ascii="Times New Roman" w:hAnsi="Times New Roman" w:eastAsia="宋体"/>
                <w:sz w:val="24"/>
              </w:rPr>
            </w:pPr>
            <w:r>
              <w:rPr>
                <w:rFonts w:ascii="Times New Roman" w:hAnsi="Times New Roman" w:eastAsia="宋体"/>
                <w:sz w:val="24"/>
              </w:rPr>
              <w:t>本项目不涉及面源排放情况。</w:t>
            </w:r>
          </w:p>
          <w:p>
            <w:pPr>
              <w:spacing w:line="500" w:lineRule="exact"/>
              <w:ind w:firstLine="480" w:firstLineChars="200"/>
              <w:rPr>
                <w:rFonts w:ascii="Times New Roman" w:hAnsi="Times New Roman" w:eastAsia="宋体"/>
                <w:sz w:val="24"/>
              </w:rPr>
            </w:pPr>
            <w:r>
              <w:rPr>
                <w:rFonts w:ascii="Times New Roman" w:hAnsi="Times New Roman" w:eastAsia="宋体"/>
                <w:sz w:val="24"/>
              </w:rPr>
              <w:t>d) 受纳水体环境质量达标区的建设项目选择废水处理措施或多方案比选时，应满足行业污染防治可行技术指南要求，确保废水稳定达标排放且环境影响可以接受。</w:t>
            </w:r>
          </w:p>
          <w:p>
            <w:pPr>
              <w:adjustRightInd w:val="0"/>
              <w:snapToGrid w:val="0"/>
              <w:spacing w:line="500" w:lineRule="exact"/>
              <w:ind w:firstLine="480" w:firstLineChars="200"/>
              <w:rPr>
                <w:rFonts w:hint="eastAsia" w:ascii="Times New Roman" w:hAnsi="Times New Roman" w:eastAsia="宋体" w:cs="Times New Roman"/>
                <w:sz w:val="24"/>
                <w:szCs w:val="24"/>
                <w:lang w:eastAsia="zh-CN"/>
              </w:rPr>
            </w:pPr>
            <w:r>
              <w:rPr>
                <w:rFonts w:ascii="Times New Roman" w:hAnsi="Times New Roman" w:eastAsia="宋体"/>
                <w:sz w:val="24"/>
                <w:szCs w:val="24"/>
              </w:rPr>
              <w:t>本项目废水</w:t>
            </w:r>
            <w:r>
              <w:rPr>
                <w:rFonts w:hint="eastAsia" w:ascii="Times New Roman" w:hAnsi="Times New Roman" w:eastAsia="宋体"/>
                <w:sz w:val="24"/>
                <w:szCs w:val="24"/>
              </w:rPr>
              <w:t>主要为</w:t>
            </w:r>
            <w:r>
              <w:rPr>
                <w:rFonts w:hint="eastAsia" w:ascii="Times New Roman" w:hAnsi="Times New Roman" w:eastAsia="宋体" w:cs="Times New Roman"/>
                <w:sz w:val="24"/>
                <w:szCs w:val="24"/>
                <w:lang w:eastAsia="zh-CN"/>
              </w:rPr>
              <w:t>职工生活污水</w:t>
            </w:r>
            <w:r>
              <w:rPr>
                <w:rFonts w:hint="eastAsia" w:ascii="Times New Roman" w:hAnsi="Times New Roman" w:eastAsia="宋体"/>
                <w:sz w:val="24"/>
                <w:szCs w:val="24"/>
              </w:rPr>
              <w:t>，</w:t>
            </w:r>
            <w:r>
              <w:rPr>
                <w:rFonts w:hint="eastAsia" w:ascii="Times New Roman" w:hAnsi="Times New Roman" w:eastAsia="宋体" w:cs="Times New Roman"/>
                <w:sz w:val="24"/>
                <w:lang w:eastAsia="zh-CN"/>
              </w:rPr>
              <w:t>依托</w:t>
            </w:r>
            <w:r>
              <w:rPr>
                <w:rFonts w:hint="eastAsia" w:ascii="Times New Roman" w:hAnsi="Times New Roman" w:eastAsia="宋体" w:cs="Times New Roman"/>
                <w:sz w:val="24"/>
                <w:lang w:val="en-US" w:eastAsia="zh-CN"/>
              </w:rPr>
              <w:t>豫中地质勘查工程公司平顶山第四工程处院内化粪池处理后经市政管网最终进入城市污水处理厂做进一步处理，</w:t>
            </w:r>
            <w:r>
              <w:rPr>
                <w:rFonts w:hint="eastAsia" w:ascii="Times New Roman" w:hAnsi="Times New Roman" w:eastAsia="宋体" w:cs="Times New Roman"/>
                <w:sz w:val="24"/>
                <w:lang w:eastAsia="zh-CN"/>
              </w:rPr>
              <w:t>对地表水环境影响较小</w:t>
            </w:r>
            <w:r>
              <w:rPr>
                <w:rFonts w:hint="eastAsia" w:ascii="Times New Roman" w:hAnsi="Times New Roman" w:eastAsia="宋体" w:cs="Times New Roman"/>
                <w:sz w:val="24"/>
                <w:szCs w:val="24"/>
                <w:lang w:eastAsia="zh-CN"/>
              </w:rPr>
              <w:t>。</w:t>
            </w:r>
          </w:p>
          <w:p>
            <w:pPr>
              <w:pStyle w:val="79"/>
              <w:spacing w:line="500" w:lineRule="atLeast"/>
              <w:rPr>
                <w:rFonts w:ascii="Times New Roman" w:hAnsi="Times New Roman" w:eastAsia="宋体"/>
                <w:lang w:val="en-US" w:eastAsia="zh-CN"/>
              </w:rPr>
            </w:pPr>
            <w:r>
              <w:rPr>
                <w:rFonts w:ascii="Times New Roman" w:hAnsi="Times New Roman" w:eastAsia="宋体"/>
                <w:lang w:val="en-US" w:eastAsia="zh-CN"/>
              </w:rPr>
              <w:fldChar w:fldCharType="begin"/>
            </w:r>
            <w:r>
              <w:rPr>
                <w:rFonts w:ascii="Times New Roman" w:hAnsi="Times New Roman" w:eastAsia="宋体"/>
                <w:lang w:val="en-US" w:eastAsia="zh-CN"/>
              </w:rPr>
              <w:instrText xml:space="preserve"> = 3 \* GB3 \* MERGEFORMAT </w:instrText>
            </w:r>
            <w:r>
              <w:rPr>
                <w:rFonts w:ascii="Times New Roman" w:hAnsi="Times New Roman" w:eastAsia="宋体"/>
                <w:lang w:val="en-US" w:eastAsia="zh-CN"/>
              </w:rPr>
              <w:fldChar w:fldCharType="separate"/>
            </w:r>
            <w:r>
              <w:rPr>
                <w:rFonts w:ascii="Times New Roman" w:hAnsi="Times New Roman" w:eastAsia="宋体"/>
              </w:rPr>
              <w:t>③</w:t>
            </w:r>
            <w:r>
              <w:rPr>
                <w:rFonts w:ascii="Times New Roman" w:hAnsi="Times New Roman" w:eastAsia="宋体"/>
                <w:lang w:val="en-US" w:eastAsia="zh-CN"/>
              </w:rPr>
              <w:fldChar w:fldCharType="end"/>
            </w:r>
            <w:r>
              <w:rPr>
                <w:rFonts w:ascii="Times New Roman" w:hAnsi="Times New Roman" w:eastAsia="宋体"/>
                <w:lang w:val="en-US" w:eastAsia="zh-CN"/>
              </w:rPr>
              <w:t>污水处理设施的环境可行性评价</w:t>
            </w:r>
          </w:p>
          <w:p>
            <w:pPr>
              <w:adjustRightInd w:val="0"/>
              <w:snapToGrid w:val="0"/>
              <w:spacing w:line="500" w:lineRule="exact"/>
              <w:ind w:firstLine="420" w:firstLineChars="200"/>
              <w:rPr>
                <w:rFonts w:hint="eastAsia" w:ascii="Times New Roman" w:hAnsi="Times New Roman" w:eastAsia="宋体" w:cs="Times New Roman"/>
                <w:sz w:val="24"/>
                <w:szCs w:val="24"/>
                <w:lang w:eastAsia="zh-CN"/>
              </w:rPr>
            </w:pPr>
            <w:r>
              <w:rPr>
                <w:rFonts w:ascii="Times New Roman" w:hAnsi="Times New Roman" w:eastAsia="宋体"/>
                <w:color w:val="000000" w:themeColor="text1"/>
                <w:szCs w:val="24"/>
                <w:lang w:val="en-US" w:eastAsia="zh-CN"/>
              </w:rPr>
              <w:t>本</w:t>
            </w:r>
            <w:r>
              <w:rPr>
                <w:rFonts w:hint="eastAsia" w:ascii="Times New Roman" w:hAnsi="Times New Roman" w:eastAsia="宋体"/>
                <w:color w:val="000000" w:themeColor="text1"/>
                <w:sz w:val="24"/>
              </w:rPr>
              <w:t>项目废水量</w:t>
            </w:r>
            <w:r>
              <w:rPr>
                <w:rFonts w:hint="eastAsia" w:ascii="Times New Roman" w:hAnsi="Times New Roman" w:eastAsia="宋体"/>
                <w:color w:val="000000" w:themeColor="text1"/>
                <w:sz w:val="24"/>
                <w:lang w:val="en-US" w:eastAsia="zh-CN"/>
              </w:rPr>
              <w:t>0.64</w:t>
            </w:r>
            <w:r>
              <w:rPr>
                <w:rFonts w:ascii="Times New Roman" w:hAnsi="Times New Roman" w:eastAsia="宋体"/>
                <w:color w:val="000000" w:themeColor="text1"/>
                <w:sz w:val="24"/>
              </w:rPr>
              <w:t>m</w:t>
            </w:r>
            <w:r>
              <w:rPr>
                <w:rFonts w:ascii="Times New Roman" w:hAnsi="Times New Roman" w:eastAsia="宋体"/>
                <w:color w:val="000000" w:themeColor="text1"/>
                <w:sz w:val="24"/>
                <w:vertAlign w:val="superscript"/>
              </w:rPr>
              <w:t>3</w:t>
            </w:r>
            <w:r>
              <w:rPr>
                <w:rFonts w:ascii="Times New Roman" w:hAnsi="Times New Roman" w:eastAsia="宋体"/>
                <w:color w:val="000000" w:themeColor="text1"/>
                <w:sz w:val="24"/>
              </w:rPr>
              <w:t>/d</w:t>
            </w:r>
            <w:r>
              <w:rPr>
                <w:rFonts w:hint="eastAsia" w:ascii="Times New Roman" w:hAnsi="Times New Roman" w:eastAsia="宋体"/>
                <w:color w:val="000000" w:themeColor="text1"/>
                <w:sz w:val="24"/>
              </w:rPr>
              <w:t>，年废水量</w:t>
            </w:r>
            <w:r>
              <w:rPr>
                <w:rFonts w:hint="eastAsia" w:ascii="Times New Roman" w:hAnsi="Times New Roman" w:eastAsia="宋体"/>
                <w:color w:val="000000" w:themeColor="text1"/>
                <w:sz w:val="24"/>
                <w:lang w:val="en-US" w:eastAsia="zh-CN"/>
              </w:rPr>
              <w:t>192</w:t>
            </w:r>
            <w:r>
              <w:rPr>
                <w:rFonts w:ascii="Times New Roman" w:hAnsi="Times New Roman" w:eastAsia="宋体"/>
                <w:color w:val="000000" w:themeColor="text1"/>
                <w:sz w:val="24"/>
              </w:rPr>
              <w:t>m</w:t>
            </w:r>
            <w:r>
              <w:rPr>
                <w:rFonts w:ascii="Times New Roman" w:hAnsi="Times New Roman" w:eastAsia="宋体"/>
                <w:color w:val="000000" w:themeColor="text1"/>
                <w:sz w:val="24"/>
                <w:vertAlign w:val="superscript"/>
              </w:rPr>
              <w:t>3</w:t>
            </w:r>
            <w:r>
              <w:rPr>
                <w:rFonts w:ascii="Times New Roman" w:hAnsi="Times New Roman" w:eastAsia="宋体"/>
                <w:color w:val="000000" w:themeColor="text1"/>
                <w:sz w:val="24"/>
              </w:rPr>
              <w:t>/a。</w:t>
            </w:r>
            <w:r>
              <w:rPr>
                <w:rFonts w:ascii="Times New Roman" w:hAnsi="Times New Roman" w:eastAsia="宋体"/>
                <w:bCs/>
                <w:color w:val="000000" w:themeColor="text1"/>
                <w:sz w:val="24"/>
                <w:szCs w:val="24"/>
                <w:lang w:val="en-US" w:eastAsia="zh-CN"/>
              </w:rPr>
              <w:t>废水</w:t>
            </w:r>
            <w:r>
              <w:rPr>
                <w:rFonts w:hint="eastAsia" w:ascii="Times New Roman" w:hAnsi="Times New Roman" w:eastAsia="宋体"/>
                <w:bCs/>
                <w:color w:val="000000" w:themeColor="text1"/>
                <w:sz w:val="24"/>
                <w:szCs w:val="24"/>
                <w:lang w:val="en-US" w:eastAsia="zh-CN"/>
              </w:rPr>
              <w:t>为</w:t>
            </w:r>
            <w:r>
              <w:rPr>
                <w:rFonts w:ascii="Times New Roman" w:hAnsi="Times New Roman" w:eastAsia="宋体"/>
                <w:bCs/>
                <w:color w:val="000000" w:themeColor="text1"/>
                <w:sz w:val="24"/>
                <w:szCs w:val="24"/>
                <w:lang w:val="en-US" w:eastAsia="zh-CN"/>
              </w:rPr>
              <w:t>生活污水，其主要成分为</w:t>
            </w:r>
            <w:r>
              <w:rPr>
                <w:rFonts w:hint="eastAsia" w:ascii="Times New Roman" w:hAnsi="Times New Roman" w:eastAsia="宋体"/>
                <w:bCs/>
                <w:color w:val="000000" w:themeColor="text1"/>
                <w:sz w:val="24"/>
                <w:szCs w:val="24"/>
                <w:lang w:val="en-US" w:eastAsia="zh-CN"/>
              </w:rPr>
              <w:t>COD</w:t>
            </w:r>
            <w:r>
              <w:rPr>
                <w:rFonts w:ascii="Times New Roman" w:hAnsi="Times New Roman" w:eastAsia="宋体"/>
                <w:bCs/>
                <w:color w:val="000000" w:themeColor="text1"/>
                <w:sz w:val="24"/>
                <w:szCs w:val="24"/>
                <w:lang w:val="en-US" w:eastAsia="zh-CN"/>
              </w:rPr>
              <w:t>、悬浮物、pH及粪大肠菌群等。</w:t>
            </w:r>
            <w:r>
              <w:rPr>
                <w:rFonts w:hint="eastAsia" w:ascii="Times New Roman" w:hAnsi="Times New Roman" w:eastAsia="宋体"/>
                <w:color w:val="000000" w:themeColor="text1"/>
                <w:sz w:val="24"/>
                <w:szCs w:val="24"/>
                <w:lang w:val="en-US" w:eastAsia="zh-CN"/>
              </w:rPr>
              <w:t>本</w:t>
            </w:r>
            <w:r>
              <w:rPr>
                <w:rFonts w:hint="eastAsia" w:ascii="Times New Roman" w:hAnsi="Times New Roman" w:eastAsia="宋体" w:cs="Times New Roman"/>
                <w:lang w:eastAsia="zh-CN"/>
              </w:rPr>
              <w:t>项目废水</w:t>
            </w:r>
            <w:r>
              <w:rPr>
                <w:rFonts w:hint="default" w:ascii="Times New Roman" w:hAnsi="Times New Roman" w:eastAsia="宋体" w:cs="Times New Roman"/>
              </w:rPr>
              <w:t>水质较简单，</w:t>
            </w:r>
            <w:r>
              <w:rPr>
                <w:rFonts w:hint="eastAsia" w:ascii="Times New Roman" w:hAnsi="Times New Roman" w:eastAsia="宋体" w:cs="Times New Roman"/>
                <w:sz w:val="24"/>
                <w:szCs w:val="24"/>
                <w:lang w:eastAsia="zh-CN"/>
              </w:rPr>
              <w:t>职工生活污水</w:t>
            </w:r>
            <w:r>
              <w:rPr>
                <w:rFonts w:hint="eastAsia" w:ascii="Times New Roman" w:hAnsi="Times New Roman" w:eastAsia="宋体" w:cs="Times New Roman"/>
                <w:sz w:val="24"/>
                <w:lang w:eastAsia="zh-CN"/>
              </w:rPr>
              <w:t>依托</w:t>
            </w:r>
            <w:r>
              <w:rPr>
                <w:rFonts w:hint="eastAsia" w:ascii="Times New Roman" w:hAnsi="Times New Roman" w:eastAsia="宋体" w:cs="Times New Roman"/>
                <w:sz w:val="24"/>
                <w:lang w:val="en-US" w:eastAsia="zh-CN"/>
              </w:rPr>
              <w:t>豫中地质勘查工程公司平顶山第四工程处院内化粪池处理后经市政管网最终进入城市污水处理厂做进一步处理，</w:t>
            </w:r>
            <w:r>
              <w:rPr>
                <w:rFonts w:hint="eastAsia" w:ascii="Times New Roman" w:hAnsi="Times New Roman" w:eastAsia="宋体" w:cs="Times New Roman"/>
                <w:sz w:val="24"/>
                <w:lang w:eastAsia="zh-CN"/>
              </w:rPr>
              <w:t>对地表水环境影响较小</w:t>
            </w:r>
            <w:r>
              <w:rPr>
                <w:rFonts w:hint="eastAsia" w:ascii="Times New Roman" w:hAnsi="Times New Roman" w:eastAsia="宋体" w:cs="Times New Roman"/>
                <w:sz w:val="24"/>
                <w:szCs w:val="24"/>
                <w:lang w:eastAsia="zh-CN"/>
              </w:rPr>
              <w:t>。</w:t>
            </w:r>
          </w:p>
          <w:p>
            <w:pPr>
              <w:adjustRightInd w:val="0"/>
              <w:snapToGrid w:val="0"/>
              <w:spacing w:line="500" w:lineRule="exact"/>
              <w:ind w:firstLine="480" w:firstLineChars="200"/>
              <w:rPr>
                <w:rFonts w:hint="eastAsia" w:ascii="Times New Roman" w:hAnsi="宋体" w:cs="Times New Roman"/>
                <w:b/>
                <w:bCs w:val="0"/>
                <w:sz w:val="24"/>
                <w:szCs w:val="24"/>
                <w:lang w:val="zh-CN" w:eastAsia="zh-CN"/>
              </w:rPr>
            </w:pPr>
            <w:r>
              <w:rPr>
                <w:rFonts w:ascii="Times New Roman" w:hAnsi="Times New Roman" w:eastAsia="宋体"/>
                <w:color w:val="auto"/>
                <w:sz w:val="24"/>
              </w:rPr>
              <w:t>本项目位于</w:t>
            </w:r>
            <w:r>
              <w:rPr>
                <w:rFonts w:hint="eastAsia" w:ascii="Times New Roman" w:hAnsi="Times New Roman" w:eastAsia="宋体"/>
                <w:color w:val="000000" w:themeColor="text1"/>
                <w:sz w:val="24"/>
                <w:lang w:eastAsia="zh-CN"/>
              </w:rPr>
              <w:t>平顶山市卫东区矿工路59号院</w:t>
            </w:r>
            <w:r>
              <w:rPr>
                <w:rFonts w:ascii="Times New Roman" w:hAnsi="Times New Roman" w:eastAsia="宋体"/>
                <w:color w:val="000000" w:themeColor="text1"/>
                <w:sz w:val="24"/>
              </w:rPr>
              <w:t>，</w:t>
            </w:r>
            <w:r>
              <w:rPr>
                <w:rFonts w:hint="eastAsia" w:ascii="Times New Roman" w:hAnsi="Times New Roman" w:eastAsia="宋体"/>
                <w:color w:val="000000" w:themeColor="text1"/>
                <w:sz w:val="24"/>
                <w:lang w:eastAsia="zh-CN"/>
              </w:rPr>
              <w:t>豫中地质勘查工程公司平顶山第四工程处院内</w:t>
            </w:r>
            <w:r>
              <w:rPr>
                <w:rFonts w:ascii="Times New Roman" w:hAnsi="Times New Roman" w:eastAsia="宋体"/>
                <w:color w:val="auto"/>
                <w:sz w:val="24"/>
              </w:rPr>
              <w:t>，</w:t>
            </w:r>
            <w:r>
              <w:rPr>
                <w:rFonts w:hint="eastAsia" w:ascii="Times New Roman" w:hAnsi="Times New Roman" w:eastAsia="宋体"/>
                <w:sz w:val="24"/>
              </w:rPr>
              <w:t>本项目位于平顶山市污水处理厂收水范围内，</w:t>
            </w:r>
            <w:r>
              <w:rPr>
                <w:rFonts w:hint="eastAsia" w:ascii="Times New Roman" w:hAnsi="Times New Roman" w:eastAsia="宋体"/>
                <w:sz w:val="24"/>
                <w:lang w:eastAsia="zh-CN"/>
              </w:rPr>
              <w:t>平顶山市污水处理厂设计处理能力为</w:t>
            </w:r>
            <w:r>
              <w:rPr>
                <w:rFonts w:hint="eastAsia" w:ascii="Times New Roman" w:hAnsi="Times New Roman" w:eastAsia="宋体"/>
                <w:sz w:val="24"/>
                <w:lang w:val="en-US" w:eastAsia="zh-CN"/>
              </w:rPr>
              <w:t>28万</w:t>
            </w:r>
            <w:r>
              <w:rPr>
                <w:rFonts w:hint="eastAsia" w:ascii="Times New Roman" w:hAnsi="Times New Roman" w:eastAsia="宋体"/>
                <w:sz w:val="24"/>
                <w:lang w:eastAsia="zh-CN"/>
              </w:rPr>
              <w:t>，先处理能力</w:t>
            </w:r>
            <w:r>
              <w:rPr>
                <w:rFonts w:hint="eastAsia" w:ascii="Times New Roman" w:hAnsi="Times New Roman" w:eastAsia="宋体"/>
                <w:sz w:val="24"/>
                <w:lang w:val="en-US" w:eastAsia="zh-CN"/>
              </w:rPr>
              <w:t>20万</w:t>
            </w:r>
            <w:r>
              <w:rPr>
                <w:rFonts w:hint="eastAsia" w:ascii="Times New Roman" w:hAnsi="Times New Roman" w:eastAsia="宋体"/>
                <w:sz w:val="24"/>
              </w:rPr>
              <w:t>m</w:t>
            </w:r>
            <w:r>
              <w:rPr>
                <w:rFonts w:hint="eastAsia" w:ascii="Times New Roman" w:hAnsi="Times New Roman" w:eastAsia="宋体"/>
                <w:sz w:val="24"/>
                <w:vertAlign w:val="superscript"/>
              </w:rPr>
              <w:t>3</w:t>
            </w:r>
            <w:r>
              <w:rPr>
                <w:rFonts w:hint="eastAsia" w:ascii="Times New Roman" w:hAnsi="Times New Roman" w:eastAsia="宋体"/>
                <w:sz w:val="24"/>
              </w:rPr>
              <w:t>/d</w:t>
            </w:r>
            <w:r>
              <w:rPr>
                <w:rFonts w:hint="eastAsia" w:ascii="Times New Roman" w:hAnsi="Times New Roman" w:eastAsia="宋体"/>
                <w:sz w:val="24"/>
                <w:lang w:eastAsia="zh-CN"/>
              </w:rPr>
              <w:t>，还有</w:t>
            </w:r>
            <w:r>
              <w:rPr>
                <w:rFonts w:hint="eastAsia" w:ascii="Times New Roman" w:hAnsi="Times New Roman" w:eastAsia="宋体"/>
                <w:sz w:val="24"/>
                <w:lang w:val="en-US" w:eastAsia="zh-CN"/>
              </w:rPr>
              <w:t>8万吨</w:t>
            </w:r>
            <w:r>
              <w:rPr>
                <w:rFonts w:hint="eastAsia" w:ascii="Times New Roman" w:hAnsi="Times New Roman" w:eastAsia="宋体"/>
                <w:sz w:val="24"/>
              </w:rPr>
              <w:t>m</w:t>
            </w:r>
            <w:r>
              <w:rPr>
                <w:rFonts w:hint="eastAsia" w:ascii="Times New Roman" w:hAnsi="Times New Roman" w:eastAsia="宋体"/>
                <w:sz w:val="24"/>
                <w:vertAlign w:val="superscript"/>
              </w:rPr>
              <w:t>3</w:t>
            </w:r>
            <w:r>
              <w:rPr>
                <w:rFonts w:hint="eastAsia" w:ascii="Times New Roman" w:hAnsi="Times New Roman" w:eastAsia="宋体"/>
                <w:sz w:val="24"/>
              </w:rPr>
              <w:t>/d，</w:t>
            </w:r>
            <w:r>
              <w:rPr>
                <w:rFonts w:hint="eastAsia" w:ascii="Times New Roman" w:hAnsi="Times New Roman" w:eastAsia="宋体"/>
                <w:color w:val="auto"/>
                <w:sz w:val="24"/>
                <w:szCs w:val="24"/>
              </w:rPr>
              <w:t>本项目污水</w:t>
            </w:r>
            <w:r>
              <w:rPr>
                <w:rFonts w:ascii="Times New Roman" w:hAnsi="Times New Roman" w:eastAsia="宋体"/>
                <w:color w:val="auto"/>
                <w:sz w:val="24"/>
              </w:rPr>
              <w:t>产生量为</w:t>
            </w:r>
            <w:r>
              <w:rPr>
                <w:rFonts w:hint="eastAsia" w:ascii="Times New Roman" w:hAnsi="Times New Roman" w:eastAsia="宋体"/>
                <w:color w:val="000000" w:themeColor="text1"/>
                <w:sz w:val="24"/>
                <w:lang w:val="en-US" w:eastAsia="zh-CN"/>
              </w:rPr>
              <w:t>5.248</w:t>
            </w:r>
            <w:r>
              <w:rPr>
                <w:rFonts w:ascii="Times New Roman" w:hAnsi="Times New Roman" w:eastAsia="宋体"/>
                <w:color w:val="000000" w:themeColor="text1"/>
                <w:sz w:val="24"/>
              </w:rPr>
              <w:t>m</w:t>
            </w:r>
            <w:r>
              <w:rPr>
                <w:rFonts w:ascii="Times New Roman" w:hAnsi="Times New Roman" w:eastAsia="宋体"/>
                <w:color w:val="000000" w:themeColor="text1"/>
                <w:sz w:val="24"/>
                <w:vertAlign w:val="superscript"/>
              </w:rPr>
              <w:t>3</w:t>
            </w:r>
            <w:r>
              <w:rPr>
                <w:rFonts w:ascii="Times New Roman" w:hAnsi="Times New Roman" w:eastAsia="宋体"/>
                <w:color w:val="000000" w:themeColor="text1"/>
                <w:sz w:val="24"/>
              </w:rPr>
              <w:t>/d</w:t>
            </w:r>
            <w:r>
              <w:rPr>
                <w:rFonts w:hint="eastAsia" w:ascii="Times New Roman" w:hAnsi="Times New Roman" w:eastAsia="宋体"/>
                <w:color w:val="000000" w:themeColor="text1"/>
                <w:sz w:val="24"/>
              </w:rPr>
              <w:t>，</w:t>
            </w:r>
            <w:r>
              <w:rPr>
                <w:rFonts w:hint="eastAsia" w:ascii="Times New Roman" w:hAnsi="Times New Roman" w:eastAsia="宋体"/>
                <w:color w:val="000000" w:themeColor="text1"/>
                <w:sz w:val="24"/>
                <w:lang w:val="en-US" w:eastAsia="zh-CN"/>
              </w:rPr>
              <w:t>1574.4</w:t>
            </w:r>
            <w:r>
              <w:rPr>
                <w:rFonts w:ascii="Times New Roman" w:hAnsi="Times New Roman" w:eastAsia="宋体"/>
                <w:color w:val="000000" w:themeColor="text1"/>
                <w:sz w:val="24"/>
              </w:rPr>
              <w:t>m</w:t>
            </w:r>
            <w:r>
              <w:rPr>
                <w:rFonts w:ascii="Times New Roman" w:hAnsi="Times New Roman" w:eastAsia="宋体"/>
                <w:color w:val="000000" w:themeColor="text1"/>
                <w:sz w:val="24"/>
                <w:vertAlign w:val="superscript"/>
              </w:rPr>
              <w:t>3</w:t>
            </w:r>
            <w:r>
              <w:rPr>
                <w:rFonts w:ascii="Times New Roman" w:hAnsi="Times New Roman" w:eastAsia="宋体"/>
                <w:color w:val="000000" w:themeColor="text1"/>
                <w:sz w:val="24"/>
              </w:rPr>
              <w:t>/a</w:t>
            </w:r>
            <w:r>
              <w:rPr>
                <w:rFonts w:ascii="Times New Roman" w:hAnsi="Times New Roman" w:eastAsia="宋体"/>
                <w:color w:val="auto"/>
                <w:sz w:val="24"/>
              </w:rPr>
              <w:t>。污水主要污染物为COD、SS、NH</w:t>
            </w:r>
            <w:r>
              <w:rPr>
                <w:rFonts w:ascii="Times New Roman" w:hAnsi="Times New Roman" w:eastAsia="宋体"/>
                <w:color w:val="auto"/>
                <w:sz w:val="24"/>
                <w:vertAlign w:val="subscript"/>
              </w:rPr>
              <w:t>3</w:t>
            </w:r>
            <w:r>
              <w:rPr>
                <w:rFonts w:ascii="Times New Roman" w:hAnsi="Times New Roman" w:eastAsia="宋体"/>
                <w:color w:val="auto"/>
                <w:sz w:val="24"/>
              </w:rPr>
              <w:t>-N。</w:t>
            </w:r>
            <w:r>
              <w:rPr>
                <w:rFonts w:hint="eastAsia" w:ascii="Times New Roman" w:hAnsi="Times New Roman" w:eastAsia="宋体"/>
                <w:sz w:val="24"/>
              </w:rPr>
              <w:t>废水排放量较小，废水排入平顶山市污水处理厂可行。</w:t>
            </w:r>
            <w:r>
              <w:rPr>
                <w:rFonts w:hint="eastAsia" w:ascii="Times New Roman" w:hAnsi="Times New Roman" w:eastAsia="宋体"/>
                <w:sz w:val="24"/>
                <w:lang w:val="en-US" w:eastAsia="zh-CN"/>
              </w:rPr>
              <w:t>平顶山市污水处理厂</w:t>
            </w:r>
            <w:r>
              <w:rPr>
                <w:rFonts w:hint="eastAsia" w:ascii="Times New Roman" w:hAnsi="Times New Roman" w:eastAsia="宋体"/>
                <w:color w:val="auto"/>
                <w:sz w:val="24"/>
              </w:rPr>
              <w:t>出水</w:t>
            </w:r>
            <w:r>
              <w:rPr>
                <w:rFonts w:hint="eastAsia" w:ascii="Times New Roman" w:hAnsi="Times New Roman" w:eastAsia="宋体"/>
                <w:color w:val="auto"/>
                <w:sz w:val="24"/>
                <w:lang w:eastAsia="zh-CN"/>
              </w:rPr>
              <w:t>执行</w:t>
            </w:r>
            <w:r>
              <w:rPr>
                <w:rFonts w:hint="eastAsia" w:ascii="Times New Roman" w:hAnsi="Times New Roman" w:eastAsia="宋体"/>
                <w:color w:val="auto"/>
                <w:sz w:val="24"/>
              </w:rPr>
              <w:t>《城镇污水处理厂污染物排放标准》（GB18918-2002）一级 A标准。</w:t>
            </w:r>
          </w:p>
          <w:p>
            <w:pPr>
              <w:pStyle w:val="7"/>
              <w:spacing w:beforeLines="50"/>
              <w:jc w:val="center"/>
              <w:rPr>
                <w:rFonts w:hint="default" w:ascii="Times New Roman" w:hAnsi="宋体" w:cs="Times New Roman"/>
                <w:b/>
                <w:bCs w:val="0"/>
                <w:sz w:val="24"/>
                <w:szCs w:val="24"/>
                <w:lang w:val="zh-CN" w:eastAsia="zh-CN"/>
              </w:rPr>
            </w:pPr>
            <w:r>
              <w:rPr>
                <w:rFonts w:hint="default" w:ascii="Times New Roman" w:hAnsi="宋体" w:cs="Times New Roman"/>
                <w:b/>
                <w:bCs w:val="0"/>
                <w:sz w:val="24"/>
                <w:szCs w:val="24"/>
                <w:lang w:val="zh-CN" w:eastAsia="zh-CN"/>
              </w:rPr>
              <w:t>表</w:t>
            </w:r>
            <w:r>
              <w:rPr>
                <w:rFonts w:hint="eastAsia" w:ascii="Times New Roman" w:hAnsi="宋体" w:cs="Times New Roman"/>
                <w:b/>
                <w:bCs w:val="0"/>
                <w:sz w:val="24"/>
                <w:szCs w:val="24"/>
                <w:lang w:val="en-US" w:eastAsia="zh-CN"/>
              </w:rPr>
              <w:t>2</w:t>
            </w:r>
            <w:r>
              <w:rPr>
                <w:rFonts w:hint="eastAsia" w:hAnsi="宋体" w:cs="Times New Roman"/>
                <w:b/>
                <w:bCs w:val="0"/>
                <w:sz w:val="24"/>
                <w:szCs w:val="24"/>
                <w:lang w:val="en-US" w:eastAsia="zh-CN"/>
              </w:rPr>
              <w:t>1</w:t>
            </w:r>
            <w:r>
              <w:rPr>
                <w:rFonts w:hint="default" w:ascii="Times New Roman" w:hAnsi="宋体" w:cs="Times New Roman"/>
                <w:b/>
                <w:bCs w:val="0"/>
                <w:sz w:val="24"/>
                <w:szCs w:val="24"/>
                <w:lang w:val="en-US" w:eastAsia="zh-CN"/>
              </w:rPr>
              <w:t xml:space="preserve"> </w:t>
            </w:r>
            <w:r>
              <w:rPr>
                <w:rFonts w:hint="default" w:ascii="Times New Roman" w:hAnsi="宋体" w:cs="Times New Roman"/>
                <w:b/>
                <w:bCs w:val="0"/>
                <w:sz w:val="24"/>
                <w:szCs w:val="24"/>
                <w:lang w:val="zh-CN" w:eastAsia="zh-CN"/>
              </w:rPr>
              <w:t xml:space="preserve"> 废水类别、污染物及污染治理设施信息表</w:t>
            </w:r>
          </w:p>
          <w:tbl>
            <w:tblPr>
              <w:tblStyle w:val="23"/>
              <w:tblW w:w="4997"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341"/>
              <w:gridCol w:w="474"/>
              <w:gridCol w:w="673"/>
              <w:gridCol w:w="655"/>
              <w:gridCol w:w="613"/>
              <w:gridCol w:w="755"/>
              <w:gridCol w:w="953"/>
              <w:gridCol w:w="976"/>
              <w:gridCol w:w="689"/>
              <w:gridCol w:w="733"/>
              <w:gridCol w:w="220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2" w:hRule="atLeast"/>
                <w:jc w:val="center"/>
              </w:trPr>
              <w:tc>
                <w:tcPr>
                  <w:tcW w:w="188" w:type="pct"/>
                  <w:vMerge w:val="restart"/>
                  <w:shd w:val="clear" w:color="auto" w:fill="FFFFFF"/>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序</w:t>
                  </w:r>
                </w:p>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号</w:t>
                  </w:r>
                </w:p>
              </w:tc>
              <w:tc>
                <w:tcPr>
                  <w:tcW w:w="261" w:type="pct"/>
                  <w:vMerge w:val="restart"/>
                  <w:shd w:val="clear" w:color="auto" w:fill="FFFFFF"/>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废水类别</w:t>
                  </w:r>
                </w:p>
              </w:tc>
              <w:tc>
                <w:tcPr>
                  <w:tcW w:w="371" w:type="pct"/>
                  <w:vMerge w:val="restart"/>
                  <w:shd w:val="clear" w:color="auto" w:fill="FFFFFF"/>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污染物 种类</w:t>
                  </w:r>
                </w:p>
              </w:tc>
              <w:tc>
                <w:tcPr>
                  <w:tcW w:w="361" w:type="pct"/>
                  <w:vMerge w:val="restart"/>
                  <w:shd w:val="clear" w:color="auto" w:fill="FFFFFF"/>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排放</w:t>
                  </w:r>
                </w:p>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去向</w:t>
                  </w:r>
                </w:p>
              </w:tc>
              <w:tc>
                <w:tcPr>
                  <w:tcW w:w="338" w:type="pct"/>
                  <w:vMerge w:val="restart"/>
                  <w:shd w:val="clear" w:color="auto" w:fill="FFFFFF"/>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排放规律</w:t>
                  </w:r>
                </w:p>
              </w:tc>
              <w:tc>
                <w:tcPr>
                  <w:tcW w:w="1479" w:type="pct"/>
                  <w:gridSpan w:val="3"/>
                  <w:shd w:val="clear" w:color="auto" w:fill="FFFFFF"/>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污染治理设施</w:t>
                  </w:r>
                </w:p>
              </w:tc>
              <w:tc>
                <w:tcPr>
                  <w:tcW w:w="380" w:type="pct"/>
                  <w:vMerge w:val="restart"/>
                  <w:shd w:val="clear" w:color="auto" w:fill="FFFFFF"/>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排放口编号</w:t>
                  </w:r>
                </w:p>
              </w:tc>
              <w:tc>
                <w:tcPr>
                  <w:tcW w:w="404" w:type="pct"/>
                  <w:vMerge w:val="restart"/>
                  <w:shd w:val="clear" w:color="auto" w:fill="FFFFFF"/>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排放口设置是否符合要求</w:t>
                  </w:r>
                </w:p>
              </w:tc>
              <w:tc>
                <w:tcPr>
                  <w:tcW w:w="1214" w:type="pct"/>
                  <w:vMerge w:val="restart"/>
                  <w:shd w:val="clear" w:color="auto" w:fill="FFFFFF"/>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排放口</w:t>
                  </w:r>
                </w:p>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类型</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80" w:hRule="atLeast"/>
                <w:jc w:val="center"/>
              </w:trPr>
              <w:tc>
                <w:tcPr>
                  <w:tcW w:w="188" w:type="pct"/>
                  <w:vMerge w:val="continue"/>
                  <w:shd w:val="clear" w:color="auto" w:fill="FFFFFF"/>
                  <w:noWrap w:val="0"/>
                  <w:vAlign w:val="center"/>
                </w:tcPr>
                <w:p>
                  <w:pPr>
                    <w:jc w:val="center"/>
                    <w:rPr>
                      <w:rFonts w:hint="default" w:ascii="Times New Roman" w:hAnsi="Times New Roman" w:eastAsia="宋体" w:cs="Times New Roman"/>
                      <w:sz w:val="21"/>
                      <w:szCs w:val="21"/>
                    </w:rPr>
                  </w:pPr>
                </w:p>
              </w:tc>
              <w:tc>
                <w:tcPr>
                  <w:tcW w:w="261" w:type="pct"/>
                  <w:vMerge w:val="continue"/>
                  <w:shd w:val="clear" w:color="auto" w:fill="FFFFFF"/>
                  <w:noWrap w:val="0"/>
                  <w:vAlign w:val="center"/>
                </w:tcPr>
                <w:p>
                  <w:pPr>
                    <w:jc w:val="center"/>
                    <w:rPr>
                      <w:rFonts w:hint="default" w:ascii="Times New Roman" w:hAnsi="Times New Roman" w:eastAsia="宋体" w:cs="Times New Roman"/>
                      <w:sz w:val="21"/>
                      <w:szCs w:val="21"/>
                    </w:rPr>
                  </w:pPr>
                </w:p>
              </w:tc>
              <w:tc>
                <w:tcPr>
                  <w:tcW w:w="371" w:type="pct"/>
                  <w:vMerge w:val="continue"/>
                  <w:shd w:val="clear" w:color="auto" w:fill="FFFFFF"/>
                  <w:noWrap w:val="0"/>
                  <w:vAlign w:val="center"/>
                </w:tcPr>
                <w:p>
                  <w:pPr>
                    <w:jc w:val="center"/>
                    <w:rPr>
                      <w:rFonts w:hint="default" w:ascii="Times New Roman" w:hAnsi="Times New Roman" w:eastAsia="宋体" w:cs="Times New Roman"/>
                      <w:sz w:val="21"/>
                      <w:szCs w:val="21"/>
                    </w:rPr>
                  </w:pPr>
                </w:p>
              </w:tc>
              <w:tc>
                <w:tcPr>
                  <w:tcW w:w="361" w:type="pct"/>
                  <w:vMerge w:val="continue"/>
                  <w:shd w:val="clear" w:color="auto" w:fill="FFFFFF"/>
                  <w:noWrap w:val="0"/>
                  <w:vAlign w:val="center"/>
                </w:tcPr>
                <w:p>
                  <w:pPr>
                    <w:jc w:val="center"/>
                    <w:rPr>
                      <w:rFonts w:hint="default" w:ascii="Times New Roman" w:hAnsi="Times New Roman" w:eastAsia="宋体" w:cs="Times New Roman"/>
                      <w:sz w:val="21"/>
                      <w:szCs w:val="21"/>
                    </w:rPr>
                  </w:pPr>
                </w:p>
              </w:tc>
              <w:tc>
                <w:tcPr>
                  <w:tcW w:w="338" w:type="pct"/>
                  <w:vMerge w:val="continue"/>
                  <w:shd w:val="clear" w:color="auto" w:fill="FFFFFF"/>
                  <w:noWrap w:val="0"/>
                  <w:vAlign w:val="center"/>
                </w:tcPr>
                <w:p>
                  <w:pPr>
                    <w:jc w:val="center"/>
                    <w:rPr>
                      <w:rFonts w:hint="default" w:ascii="Times New Roman" w:hAnsi="Times New Roman" w:eastAsia="宋体" w:cs="Times New Roman"/>
                      <w:sz w:val="21"/>
                      <w:szCs w:val="21"/>
                    </w:rPr>
                  </w:pPr>
                </w:p>
              </w:tc>
              <w:tc>
                <w:tcPr>
                  <w:tcW w:w="416" w:type="pct"/>
                  <w:shd w:val="clear" w:color="auto" w:fill="FFFFFF"/>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污染治理设施编号</w:t>
                  </w:r>
                </w:p>
              </w:tc>
              <w:tc>
                <w:tcPr>
                  <w:tcW w:w="525" w:type="pct"/>
                  <w:shd w:val="clear" w:color="auto" w:fill="FFFFFF"/>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污染治理设施名称</w:t>
                  </w:r>
                </w:p>
              </w:tc>
              <w:tc>
                <w:tcPr>
                  <w:tcW w:w="537" w:type="pct"/>
                  <w:shd w:val="clear" w:color="auto" w:fill="FFFFFF"/>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污染治理设施工艺</w:t>
                  </w:r>
                </w:p>
              </w:tc>
              <w:tc>
                <w:tcPr>
                  <w:tcW w:w="380" w:type="pct"/>
                  <w:vMerge w:val="continue"/>
                  <w:shd w:val="clear" w:color="auto" w:fill="FFFFFF"/>
                  <w:noWrap w:val="0"/>
                  <w:vAlign w:val="center"/>
                </w:tcPr>
                <w:p>
                  <w:pPr>
                    <w:jc w:val="center"/>
                    <w:rPr>
                      <w:rFonts w:hint="default" w:ascii="Times New Roman" w:hAnsi="Times New Roman" w:eastAsia="宋体" w:cs="Times New Roman"/>
                      <w:sz w:val="21"/>
                      <w:szCs w:val="21"/>
                    </w:rPr>
                  </w:pPr>
                </w:p>
              </w:tc>
              <w:tc>
                <w:tcPr>
                  <w:tcW w:w="404" w:type="pct"/>
                  <w:vMerge w:val="continue"/>
                  <w:shd w:val="clear" w:color="auto" w:fill="FFFFFF"/>
                  <w:noWrap w:val="0"/>
                  <w:vAlign w:val="center"/>
                </w:tcPr>
                <w:p>
                  <w:pPr>
                    <w:jc w:val="center"/>
                    <w:rPr>
                      <w:rFonts w:hint="default" w:ascii="Times New Roman" w:hAnsi="Times New Roman" w:eastAsia="宋体" w:cs="Times New Roman"/>
                      <w:sz w:val="21"/>
                      <w:szCs w:val="21"/>
                    </w:rPr>
                  </w:pPr>
                </w:p>
              </w:tc>
              <w:tc>
                <w:tcPr>
                  <w:tcW w:w="1214" w:type="pct"/>
                  <w:vMerge w:val="continue"/>
                  <w:shd w:val="clear" w:color="auto" w:fill="FFFFFF"/>
                  <w:noWrap w:val="0"/>
                  <w:vAlign w:val="center"/>
                </w:tcPr>
                <w:p>
                  <w:pPr>
                    <w:jc w:val="center"/>
                    <w:rPr>
                      <w:rFonts w:hint="default" w:ascii="Times New Roman" w:hAnsi="Times New Roman" w:eastAsia="宋体"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88" w:type="pct"/>
                  <w:vMerge w:val="restart"/>
                  <w:shd w:val="clear" w:color="auto" w:fill="FFFFFF"/>
                  <w:noWrap w:val="0"/>
                  <w:vAlign w:val="center"/>
                </w:tcPr>
                <w:p>
                  <w:pPr>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1</w:t>
                  </w:r>
                </w:p>
              </w:tc>
              <w:tc>
                <w:tcPr>
                  <w:tcW w:w="261" w:type="pct"/>
                  <w:vMerge w:val="restart"/>
                  <w:shd w:val="clear" w:color="auto" w:fill="FFFFFF"/>
                  <w:noWrap w:val="0"/>
                  <w:vAlign w:val="center"/>
                </w:tcPr>
                <w:p>
                  <w:pPr>
                    <w:jc w:val="center"/>
                    <w:rPr>
                      <w:rFonts w:hint="eastAsia"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生活污</w:t>
                  </w:r>
                  <w:r>
                    <w:rPr>
                      <w:rFonts w:hint="default" w:ascii="Times New Roman" w:hAnsi="Times New Roman" w:eastAsia="宋体" w:cs="Times New Roman"/>
                      <w:sz w:val="21"/>
                      <w:szCs w:val="21"/>
                    </w:rPr>
                    <w:t>水</w:t>
                  </w:r>
                  <w:r>
                    <w:rPr>
                      <w:rFonts w:hint="eastAsia" w:ascii="Times New Roman" w:hAnsi="Times New Roman" w:eastAsia="宋体" w:cs="Times New Roman"/>
                      <w:sz w:val="21"/>
                      <w:szCs w:val="21"/>
                      <w:lang w:eastAsia="zh-CN"/>
                    </w:rPr>
                    <w:t>、</w:t>
                  </w:r>
                </w:p>
              </w:tc>
              <w:tc>
                <w:tcPr>
                  <w:tcW w:w="371" w:type="pct"/>
                  <w:vMerge w:val="restart"/>
                  <w:shd w:val="clear" w:color="auto" w:fill="FFFFFF"/>
                  <w:noWrap w:val="0"/>
                  <w:vAlign w:val="center"/>
                </w:tcPr>
                <w:p>
                  <w:pPr>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COD</w:t>
                  </w:r>
                  <w:r>
                    <w:rPr>
                      <w:rFonts w:hint="default" w:ascii="Times New Roman" w:hAnsi="Times New Roman" w:eastAsia="宋体" w:cs="Times New Roman"/>
                      <w:sz w:val="21"/>
                      <w:szCs w:val="21"/>
                      <w:lang w:eastAsia="zh-CN"/>
                    </w:rPr>
                    <w:t>、</w:t>
                  </w:r>
                </w:p>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氨氮</w:t>
                  </w:r>
                </w:p>
              </w:tc>
              <w:tc>
                <w:tcPr>
                  <w:tcW w:w="361" w:type="pct"/>
                  <w:vMerge w:val="restart"/>
                  <w:shd w:val="clear" w:color="auto" w:fill="FFFFFF"/>
                  <w:noWrap w:val="0"/>
                  <w:vAlign w:val="center"/>
                </w:tcPr>
                <w:p>
                  <w:pPr>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污水处理厂</w:t>
                  </w:r>
                </w:p>
              </w:tc>
              <w:tc>
                <w:tcPr>
                  <w:tcW w:w="338" w:type="pct"/>
                  <w:vMerge w:val="restart"/>
                  <w:shd w:val="clear" w:color="auto" w:fill="FFFFFF"/>
                  <w:noWrap w:val="0"/>
                  <w:vAlign w:val="center"/>
                </w:tcPr>
                <w:p>
                  <w:pPr>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eastAsia="zh-CN"/>
                    </w:rPr>
                    <w:t>间断</w:t>
                  </w:r>
                  <w:r>
                    <w:rPr>
                      <w:rFonts w:hint="default" w:ascii="Times New Roman" w:hAnsi="Times New Roman" w:eastAsia="宋体" w:cs="Times New Roman"/>
                      <w:sz w:val="21"/>
                      <w:szCs w:val="21"/>
                    </w:rPr>
                    <w:t>排放</w:t>
                  </w:r>
                </w:p>
              </w:tc>
              <w:tc>
                <w:tcPr>
                  <w:tcW w:w="416" w:type="pct"/>
                  <w:vMerge w:val="restart"/>
                  <w:shd w:val="clear" w:color="auto" w:fill="FFFFFF"/>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w:t>
                  </w:r>
                </w:p>
              </w:tc>
              <w:tc>
                <w:tcPr>
                  <w:tcW w:w="525" w:type="pct"/>
                  <w:vMerge w:val="restart"/>
                  <w:shd w:val="clear" w:color="auto" w:fill="FFFFFF"/>
                  <w:noWrap w:val="0"/>
                  <w:vAlign w:val="center"/>
                </w:tcPr>
                <w:p>
                  <w:pPr>
                    <w:jc w:val="center"/>
                    <w:rPr>
                      <w:rFonts w:hint="default"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化粪池</w:t>
                  </w:r>
                </w:p>
              </w:tc>
              <w:tc>
                <w:tcPr>
                  <w:tcW w:w="537" w:type="pct"/>
                  <w:vMerge w:val="restart"/>
                  <w:shd w:val="clear" w:color="auto" w:fill="FFFFFF"/>
                  <w:noWrap w:val="0"/>
                  <w:vAlign w:val="center"/>
                </w:tcPr>
                <w:p>
                  <w:pPr>
                    <w:jc w:val="center"/>
                    <w:rPr>
                      <w:rFonts w:hint="default"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化粪池</w:t>
                  </w:r>
                </w:p>
              </w:tc>
              <w:tc>
                <w:tcPr>
                  <w:tcW w:w="380" w:type="pct"/>
                  <w:vMerge w:val="restart"/>
                  <w:shd w:val="clear" w:color="auto" w:fill="FFFFFF"/>
                  <w:noWrap w:val="0"/>
                  <w:vAlign w:val="center"/>
                </w:tcPr>
                <w:p>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w:t>
                  </w:r>
                </w:p>
              </w:tc>
              <w:tc>
                <w:tcPr>
                  <w:tcW w:w="404" w:type="pct"/>
                  <w:vMerge w:val="restart"/>
                  <w:shd w:val="clear" w:color="auto" w:fill="FFFFFF"/>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sym w:font="Wingdings 2" w:char="0052"/>
                  </w:r>
                  <w:r>
                    <w:rPr>
                      <w:rFonts w:hint="default" w:ascii="Times New Roman" w:hAnsi="Times New Roman" w:eastAsia="宋体" w:cs="Times New Roman"/>
                      <w:sz w:val="21"/>
                      <w:szCs w:val="21"/>
                    </w:rPr>
                    <w:t>是</w:t>
                  </w:r>
                </w:p>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sym w:font="Wingdings 2" w:char="00A3"/>
                  </w:r>
                  <w:r>
                    <w:rPr>
                      <w:rFonts w:hint="default" w:ascii="Times New Roman" w:hAnsi="Times New Roman" w:eastAsia="宋体" w:cs="Times New Roman"/>
                      <w:sz w:val="21"/>
                      <w:szCs w:val="21"/>
                    </w:rPr>
                    <w:t>否</w:t>
                  </w:r>
                </w:p>
              </w:tc>
              <w:tc>
                <w:tcPr>
                  <w:tcW w:w="1214" w:type="pct"/>
                  <w:vMerge w:val="restart"/>
                  <w:shd w:val="clear" w:color="auto" w:fill="FFFFFF"/>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sym w:font="Wingdings 2" w:char="0052"/>
                  </w:r>
                  <w:r>
                    <w:rPr>
                      <w:rFonts w:hint="default" w:ascii="Times New Roman" w:hAnsi="Times New Roman" w:eastAsia="宋体" w:cs="Times New Roman"/>
                      <w:sz w:val="21"/>
                      <w:szCs w:val="21"/>
                    </w:rPr>
                    <w:t>企业总排</w:t>
                  </w:r>
                </w:p>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sym w:font="Wingdings 2" w:char="00A3"/>
                  </w:r>
                  <w:r>
                    <w:rPr>
                      <w:rFonts w:hint="default" w:ascii="Times New Roman" w:hAnsi="Times New Roman" w:eastAsia="宋体" w:cs="Times New Roman"/>
                      <w:sz w:val="21"/>
                      <w:szCs w:val="21"/>
                    </w:rPr>
                    <w:t>雨水排放</w:t>
                  </w:r>
                </w:p>
                <w:p>
                  <w:pPr>
                    <w:jc w:val="center"/>
                    <w:rPr>
                      <w:rFonts w:hint="eastAsia"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sym w:font="Wingdings 2" w:char="00A3"/>
                  </w:r>
                  <w:r>
                    <w:rPr>
                      <w:rFonts w:hint="default" w:ascii="Times New Roman" w:hAnsi="Times New Roman" w:eastAsia="宋体" w:cs="Times New Roman"/>
                      <w:sz w:val="21"/>
                      <w:szCs w:val="21"/>
                    </w:rPr>
                    <w:t>淸净下</w:t>
                  </w:r>
                  <w:r>
                    <w:rPr>
                      <w:rFonts w:hint="eastAsia" w:ascii="Times New Roman" w:hAnsi="Times New Roman" w:eastAsia="宋体" w:cs="Times New Roman"/>
                      <w:sz w:val="21"/>
                      <w:szCs w:val="21"/>
                      <w:lang w:eastAsia="zh-CN"/>
                    </w:rPr>
                    <w:t>水排放</w:t>
                  </w:r>
                </w:p>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 </w:t>
                  </w:r>
                  <w:r>
                    <w:rPr>
                      <w:rFonts w:hint="default" w:ascii="Times New Roman" w:hAnsi="Times New Roman" w:eastAsia="宋体" w:cs="Times New Roman"/>
                      <w:sz w:val="21"/>
                      <w:szCs w:val="21"/>
                    </w:rPr>
                    <w:sym w:font="Wingdings 2" w:char="00A3"/>
                  </w:r>
                  <w:r>
                    <w:rPr>
                      <w:rFonts w:hint="default" w:ascii="Times New Roman" w:hAnsi="Times New Roman" w:eastAsia="宋体" w:cs="Times New Roman"/>
                      <w:sz w:val="21"/>
                      <w:szCs w:val="21"/>
                    </w:rPr>
                    <w:t xml:space="preserve">温排水排放 </w:t>
                  </w:r>
                  <w:r>
                    <w:rPr>
                      <w:rFonts w:hint="default" w:ascii="Times New Roman" w:hAnsi="Times New Roman" w:eastAsia="宋体" w:cs="Times New Roman"/>
                      <w:sz w:val="21"/>
                      <w:szCs w:val="21"/>
                    </w:rPr>
                    <w:sym w:font="Wingdings 2" w:char="00A3"/>
                  </w:r>
                  <w:r>
                    <w:rPr>
                      <w:rFonts w:hint="default" w:ascii="Times New Roman" w:hAnsi="Times New Roman" w:eastAsia="宋体" w:cs="Times New Roman"/>
                      <w:sz w:val="21"/>
                      <w:szCs w:val="21"/>
                    </w:rPr>
                    <w:t>车间或车间处理设施排放口</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88" w:type="pct"/>
                  <w:vMerge w:val="continue"/>
                  <w:shd w:val="clear" w:color="auto" w:fill="FFFFFF"/>
                  <w:noWrap w:val="0"/>
                  <w:vAlign w:val="center"/>
                </w:tcPr>
                <w:p>
                  <w:pPr>
                    <w:jc w:val="center"/>
                    <w:rPr>
                      <w:rFonts w:hint="eastAsia" w:ascii="Times New Roman" w:hAnsi="Times New Roman" w:eastAsia="宋体" w:cs="Times New Roman"/>
                      <w:sz w:val="21"/>
                      <w:szCs w:val="21"/>
                      <w:lang w:val="en-US" w:eastAsia="zh-CN"/>
                    </w:rPr>
                  </w:pPr>
                </w:p>
              </w:tc>
              <w:tc>
                <w:tcPr>
                  <w:tcW w:w="261" w:type="pct"/>
                  <w:vMerge w:val="continue"/>
                  <w:shd w:val="clear" w:color="auto" w:fill="FFFFFF"/>
                  <w:noWrap w:val="0"/>
                  <w:vAlign w:val="center"/>
                </w:tcPr>
                <w:p>
                  <w:pPr>
                    <w:jc w:val="center"/>
                    <w:rPr>
                      <w:rFonts w:hint="default" w:ascii="Times New Roman" w:hAnsi="Times New Roman" w:eastAsia="宋体" w:cs="Times New Roman"/>
                      <w:sz w:val="21"/>
                      <w:szCs w:val="21"/>
                      <w:lang w:eastAsia="zh-CN"/>
                    </w:rPr>
                  </w:pPr>
                </w:p>
              </w:tc>
              <w:tc>
                <w:tcPr>
                  <w:tcW w:w="371" w:type="pct"/>
                  <w:vMerge w:val="continue"/>
                  <w:shd w:val="clear" w:color="auto" w:fill="FFFFFF"/>
                  <w:noWrap w:val="0"/>
                  <w:vAlign w:val="center"/>
                </w:tcPr>
                <w:p>
                  <w:pPr>
                    <w:jc w:val="center"/>
                    <w:rPr>
                      <w:rFonts w:hint="default" w:ascii="Times New Roman" w:hAnsi="Times New Roman" w:eastAsia="宋体" w:cs="Times New Roman"/>
                      <w:sz w:val="21"/>
                      <w:szCs w:val="21"/>
                      <w:lang w:val="en-US" w:eastAsia="zh-CN"/>
                    </w:rPr>
                  </w:pPr>
                </w:p>
              </w:tc>
              <w:tc>
                <w:tcPr>
                  <w:tcW w:w="361" w:type="pct"/>
                  <w:vMerge w:val="continue"/>
                  <w:shd w:val="clear" w:color="auto" w:fill="FFFFFF"/>
                  <w:noWrap w:val="0"/>
                  <w:vAlign w:val="center"/>
                </w:tcPr>
                <w:p>
                  <w:pPr>
                    <w:jc w:val="center"/>
                    <w:rPr>
                      <w:rFonts w:hint="eastAsia" w:ascii="Times New Roman" w:hAnsi="Times New Roman" w:eastAsia="宋体" w:cs="Times New Roman"/>
                      <w:sz w:val="21"/>
                      <w:szCs w:val="21"/>
                      <w:lang w:val="en-US" w:eastAsia="zh-CN"/>
                    </w:rPr>
                  </w:pPr>
                </w:p>
              </w:tc>
              <w:tc>
                <w:tcPr>
                  <w:tcW w:w="338" w:type="pct"/>
                  <w:vMerge w:val="continue"/>
                  <w:shd w:val="clear" w:color="auto" w:fill="FFFFFF"/>
                  <w:noWrap w:val="0"/>
                  <w:vAlign w:val="center"/>
                </w:tcPr>
                <w:p>
                  <w:pPr>
                    <w:jc w:val="center"/>
                    <w:rPr>
                      <w:rFonts w:hint="eastAsia" w:ascii="Times New Roman" w:hAnsi="Times New Roman" w:eastAsia="宋体" w:cs="Times New Roman"/>
                      <w:sz w:val="21"/>
                      <w:szCs w:val="21"/>
                      <w:lang w:eastAsia="zh-CN"/>
                    </w:rPr>
                  </w:pPr>
                </w:p>
              </w:tc>
              <w:tc>
                <w:tcPr>
                  <w:tcW w:w="416" w:type="pct"/>
                  <w:vMerge w:val="continue"/>
                  <w:shd w:val="clear" w:color="auto" w:fill="FFFFFF"/>
                  <w:noWrap w:val="0"/>
                  <w:vAlign w:val="center"/>
                </w:tcPr>
                <w:p>
                  <w:pPr>
                    <w:jc w:val="center"/>
                    <w:rPr>
                      <w:rFonts w:hint="default" w:ascii="Times New Roman" w:hAnsi="Times New Roman" w:eastAsia="宋体" w:cs="Times New Roman"/>
                      <w:sz w:val="21"/>
                      <w:szCs w:val="21"/>
                      <w:lang w:val="en-US" w:eastAsia="zh-CN"/>
                    </w:rPr>
                  </w:pPr>
                </w:p>
              </w:tc>
              <w:tc>
                <w:tcPr>
                  <w:tcW w:w="525" w:type="pct"/>
                  <w:vMerge w:val="continue"/>
                  <w:shd w:val="clear" w:color="auto" w:fill="FFFFFF"/>
                  <w:noWrap w:val="0"/>
                  <w:vAlign w:val="center"/>
                </w:tcPr>
                <w:p>
                  <w:pPr>
                    <w:jc w:val="center"/>
                    <w:rPr>
                      <w:rFonts w:hint="eastAsia" w:ascii="Times New Roman" w:hAnsi="Times New Roman" w:eastAsia="宋体" w:cs="Times New Roman"/>
                      <w:sz w:val="21"/>
                      <w:szCs w:val="21"/>
                      <w:lang w:eastAsia="zh-CN"/>
                    </w:rPr>
                  </w:pPr>
                </w:p>
              </w:tc>
              <w:tc>
                <w:tcPr>
                  <w:tcW w:w="537" w:type="pct"/>
                  <w:vMerge w:val="continue"/>
                  <w:shd w:val="clear" w:color="auto" w:fill="FFFFFF"/>
                  <w:noWrap w:val="0"/>
                  <w:vAlign w:val="center"/>
                </w:tcPr>
                <w:p>
                  <w:pPr>
                    <w:jc w:val="center"/>
                    <w:rPr>
                      <w:rFonts w:hint="eastAsia" w:ascii="Times New Roman" w:hAnsi="Times New Roman" w:eastAsia="宋体" w:cs="Times New Roman"/>
                      <w:sz w:val="21"/>
                      <w:szCs w:val="21"/>
                      <w:lang w:eastAsia="zh-CN"/>
                    </w:rPr>
                  </w:pPr>
                </w:p>
              </w:tc>
              <w:tc>
                <w:tcPr>
                  <w:tcW w:w="380" w:type="pct"/>
                  <w:vMerge w:val="continue"/>
                  <w:shd w:val="clear" w:color="auto" w:fill="FFFFFF"/>
                  <w:noWrap w:val="0"/>
                  <w:vAlign w:val="center"/>
                </w:tcPr>
                <w:p>
                  <w:pPr>
                    <w:jc w:val="center"/>
                    <w:rPr>
                      <w:rFonts w:hint="default" w:ascii="Times New Roman" w:hAnsi="Times New Roman" w:eastAsia="宋体" w:cs="Times New Roman"/>
                      <w:sz w:val="21"/>
                      <w:szCs w:val="21"/>
                      <w:lang w:val="en-US" w:eastAsia="zh-CN"/>
                    </w:rPr>
                  </w:pPr>
                </w:p>
              </w:tc>
              <w:tc>
                <w:tcPr>
                  <w:tcW w:w="404" w:type="pct"/>
                  <w:vMerge w:val="continue"/>
                  <w:shd w:val="clear" w:color="auto" w:fill="FFFFFF"/>
                  <w:noWrap w:val="0"/>
                  <w:vAlign w:val="center"/>
                </w:tcPr>
                <w:p>
                  <w:pPr>
                    <w:jc w:val="center"/>
                    <w:rPr>
                      <w:rFonts w:hint="default" w:ascii="Times New Roman" w:hAnsi="Times New Roman" w:eastAsia="宋体" w:cs="Times New Roman"/>
                      <w:sz w:val="21"/>
                      <w:szCs w:val="21"/>
                    </w:rPr>
                  </w:pPr>
                </w:p>
              </w:tc>
              <w:tc>
                <w:tcPr>
                  <w:tcW w:w="1214" w:type="pct"/>
                  <w:vMerge w:val="continue"/>
                  <w:shd w:val="clear" w:color="auto" w:fill="FFFFFF"/>
                  <w:noWrap w:val="0"/>
                  <w:vAlign w:val="center"/>
                </w:tcPr>
                <w:p>
                  <w:pPr>
                    <w:jc w:val="center"/>
                    <w:rPr>
                      <w:rFonts w:hint="default" w:ascii="Times New Roman" w:hAnsi="Times New Roman" w:eastAsia="宋体"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88" w:type="pct"/>
                  <w:vMerge w:val="continue"/>
                  <w:shd w:val="clear" w:color="auto" w:fill="FFFFFF"/>
                  <w:noWrap w:val="0"/>
                  <w:vAlign w:val="center"/>
                </w:tcPr>
                <w:p>
                  <w:pPr>
                    <w:jc w:val="center"/>
                    <w:rPr>
                      <w:rFonts w:hint="eastAsia" w:ascii="Times New Roman" w:hAnsi="Times New Roman" w:eastAsia="宋体" w:cs="Times New Roman"/>
                      <w:sz w:val="21"/>
                      <w:szCs w:val="21"/>
                      <w:lang w:val="en-US" w:eastAsia="zh-CN"/>
                    </w:rPr>
                  </w:pPr>
                </w:p>
              </w:tc>
              <w:tc>
                <w:tcPr>
                  <w:tcW w:w="261" w:type="pct"/>
                  <w:vMerge w:val="continue"/>
                  <w:shd w:val="clear" w:color="auto" w:fill="FFFFFF"/>
                  <w:noWrap w:val="0"/>
                  <w:vAlign w:val="center"/>
                </w:tcPr>
                <w:p>
                  <w:pPr>
                    <w:jc w:val="center"/>
                    <w:rPr>
                      <w:rFonts w:hint="default" w:ascii="Times New Roman" w:hAnsi="Times New Roman" w:eastAsia="宋体" w:cs="Times New Roman"/>
                      <w:sz w:val="21"/>
                      <w:szCs w:val="21"/>
                      <w:lang w:eastAsia="zh-CN"/>
                    </w:rPr>
                  </w:pPr>
                </w:p>
              </w:tc>
              <w:tc>
                <w:tcPr>
                  <w:tcW w:w="371" w:type="pct"/>
                  <w:vMerge w:val="continue"/>
                  <w:shd w:val="clear" w:color="auto" w:fill="FFFFFF"/>
                  <w:noWrap w:val="0"/>
                  <w:vAlign w:val="center"/>
                </w:tcPr>
                <w:p>
                  <w:pPr>
                    <w:jc w:val="center"/>
                    <w:rPr>
                      <w:rFonts w:hint="default" w:ascii="Times New Roman" w:hAnsi="Times New Roman" w:eastAsia="宋体" w:cs="Times New Roman"/>
                      <w:sz w:val="21"/>
                      <w:szCs w:val="21"/>
                    </w:rPr>
                  </w:pPr>
                </w:p>
              </w:tc>
              <w:tc>
                <w:tcPr>
                  <w:tcW w:w="361" w:type="pct"/>
                  <w:vMerge w:val="continue"/>
                  <w:shd w:val="clear" w:color="auto" w:fill="FFFFFF"/>
                  <w:noWrap w:val="0"/>
                  <w:vAlign w:val="center"/>
                </w:tcPr>
                <w:p>
                  <w:pPr>
                    <w:jc w:val="center"/>
                    <w:rPr>
                      <w:rFonts w:hint="eastAsia" w:ascii="Times New Roman" w:hAnsi="Times New Roman" w:eastAsia="宋体" w:cs="Times New Roman"/>
                      <w:sz w:val="21"/>
                      <w:szCs w:val="21"/>
                      <w:lang w:val="en-US" w:eastAsia="zh-CN"/>
                    </w:rPr>
                  </w:pPr>
                </w:p>
              </w:tc>
              <w:tc>
                <w:tcPr>
                  <w:tcW w:w="338" w:type="pct"/>
                  <w:vMerge w:val="continue"/>
                  <w:shd w:val="clear" w:color="auto" w:fill="FFFFFF"/>
                  <w:noWrap w:val="0"/>
                  <w:vAlign w:val="center"/>
                </w:tcPr>
                <w:p>
                  <w:pPr>
                    <w:jc w:val="center"/>
                    <w:rPr>
                      <w:rFonts w:hint="eastAsia" w:ascii="Times New Roman" w:hAnsi="Times New Roman" w:eastAsia="宋体" w:cs="Times New Roman"/>
                      <w:sz w:val="21"/>
                      <w:szCs w:val="21"/>
                      <w:lang w:eastAsia="zh-CN"/>
                    </w:rPr>
                  </w:pPr>
                </w:p>
              </w:tc>
              <w:tc>
                <w:tcPr>
                  <w:tcW w:w="416" w:type="pct"/>
                  <w:vMerge w:val="continue"/>
                  <w:shd w:val="clear" w:color="auto" w:fill="FFFFFF"/>
                  <w:noWrap w:val="0"/>
                  <w:vAlign w:val="center"/>
                </w:tcPr>
                <w:p>
                  <w:pPr>
                    <w:jc w:val="center"/>
                    <w:rPr>
                      <w:rFonts w:hint="default" w:ascii="Times New Roman" w:hAnsi="Times New Roman" w:eastAsia="宋体" w:cs="Times New Roman"/>
                      <w:sz w:val="21"/>
                      <w:szCs w:val="21"/>
                      <w:lang w:val="en-US" w:eastAsia="zh-CN"/>
                    </w:rPr>
                  </w:pPr>
                </w:p>
              </w:tc>
              <w:tc>
                <w:tcPr>
                  <w:tcW w:w="525" w:type="pct"/>
                  <w:vMerge w:val="continue"/>
                  <w:shd w:val="clear" w:color="auto" w:fill="FFFFFF"/>
                  <w:noWrap w:val="0"/>
                  <w:vAlign w:val="center"/>
                </w:tcPr>
                <w:p>
                  <w:pPr>
                    <w:jc w:val="center"/>
                    <w:rPr>
                      <w:rFonts w:hint="eastAsia" w:ascii="Times New Roman" w:hAnsi="Times New Roman" w:eastAsia="宋体" w:cs="Times New Roman"/>
                      <w:sz w:val="21"/>
                      <w:szCs w:val="21"/>
                      <w:lang w:eastAsia="zh-CN"/>
                    </w:rPr>
                  </w:pPr>
                </w:p>
              </w:tc>
              <w:tc>
                <w:tcPr>
                  <w:tcW w:w="537" w:type="pct"/>
                  <w:vMerge w:val="continue"/>
                  <w:shd w:val="clear" w:color="auto" w:fill="FFFFFF"/>
                  <w:noWrap w:val="0"/>
                  <w:vAlign w:val="center"/>
                </w:tcPr>
                <w:p>
                  <w:pPr>
                    <w:jc w:val="center"/>
                    <w:rPr>
                      <w:rFonts w:hint="eastAsia" w:ascii="Times New Roman" w:hAnsi="Times New Roman" w:eastAsia="宋体" w:cs="Times New Roman"/>
                      <w:sz w:val="21"/>
                      <w:szCs w:val="21"/>
                      <w:lang w:eastAsia="zh-CN"/>
                    </w:rPr>
                  </w:pPr>
                </w:p>
              </w:tc>
              <w:tc>
                <w:tcPr>
                  <w:tcW w:w="380" w:type="pct"/>
                  <w:vMerge w:val="continue"/>
                  <w:shd w:val="clear" w:color="auto" w:fill="FFFFFF"/>
                  <w:noWrap w:val="0"/>
                  <w:vAlign w:val="center"/>
                </w:tcPr>
                <w:p>
                  <w:pPr>
                    <w:jc w:val="center"/>
                    <w:rPr>
                      <w:rFonts w:hint="default" w:ascii="Times New Roman" w:hAnsi="Times New Roman" w:eastAsia="宋体" w:cs="Times New Roman"/>
                      <w:sz w:val="21"/>
                      <w:szCs w:val="21"/>
                      <w:lang w:val="en-US" w:eastAsia="zh-CN"/>
                    </w:rPr>
                  </w:pPr>
                </w:p>
              </w:tc>
              <w:tc>
                <w:tcPr>
                  <w:tcW w:w="404" w:type="pct"/>
                  <w:vMerge w:val="continue"/>
                  <w:shd w:val="clear" w:color="auto" w:fill="FFFFFF"/>
                  <w:noWrap w:val="0"/>
                  <w:vAlign w:val="center"/>
                </w:tcPr>
                <w:p>
                  <w:pPr>
                    <w:jc w:val="center"/>
                    <w:rPr>
                      <w:rFonts w:hint="default" w:ascii="Times New Roman" w:hAnsi="Times New Roman" w:eastAsia="宋体" w:cs="Times New Roman"/>
                      <w:sz w:val="21"/>
                      <w:szCs w:val="21"/>
                    </w:rPr>
                  </w:pPr>
                </w:p>
              </w:tc>
              <w:tc>
                <w:tcPr>
                  <w:tcW w:w="1214" w:type="pct"/>
                  <w:vMerge w:val="continue"/>
                  <w:shd w:val="clear" w:color="auto" w:fill="FFFFFF"/>
                  <w:noWrap w:val="0"/>
                  <w:vAlign w:val="center"/>
                </w:tcPr>
                <w:p>
                  <w:pPr>
                    <w:jc w:val="center"/>
                    <w:rPr>
                      <w:rFonts w:hint="default" w:ascii="Times New Roman" w:hAnsi="Times New Roman" w:eastAsia="宋体" w:cs="Times New Roman"/>
                      <w:sz w:val="21"/>
                      <w:szCs w:val="21"/>
                    </w:rPr>
                  </w:pPr>
                </w:p>
              </w:tc>
            </w:tr>
          </w:tbl>
          <w:p>
            <w:pPr>
              <w:pStyle w:val="7"/>
              <w:spacing w:beforeLines="50"/>
              <w:jc w:val="center"/>
              <w:rPr>
                <w:rFonts w:hint="default" w:ascii="Times New Roman" w:hAnsi="宋体" w:cs="Times New Roman"/>
                <w:b/>
                <w:bCs w:val="0"/>
                <w:sz w:val="24"/>
                <w:szCs w:val="24"/>
                <w:lang w:val="zh-CN" w:eastAsia="zh-CN"/>
              </w:rPr>
            </w:pPr>
          </w:p>
          <w:p>
            <w:pPr>
              <w:pStyle w:val="7"/>
              <w:spacing w:beforeLines="50"/>
              <w:jc w:val="center"/>
              <w:rPr>
                <w:rFonts w:hint="default" w:ascii="Times New Roman" w:hAnsi="宋体" w:cs="Times New Roman"/>
                <w:b/>
                <w:bCs w:val="0"/>
                <w:sz w:val="24"/>
                <w:szCs w:val="24"/>
                <w:lang w:val="zh-CN" w:eastAsia="zh-CN"/>
              </w:rPr>
            </w:pPr>
          </w:p>
          <w:p>
            <w:pPr>
              <w:pStyle w:val="7"/>
              <w:spacing w:beforeLines="50"/>
              <w:jc w:val="center"/>
              <w:rPr>
                <w:rFonts w:hint="default" w:ascii="Times New Roman" w:hAnsi="宋体" w:cs="Times New Roman"/>
                <w:b/>
                <w:bCs w:val="0"/>
                <w:sz w:val="24"/>
                <w:szCs w:val="24"/>
                <w:lang w:val="zh-CN" w:eastAsia="zh-CN"/>
              </w:rPr>
            </w:pPr>
            <w:r>
              <w:rPr>
                <w:rFonts w:hint="default" w:ascii="Times New Roman" w:hAnsi="宋体" w:cs="Times New Roman"/>
                <w:b/>
                <w:bCs w:val="0"/>
                <w:sz w:val="24"/>
                <w:szCs w:val="24"/>
                <w:lang w:val="zh-CN" w:eastAsia="zh-CN"/>
              </w:rPr>
              <w:t>表</w:t>
            </w:r>
            <w:r>
              <w:rPr>
                <w:rFonts w:hint="eastAsia" w:ascii="Times New Roman" w:hAnsi="宋体" w:cs="Times New Roman"/>
                <w:b/>
                <w:bCs w:val="0"/>
                <w:sz w:val="24"/>
                <w:szCs w:val="24"/>
                <w:lang w:val="en-US" w:eastAsia="zh-CN"/>
              </w:rPr>
              <w:t>2</w:t>
            </w:r>
            <w:r>
              <w:rPr>
                <w:rFonts w:hint="eastAsia" w:hAnsi="宋体" w:cs="Times New Roman"/>
                <w:b/>
                <w:bCs w:val="0"/>
                <w:sz w:val="24"/>
                <w:szCs w:val="24"/>
                <w:lang w:val="en-US" w:eastAsia="zh-CN"/>
              </w:rPr>
              <w:t>2</w:t>
            </w:r>
            <w:r>
              <w:rPr>
                <w:rFonts w:hint="default" w:ascii="Times New Roman" w:hAnsi="宋体" w:cs="Times New Roman"/>
                <w:b/>
                <w:bCs w:val="0"/>
                <w:sz w:val="24"/>
                <w:szCs w:val="24"/>
                <w:lang w:val="en-US" w:eastAsia="zh-CN"/>
              </w:rPr>
              <w:t xml:space="preserve"> </w:t>
            </w:r>
            <w:r>
              <w:rPr>
                <w:rFonts w:hint="default" w:ascii="Times New Roman" w:hAnsi="宋体" w:cs="Times New Roman"/>
                <w:b/>
                <w:bCs w:val="0"/>
                <w:sz w:val="24"/>
                <w:szCs w:val="24"/>
                <w:lang w:val="zh-CN" w:eastAsia="zh-CN"/>
              </w:rPr>
              <w:t xml:space="preserve"> 废水污染物排放执行标准表</w:t>
            </w:r>
          </w:p>
          <w:tbl>
            <w:tblPr>
              <w:tblStyle w:val="23"/>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550"/>
              <w:gridCol w:w="1030"/>
              <w:gridCol w:w="1061"/>
              <w:gridCol w:w="4162"/>
              <w:gridCol w:w="226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99" w:hRule="atLeast"/>
                <w:jc w:val="center"/>
              </w:trPr>
              <w:tc>
                <w:tcPr>
                  <w:tcW w:w="303" w:type="pct"/>
                  <w:vMerge w:val="restart"/>
                  <w:shd w:val="clear" w:color="auto" w:fill="FFFFFF"/>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序号</w:t>
                  </w:r>
                </w:p>
              </w:tc>
              <w:tc>
                <w:tcPr>
                  <w:tcW w:w="568" w:type="pct"/>
                  <w:vMerge w:val="restart"/>
                  <w:shd w:val="clear" w:color="auto" w:fill="FFFFFF"/>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排放口</w:t>
                  </w:r>
                </w:p>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编号</w:t>
                  </w:r>
                </w:p>
              </w:tc>
              <w:tc>
                <w:tcPr>
                  <w:tcW w:w="585" w:type="pct"/>
                  <w:vMerge w:val="restart"/>
                  <w:shd w:val="clear" w:color="auto" w:fill="FFFFFF"/>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污染物</w:t>
                  </w:r>
                </w:p>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种类</w:t>
                  </w:r>
                </w:p>
              </w:tc>
              <w:tc>
                <w:tcPr>
                  <w:tcW w:w="3543" w:type="pct"/>
                  <w:gridSpan w:val="2"/>
                  <w:shd w:val="clear" w:color="auto" w:fill="FFFFFF"/>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国家或地方污染物排放标准及其他按规定商定的排放协议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303" w:type="pct"/>
                  <w:vMerge w:val="continue"/>
                  <w:shd w:val="clear" w:color="auto" w:fill="FFFFFF"/>
                  <w:noWrap w:val="0"/>
                  <w:vAlign w:val="center"/>
                </w:tcPr>
                <w:p>
                  <w:pPr>
                    <w:jc w:val="center"/>
                    <w:rPr>
                      <w:rFonts w:hint="default" w:ascii="Times New Roman" w:hAnsi="Times New Roman" w:eastAsia="宋体" w:cs="Times New Roman"/>
                      <w:sz w:val="21"/>
                      <w:szCs w:val="21"/>
                    </w:rPr>
                  </w:pPr>
                </w:p>
              </w:tc>
              <w:tc>
                <w:tcPr>
                  <w:tcW w:w="568" w:type="pct"/>
                  <w:vMerge w:val="continue"/>
                  <w:shd w:val="clear" w:color="auto" w:fill="FFFFFF"/>
                  <w:noWrap w:val="0"/>
                  <w:vAlign w:val="center"/>
                </w:tcPr>
                <w:p>
                  <w:pPr>
                    <w:jc w:val="center"/>
                    <w:rPr>
                      <w:rFonts w:hint="default" w:ascii="Times New Roman" w:hAnsi="Times New Roman" w:eastAsia="宋体" w:cs="Times New Roman"/>
                      <w:sz w:val="21"/>
                      <w:szCs w:val="21"/>
                    </w:rPr>
                  </w:pPr>
                </w:p>
              </w:tc>
              <w:tc>
                <w:tcPr>
                  <w:tcW w:w="585" w:type="pct"/>
                  <w:vMerge w:val="continue"/>
                  <w:shd w:val="clear" w:color="auto" w:fill="FFFFFF"/>
                  <w:noWrap w:val="0"/>
                  <w:vAlign w:val="center"/>
                </w:tcPr>
                <w:p>
                  <w:pPr>
                    <w:jc w:val="center"/>
                    <w:rPr>
                      <w:rFonts w:hint="default" w:ascii="Times New Roman" w:hAnsi="Times New Roman" w:eastAsia="宋体" w:cs="Times New Roman"/>
                      <w:sz w:val="21"/>
                      <w:szCs w:val="21"/>
                    </w:rPr>
                  </w:pPr>
                </w:p>
              </w:tc>
              <w:tc>
                <w:tcPr>
                  <w:tcW w:w="2295" w:type="pct"/>
                  <w:shd w:val="clear" w:color="auto" w:fill="FFFFFF"/>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名称</w:t>
                  </w:r>
                </w:p>
              </w:tc>
              <w:tc>
                <w:tcPr>
                  <w:tcW w:w="1247" w:type="pct"/>
                  <w:shd w:val="clear" w:color="auto" w:fill="FFFFFF"/>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浓度限值/(mg/L)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50" w:hRule="atLeast"/>
                <w:jc w:val="center"/>
              </w:trPr>
              <w:tc>
                <w:tcPr>
                  <w:tcW w:w="303" w:type="pct"/>
                  <w:vMerge w:val="restart"/>
                  <w:shd w:val="clear" w:color="auto" w:fill="FFFFFF"/>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568" w:type="pct"/>
                  <w:vMerge w:val="restart"/>
                  <w:shd w:val="clear" w:color="auto" w:fill="FFFFFF"/>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585" w:type="pct"/>
                  <w:shd w:val="clear" w:color="auto" w:fill="FFFFFF"/>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COD</w:t>
                  </w:r>
                </w:p>
              </w:tc>
              <w:tc>
                <w:tcPr>
                  <w:tcW w:w="2295" w:type="pct"/>
                  <w:vMerge w:val="restart"/>
                  <w:shd w:val="clear" w:color="auto" w:fill="FFFFFF"/>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《污水综合排放标准》（GB8978-1996）</w:t>
                  </w:r>
                  <w:r>
                    <w:rPr>
                      <w:rFonts w:hint="eastAsia" w:ascii="Times New Roman" w:hAnsi="Times New Roman" w:eastAsia="宋体" w:cs="Times New Roman"/>
                      <w:sz w:val="21"/>
                      <w:szCs w:val="21"/>
                      <w:lang w:eastAsia="zh-CN"/>
                    </w:rPr>
                    <w:t>表</w:t>
                  </w:r>
                  <w:r>
                    <w:rPr>
                      <w:rFonts w:hint="eastAsia" w:ascii="Times New Roman" w:hAnsi="Times New Roman" w:eastAsia="宋体" w:cs="Times New Roman"/>
                      <w:sz w:val="21"/>
                      <w:szCs w:val="21"/>
                      <w:lang w:val="en-US" w:eastAsia="zh-CN"/>
                    </w:rPr>
                    <w:t>4</w:t>
                  </w:r>
                  <w:r>
                    <w:rPr>
                      <w:rFonts w:hint="eastAsia" w:ascii="Times New Roman" w:hAnsi="Times New Roman" w:eastAsia="宋体" w:cs="Times New Roman"/>
                      <w:sz w:val="21"/>
                      <w:szCs w:val="21"/>
                      <w:lang w:eastAsia="zh-CN"/>
                    </w:rPr>
                    <w:t>三</w:t>
                  </w:r>
                  <w:r>
                    <w:rPr>
                      <w:rFonts w:hint="default" w:ascii="Times New Roman" w:hAnsi="Times New Roman" w:eastAsia="宋体" w:cs="Times New Roman"/>
                      <w:sz w:val="21"/>
                      <w:szCs w:val="21"/>
                    </w:rPr>
                    <w:t>级标准</w:t>
                  </w:r>
                </w:p>
              </w:tc>
              <w:tc>
                <w:tcPr>
                  <w:tcW w:w="1247" w:type="pct"/>
                  <w:shd w:val="clear" w:color="auto" w:fill="FFFFFF"/>
                  <w:noWrap w:val="0"/>
                  <w:vAlign w:val="center"/>
                </w:tcPr>
                <w:p>
                  <w:pPr>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500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303" w:type="pct"/>
                  <w:vMerge w:val="continue"/>
                  <w:shd w:val="clear" w:color="auto" w:fill="FFFFFF"/>
                  <w:noWrap w:val="0"/>
                  <w:vAlign w:val="center"/>
                </w:tcPr>
                <w:p>
                  <w:pPr>
                    <w:jc w:val="center"/>
                    <w:rPr>
                      <w:rFonts w:hint="default" w:ascii="Times New Roman" w:hAnsi="Times New Roman" w:eastAsia="宋体" w:cs="Times New Roman"/>
                      <w:sz w:val="21"/>
                      <w:szCs w:val="21"/>
                    </w:rPr>
                  </w:pPr>
                </w:p>
              </w:tc>
              <w:tc>
                <w:tcPr>
                  <w:tcW w:w="568" w:type="pct"/>
                  <w:vMerge w:val="continue"/>
                  <w:shd w:val="clear" w:color="auto" w:fill="FFFFFF"/>
                  <w:noWrap w:val="0"/>
                  <w:vAlign w:val="center"/>
                </w:tcPr>
                <w:p>
                  <w:pPr>
                    <w:jc w:val="center"/>
                    <w:rPr>
                      <w:rFonts w:hint="default" w:ascii="Times New Roman" w:hAnsi="Times New Roman" w:eastAsia="宋体" w:cs="Times New Roman"/>
                      <w:sz w:val="21"/>
                      <w:szCs w:val="21"/>
                    </w:rPr>
                  </w:pPr>
                </w:p>
              </w:tc>
              <w:tc>
                <w:tcPr>
                  <w:tcW w:w="585" w:type="pct"/>
                  <w:shd w:val="clear" w:color="auto" w:fill="FFFFFF"/>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氨氮</w:t>
                  </w:r>
                </w:p>
              </w:tc>
              <w:tc>
                <w:tcPr>
                  <w:tcW w:w="2295" w:type="pct"/>
                  <w:vMerge w:val="continue"/>
                  <w:shd w:val="clear" w:color="auto" w:fill="FFFFFF"/>
                  <w:noWrap w:val="0"/>
                  <w:vAlign w:val="center"/>
                </w:tcPr>
                <w:p>
                  <w:pPr>
                    <w:jc w:val="center"/>
                    <w:rPr>
                      <w:rFonts w:hint="default" w:ascii="Times New Roman" w:hAnsi="Times New Roman" w:eastAsia="宋体" w:cs="Times New Roman"/>
                      <w:sz w:val="21"/>
                      <w:szCs w:val="21"/>
                    </w:rPr>
                  </w:pPr>
                </w:p>
              </w:tc>
              <w:tc>
                <w:tcPr>
                  <w:tcW w:w="1247" w:type="pct"/>
                  <w:shd w:val="clear" w:color="auto" w:fill="FFFFFF"/>
                  <w:noWrap w:val="0"/>
                  <w:vAlign w:val="center"/>
                </w:tcPr>
                <w:p>
                  <w:pPr>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r>
          </w:tbl>
          <w:p>
            <w:pPr>
              <w:pStyle w:val="7"/>
              <w:spacing w:beforeLines="50"/>
              <w:jc w:val="center"/>
              <w:rPr>
                <w:rFonts w:hint="default" w:ascii="Times New Roman" w:hAnsi="宋体" w:cs="Times New Roman"/>
                <w:b/>
                <w:bCs w:val="0"/>
                <w:sz w:val="24"/>
                <w:szCs w:val="24"/>
                <w:lang w:val="zh-CN" w:eastAsia="zh-CN"/>
              </w:rPr>
            </w:pPr>
            <w:r>
              <w:rPr>
                <w:rFonts w:hint="default" w:ascii="Times New Roman" w:hAnsi="宋体" w:cs="Times New Roman"/>
                <w:b/>
                <w:bCs w:val="0"/>
                <w:sz w:val="24"/>
                <w:szCs w:val="24"/>
                <w:lang w:val="zh-CN" w:eastAsia="zh-CN"/>
              </w:rPr>
              <w:t>表</w:t>
            </w:r>
            <w:r>
              <w:rPr>
                <w:rFonts w:hint="eastAsia" w:ascii="Times New Roman" w:hAnsi="宋体" w:cs="Times New Roman"/>
                <w:b/>
                <w:bCs w:val="0"/>
                <w:sz w:val="24"/>
                <w:szCs w:val="24"/>
                <w:lang w:val="en-US" w:eastAsia="zh-CN"/>
              </w:rPr>
              <w:t>2</w:t>
            </w:r>
            <w:r>
              <w:rPr>
                <w:rFonts w:hint="eastAsia" w:hAnsi="宋体" w:cs="Times New Roman"/>
                <w:b/>
                <w:bCs w:val="0"/>
                <w:sz w:val="24"/>
                <w:szCs w:val="24"/>
                <w:lang w:val="en-US" w:eastAsia="zh-CN"/>
              </w:rPr>
              <w:t>3</w:t>
            </w:r>
            <w:r>
              <w:rPr>
                <w:rFonts w:hint="default" w:ascii="Times New Roman" w:hAnsi="宋体" w:cs="Times New Roman"/>
                <w:b/>
                <w:bCs w:val="0"/>
                <w:sz w:val="24"/>
                <w:szCs w:val="24"/>
                <w:lang w:val="en-US" w:eastAsia="zh-CN"/>
              </w:rPr>
              <w:t xml:space="preserve">  </w:t>
            </w:r>
            <w:r>
              <w:rPr>
                <w:rFonts w:hint="default" w:ascii="Times New Roman" w:hAnsi="宋体" w:cs="Times New Roman"/>
                <w:b/>
                <w:bCs w:val="0"/>
                <w:sz w:val="24"/>
                <w:szCs w:val="24"/>
                <w:lang w:val="zh-CN" w:eastAsia="zh-CN"/>
              </w:rPr>
              <w:t>环境监测计划及记录信息表</w:t>
            </w:r>
          </w:p>
          <w:tbl>
            <w:tblPr>
              <w:tblStyle w:val="23"/>
              <w:tblW w:w="4997"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158"/>
              <w:gridCol w:w="606"/>
              <w:gridCol w:w="680"/>
              <w:gridCol w:w="748"/>
              <w:gridCol w:w="704"/>
              <w:gridCol w:w="1178"/>
              <w:gridCol w:w="704"/>
              <w:gridCol w:w="704"/>
              <w:gridCol w:w="865"/>
              <w:gridCol w:w="735"/>
              <w:gridCol w:w="98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878" w:hRule="atLeast"/>
                <w:jc w:val="center"/>
              </w:trPr>
              <w:tc>
                <w:tcPr>
                  <w:tcW w:w="638" w:type="pct"/>
                  <w:shd w:val="clear" w:color="auto" w:fill="FFFFFF"/>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序号</w:t>
                  </w:r>
                </w:p>
              </w:tc>
              <w:tc>
                <w:tcPr>
                  <w:tcW w:w="334" w:type="pct"/>
                  <w:shd w:val="clear" w:color="auto" w:fill="FFFFFF"/>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排放口编号</w:t>
                  </w:r>
                </w:p>
              </w:tc>
              <w:tc>
                <w:tcPr>
                  <w:tcW w:w="375" w:type="pct"/>
                  <w:shd w:val="clear" w:color="auto" w:fill="FFFFFF"/>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污染物名称</w:t>
                  </w:r>
                </w:p>
              </w:tc>
              <w:tc>
                <w:tcPr>
                  <w:tcW w:w="412" w:type="pct"/>
                  <w:shd w:val="clear" w:color="auto" w:fill="FFFFFF"/>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监测设施</w:t>
                  </w:r>
                </w:p>
              </w:tc>
              <w:tc>
                <w:tcPr>
                  <w:tcW w:w="388" w:type="pct"/>
                  <w:shd w:val="clear" w:color="auto" w:fill="FFFFFF"/>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自动监测设施安装位置</w:t>
                  </w:r>
                </w:p>
              </w:tc>
              <w:tc>
                <w:tcPr>
                  <w:tcW w:w="649" w:type="pct"/>
                  <w:shd w:val="clear" w:color="auto" w:fill="FFFFFF"/>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自动监测设施的安装、运行、维护等相关管理 要求</w:t>
                  </w:r>
                </w:p>
              </w:tc>
              <w:tc>
                <w:tcPr>
                  <w:tcW w:w="388" w:type="pct"/>
                  <w:shd w:val="clear" w:color="auto" w:fill="FFFFFF"/>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自动监测是否联网</w:t>
                  </w:r>
                </w:p>
              </w:tc>
              <w:tc>
                <w:tcPr>
                  <w:tcW w:w="388" w:type="pct"/>
                  <w:shd w:val="clear" w:color="auto" w:fill="FFFFFF"/>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自动监测仪器名称</w:t>
                  </w:r>
                </w:p>
              </w:tc>
              <w:tc>
                <w:tcPr>
                  <w:tcW w:w="477" w:type="pct"/>
                  <w:shd w:val="clear" w:color="auto" w:fill="FFFFFF"/>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手工监测采 样方法及个</w:t>
                  </w:r>
                </w:p>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数(心</w:t>
                  </w:r>
                </w:p>
              </w:tc>
              <w:tc>
                <w:tcPr>
                  <w:tcW w:w="405" w:type="pct"/>
                  <w:shd w:val="clear" w:color="auto" w:fill="FFFFFF"/>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手工监测频次</w:t>
                  </w:r>
                </w:p>
              </w:tc>
              <w:tc>
                <w:tcPr>
                  <w:tcW w:w="542" w:type="pct"/>
                  <w:shd w:val="clear" w:color="auto" w:fill="FFFFFF"/>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手工测定方法</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62" w:hRule="atLeast"/>
                <w:jc w:val="center"/>
              </w:trPr>
              <w:tc>
                <w:tcPr>
                  <w:tcW w:w="638" w:type="pct"/>
                  <w:shd w:val="clear" w:color="auto" w:fill="FFFFFF"/>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334" w:type="pct"/>
                  <w:shd w:val="clear" w:color="auto" w:fill="FFFFFF"/>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375" w:type="pct"/>
                  <w:shd w:val="clear" w:color="auto" w:fill="FFFFFF"/>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COD</w:t>
                  </w:r>
                </w:p>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氨氮</w:t>
                  </w:r>
                </w:p>
              </w:tc>
              <w:tc>
                <w:tcPr>
                  <w:tcW w:w="412" w:type="pct"/>
                  <w:shd w:val="clear" w:color="auto" w:fill="FFFFFF"/>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□自动</w:t>
                  </w:r>
                </w:p>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sym w:font="Wingdings 2" w:char="0052"/>
                  </w:r>
                  <w:r>
                    <w:rPr>
                      <w:rFonts w:hint="default" w:ascii="Times New Roman" w:hAnsi="Times New Roman" w:eastAsia="宋体" w:cs="Times New Roman"/>
                      <w:sz w:val="21"/>
                      <w:szCs w:val="21"/>
                    </w:rPr>
                    <w:t>手工</w:t>
                  </w:r>
                </w:p>
              </w:tc>
              <w:tc>
                <w:tcPr>
                  <w:tcW w:w="388" w:type="pct"/>
                  <w:shd w:val="clear" w:color="auto" w:fill="FFFFFF"/>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649" w:type="pct"/>
                  <w:shd w:val="clear" w:color="auto" w:fill="FFFFFF"/>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388" w:type="pct"/>
                  <w:shd w:val="clear" w:color="auto" w:fill="FFFFFF"/>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388" w:type="pct"/>
                  <w:shd w:val="clear" w:color="auto" w:fill="FFFFFF"/>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477" w:type="pct"/>
                  <w:shd w:val="clear" w:color="auto" w:fill="FFFFFF"/>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405" w:type="pct"/>
                  <w:shd w:val="clear" w:color="auto" w:fill="FFFFFF"/>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542" w:type="pct"/>
                  <w:shd w:val="clear" w:color="auto" w:fill="FFFFFF"/>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r>
          </w:tbl>
          <w:p>
            <w:pPr>
              <w:pStyle w:val="7"/>
              <w:spacing w:beforeLines="50"/>
              <w:jc w:val="center"/>
              <w:rPr>
                <w:rFonts w:hint="default" w:ascii="Times New Roman" w:hAnsi="宋体" w:cs="Times New Roman"/>
                <w:b/>
                <w:bCs w:val="0"/>
                <w:sz w:val="24"/>
                <w:szCs w:val="24"/>
                <w:lang w:val="zh-CN" w:eastAsia="zh-CN"/>
              </w:rPr>
            </w:pPr>
            <w:r>
              <w:rPr>
                <w:rFonts w:hint="default" w:ascii="Times New Roman" w:hAnsi="宋体" w:cs="Times New Roman"/>
                <w:b/>
                <w:bCs w:val="0"/>
                <w:sz w:val="24"/>
                <w:szCs w:val="24"/>
                <w:lang w:val="zh-CN" w:eastAsia="zh-CN"/>
              </w:rPr>
              <w:t>表</w:t>
            </w:r>
            <w:r>
              <w:rPr>
                <w:rFonts w:hint="eastAsia" w:ascii="Times New Roman" w:hAnsi="宋体" w:cs="Times New Roman"/>
                <w:b/>
                <w:bCs w:val="0"/>
                <w:sz w:val="24"/>
                <w:szCs w:val="24"/>
                <w:lang w:val="en-US" w:eastAsia="zh-CN"/>
              </w:rPr>
              <w:t>2</w:t>
            </w:r>
            <w:r>
              <w:rPr>
                <w:rFonts w:hint="eastAsia" w:hAnsi="宋体" w:cs="Times New Roman"/>
                <w:b/>
                <w:bCs w:val="0"/>
                <w:sz w:val="24"/>
                <w:szCs w:val="24"/>
                <w:lang w:val="en-US" w:eastAsia="zh-CN"/>
              </w:rPr>
              <w:t>4</w:t>
            </w:r>
            <w:r>
              <w:rPr>
                <w:rFonts w:hint="default" w:ascii="Times New Roman" w:hAnsi="宋体" w:cs="Times New Roman"/>
                <w:b/>
                <w:bCs w:val="0"/>
                <w:sz w:val="24"/>
                <w:szCs w:val="24"/>
                <w:lang w:val="en-US" w:eastAsia="zh-CN"/>
              </w:rPr>
              <w:t xml:space="preserve">  </w:t>
            </w:r>
            <w:r>
              <w:rPr>
                <w:rFonts w:hint="default" w:ascii="Times New Roman" w:hAnsi="宋体" w:cs="Times New Roman"/>
                <w:b/>
                <w:bCs w:val="0"/>
                <w:sz w:val="24"/>
                <w:szCs w:val="24"/>
                <w:lang w:val="zh-CN" w:eastAsia="zh-CN"/>
              </w:rPr>
              <w:t>废水间接口基本情况表</w:t>
            </w:r>
          </w:p>
          <w:tbl>
            <w:tblPr>
              <w:tblStyle w:val="23"/>
              <w:tblW w:w="4997"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48"/>
              <w:gridCol w:w="463"/>
              <w:gridCol w:w="1146"/>
              <w:gridCol w:w="1030"/>
              <w:gridCol w:w="831"/>
              <w:gridCol w:w="660"/>
              <w:gridCol w:w="650"/>
              <w:gridCol w:w="670"/>
              <w:gridCol w:w="928"/>
              <w:gridCol w:w="715"/>
              <w:gridCol w:w="152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47" w:type="pct"/>
                  <w:vMerge w:val="restar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序号</w:t>
                  </w:r>
                </w:p>
              </w:tc>
              <w:tc>
                <w:tcPr>
                  <w:tcW w:w="255" w:type="pct"/>
                  <w:vMerge w:val="restar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排放口编号</w:t>
                  </w:r>
                </w:p>
              </w:tc>
              <w:tc>
                <w:tcPr>
                  <w:tcW w:w="1200" w:type="pct"/>
                  <w:gridSpan w:val="2"/>
                  <w:noWrap w:val="0"/>
                  <w:vAlign w:val="center"/>
                </w:tcPr>
                <w:p>
                  <w:pPr>
                    <w:pStyle w:val="31"/>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排放口</w:t>
                  </w:r>
                </w:p>
                <w:p>
                  <w:pPr>
                    <w:pStyle w:val="31"/>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地理坐标</w:t>
                  </w:r>
                </w:p>
              </w:tc>
              <w:tc>
                <w:tcPr>
                  <w:tcW w:w="458" w:type="pct"/>
                  <w:vMerge w:val="restart"/>
                  <w:noWrap w:val="0"/>
                  <w:vAlign w:val="center"/>
                </w:tcPr>
                <w:p>
                  <w:pPr>
                    <w:pStyle w:val="31"/>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废水排放量/（万t/a）</w:t>
                  </w:r>
                </w:p>
              </w:tc>
              <w:tc>
                <w:tcPr>
                  <w:tcW w:w="364" w:type="pct"/>
                  <w:vMerge w:val="restar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排放去向</w:t>
                  </w:r>
                </w:p>
              </w:tc>
              <w:tc>
                <w:tcPr>
                  <w:tcW w:w="358" w:type="pct"/>
                  <w:vMerge w:val="restar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排放规律</w:t>
                  </w:r>
                </w:p>
              </w:tc>
              <w:tc>
                <w:tcPr>
                  <w:tcW w:w="369" w:type="pct"/>
                  <w:vMerge w:val="restar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间歇排放时段</w:t>
                  </w:r>
                </w:p>
              </w:tc>
              <w:tc>
                <w:tcPr>
                  <w:tcW w:w="1746" w:type="pct"/>
                  <w:gridSpan w:val="3"/>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受纳污水处理厂信息</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7" w:type="pct"/>
                  <w:vMerge w:val="continue"/>
                  <w:noWrap w:val="0"/>
                  <w:vAlign w:val="center"/>
                </w:tcPr>
                <w:p>
                  <w:pPr>
                    <w:jc w:val="center"/>
                    <w:rPr>
                      <w:rFonts w:hint="default" w:ascii="Times New Roman" w:hAnsi="Times New Roman" w:eastAsia="宋体" w:cs="Times New Roman"/>
                      <w:sz w:val="21"/>
                      <w:szCs w:val="21"/>
                    </w:rPr>
                  </w:pPr>
                </w:p>
              </w:tc>
              <w:tc>
                <w:tcPr>
                  <w:tcW w:w="255" w:type="pct"/>
                  <w:vMerge w:val="continue"/>
                  <w:noWrap w:val="0"/>
                  <w:vAlign w:val="center"/>
                </w:tcPr>
                <w:p>
                  <w:pPr>
                    <w:jc w:val="center"/>
                    <w:rPr>
                      <w:rFonts w:hint="default" w:ascii="Times New Roman" w:hAnsi="Times New Roman" w:eastAsia="宋体" w:cs="Times New Roman"/>
                      <w:sz w:val="21"/>
                      <w:szCs w:val="21"/>
                    </w:rPr>
                  </w:pPr>
                </w:p>
              </w:tc>
              <w:tc>
                <w:tcPr>
                  <w:tcW w:w="632"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经度</w:t>
                  </w:r>
                </w:p>
              </w:tc>
              <w:tc>
                <w:tcPr>
                  <w:tcW w:w="568"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纬度</w:t>
                  </w:r>
                </w:p>
              </w:tc>
              <w:tc>
                <w:tcPr>
                  <w:tcW w:w="458" w:type="pct"/>
                  <w:vMerge w:val="continue"/>
                  <w:noWrap w:val="0"/>
                  <w:vAlign w:val="center"/>
                </w:tcPr>
                <w:p>
                  <w:pPr>
                    <w:jc w:val="center"/>
                    <w:rPr>
                      <w:rFonts w:hint="default" w:ascii="Times New Roman" w:hAnsi="Times New Roman" w:eastAsia="宋体" w:cs="Times New Roman"/>
                      <w:sz w:val="21"/>
                      <w:szCs w:val="21"/>
                    </w:rPr>
                  </w:pPr>
                </w:p>
              </w:tc>
              <w:tc>
                <w:tcPr>
                  <w:tcW w:w="364" w:type="pct"/>
                  <w:vMerge w:val="continue"/>
                  <w:noWrap w:val="0"/>
                  <w:vAlign w:val="center"/>
                </w:tcPr>
                <w:p>
                  <w:pPr>
                    <w:jc w:val="center"/>
                    <w:rPr>
                      <w:rFonts w:hint="default" w:ascii="Times New Roman" w:hAnsi="Times New Roman" w:eastAsia="宋体" w:cs="Times New Roman"/>
                      <w:sz w:val="21"/>
                      <w:szCs w:val="21"/>
                    </w:rPr>
                  </w:pPr>
                </w:p>
              </w:tc>
              <w:tc>
                <w:tcPr>
                  <w:tcW w:w="358" w:type="pct"/>
                  <w:vMerge w:val="continue"/>
                  <w:noWrap w:val="0"/>
                  <w:vAlign w:val="center"/>
                </w:tcPr>
                <w:p>
                  <w:pPr>
                    <w:jc w:val="center"/>
                    <w:rPr>
                      <w:rFonts w:hint="default" w:ascii="Times New Roman" w:hAnsi="Times New Roman" w:eastAsia="宋体" w:cs="Times New Roman"/>
                      <w:sz w:val="21"/>
                      <w:szCs w:val="21"/>
                    </w:rPr>
                  </w:pPr>
                </w:p>
              </w:tc>
              <w:tc>
                <w:tcPr>
                  <w:tcW w:w="369" w:type="pct"/>
                  <w:vMerge w:val="continue"/>
                  <w:noWrap w:val="0"/>
                  <w:vAlign w:val="center"/>
                </w:tcPr>
                <w:p>
                  <w:pPr>
                    <w:jc w:val="center"/>
                    <w:rPr>
                      <w:rFonts w:hint="default" w:ascii="Times New Roman" w:hAnsi="Times New Roman" w:eastAsia="宋体" w:cs="Times New Roman"/>
                      <w:sz w:val="21"/>
                      <w:szCs w:val="21"/>
                    </w:rPr>
                  </w:pPr>
                </w:p>
              </w:tc>
              <w:tc>
                <w:tcPr>
                  <w:tcW w:w="511"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名称</w:t>
                  </w:r>
                </w:p>
              </w:tc>
              <w:tc>
                <w:tcPr>
                  <w:tcW w:w="39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污染物种类</w:t>
                  </w:r>
                </w:p>
              </w:tc>
              <w:tc>
                <w:tcPr>
                  <w:tcW w:w="840" w:type="pct"/>
                  <w:noWrap w:val="0"/>
                  <w:vAlign w:val="center"/>
                </w:tcPr>
                <w:p>
                  <w:pPr>
                    <w:pStyle w:val="31"/>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国家或地方污染物排放标准浓度限值/(mg/L)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247" w:type="pct"/>
                  <w:vMerge w:val="restart"/>
                  <w:noWrap w:val="0"/>
                  <w:vAlign w:val="center"/>
                </w:tcPr>
                <w:p>
                  <w:pPr>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w:t>
                  </w:r>
                </w:p>
              </w:tc>
              <w:tc>
                <w:tcPr>
                  <w:tcW w:w="255" w:type="pct"/>
                  <w:vMerge w:val="restart"/>
                  <w:noWrap w:val="0"/>
                  <w:vAlign w:val="center"/>
                </w:tcPr>
                <w:p>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01</w:t>
                  </w:r>
                </w:p>
              </w:tc>
              <w:tc>
                <w:tcPr>
                  <w:tcW w:w="632" w:type="pct"/>
                  <w:vMerge w:val="restart"/>
                  <w:noWrap w:val="0"/>
                  <w:vAlign w:val="center"/>
                </w:tcPr>
                <w:p>
                  <w:pPr>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113.205946</w:t>
                  </w:r>
                </w:p>
              </w:tc>
              <w:tc>
                <w:tcPr>
                  <w:tcW w:w="568" w:type="pct"/>
                  <w:vMerge w:val="restart"/>
                  <w:noWrap w:val="0"/>
                  <w:vAlign w:val="center"/>
                </w:tcPr>
                <w:p>
                  <w:pPr>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33.444411</w:t>
                  </w:r>
                </w:p>
              </w:tc>
              <w:tc>
                <w:tcPr>
                  <w:tcW w:w="458" w:type="pct"/>
                  <w:vMerge w:val="restart"/>
                  <w:noWrap w:val="0"/>
                  <w:vAlign w:val="center"/>
                </w:tcPr>
                <w:p>
                  <w:pPr>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0.0192</w:t>
                  </w:r>
                </w:p>
              </w:tc>
              <w:tc>
                <w:tcPr>
                  <w:tcW w:w="364" w:type="pct"/>
                  <w:vMerge w:val="restart"/>
                  <w:noWrap w:val="0"/>
                  <w:vAlign w:val="center"/>
                </w:tcPr>
                <w:p>
                  <w:pPr>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市政管网</w:t>
                  </w:r>
                </w:p>
              </w:tc>
              <w:tc>
                <w:tcPr>
                  <w:tcW w:w="358" w:type="pct"/>
                  <w:vMerge w:val="restart"/>
                  <w:noWrap w:val="0"/>
                  <w:vAlign w:val="center"/>
                </w:tcPr>
                <w:p>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间断排放</w:t>
                  </w:r>
                </w:p>
              </w:tc>
              <w:tc>
                <w:tcPr>
                  <w:tcW w:w="369" w:type="pct"/>
                  <w:vMerge w:val="restart"/>
                  <w:noWrap w:val="0"/>
                  <w:vAlign w:val="center"/>
                </w:tcPr>
                <w:p>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c>
                <w:tcPr>
                  <w:tcW w:w="511" w:type="pct"/>
                  <w:vMerge w:val="restart"/>
                  <w:noWrap w:val="0"/>
                  <w:vAlign w:val="center"/>
                </w:tcPr>
                <w:p>
                  <w:pPr>
                    <w:jc w:val="center"/>
                    <w:rPr>
                      <w:rFonts w:hint="eastAsia"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平顶山市污水处理厂</w:t>
                  </w:r>
                </w:p>
              </w:tc>
              <w:tc>
                <w:tcPr>
                  <w:tcW w:w="394" w:type="pct"/>
                  <w:noWrap w:val="0"/>
                  <w:vAlign w:val="center"/>
                </w:tcPr>
                <w:p>
                  <w:pPr>
                    <w:jc w:val="center"/>
                    <w:rPr>
                      <w:rFonts w:hint="eastAsia"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COD</w:t>
                  </w:r>
                </w:p>
              </w:tc>
              <w:tc>
                <w:tcPr>
                  <w:tcW w:w="840" w:type="pct"/>
                  <w:noWrap w:val="0"/>
                  <w:vAlign w:val="center"/>
                </w:tcPr>
                <w:p>
                  <w:pPr>
                    <w:jc w:val="center"/>
                    <w:rPr>
                      <w:rFonts w:hint="eastAsia"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7" w:type="pct"/>
                  <w:vMerge w:val="continue"/>
                  <w:noWrap w:val="0"/>
                  <w:vAlign w:val="center"/>
                </w:tcPr>
                <w:p>
                  <w:pPr>
                    <w:jc w:val="center"/>
                    <w:rPr>
                      <w:rFonts w:ascii="Times New Roman" w:hAnsi="Times New Roman" w:eastAsia="宋体"/>
                    </w:rPr>
                  </w:pPr>
                </w:p>
              </w:tc>
              <w:tc>
                <w:tcPr>
                  <w:tcW w:w="255" w:type="pct"/>
                  <w:vMerge w:val="continue"/>
                  <w:noWrap w:val="0"/>
                  <w:vAlign w:val="center"/>
                </w:tcPr>
                <w:p>
                  <w:pPr>
                    <w:jc w:val="center"/>
                    <w:rPr>
                      <w:rFonts w:ascii="Times New Roman" w:hAnsi="Times New Roman" w:eastAsia="宋体"/>
                    </w:rPr>
                  </w:pPr>
                </w:p>
              </w:tc>
              <w:tc>
                <w:tcPr>
                  <w:tcW w:w="632" w:type="pct"/>
                  <w:vMerge w:val="continue"/>
                  <w:noWrap w:val="0"/>
                  <w:vAlign w:val="center"/>
                </w:tcPr>
                <w:p>
                  <w:pPr>
                    <w:jc w:val="center"/>
                    <w:rPr>
                      <w:rFonts w:ascii="Times New Roman" w:hAnsi="Times New Roman" w:eastAsia="宋体"/>
                    </w:rPr>
                  </w:pPr>
                </w:p>
              </w:tc>
              <w:tc>
                <w:tcPr>
                  <w:tcW w:w="568" w:type="pct"/>
                  <w:vMerge w:val="continue"/>
                  <w:noWrap w:val="0"/>
                  <w:vAlign w:val="center"/>
                </w:tcPr>
                <w:p>
                  <w:pPr>
                    <w:jc w:val="center"/>
                    <w:rPr>
                      <w:rFonts w:ascii="Times New Roman" w:hAnsi="Times New Roman" w:eastAsia="宋体"/>
                    </w:rPr>
                  </w:pPr>
                </w:p>
              </w:tc>
              <w:tc>
                <w:tcPr>
                  <w:tcW w:w="458" w:type="pct"/>
                  <w:vMerge w:val="continue"/>
                  <w:noWrap w:val="0"/>
                  <w:vAlign w:val="center"/>
                </w:tcPr>
                <w:p>
                  <w:pPr>
                    <w:jc w:val="center"/>
                    <w:rPr>
                      <w:rFonts w:ascii="Times New Roman" w:hAnsi="Times New Roman" w:eastAsia="宋体"/>
                    </w:rPr>
                  </w:pPr>
                </w:p>
              </w:tc>
              <w:tc>
                <w:tcPr>
                  <w:tcW w:w="364" w:type="pct"/>
                  <w:vMerge w:val="continue"/>
                  <w:noWrap w:val="0"/>
                  <w:vAlign w:val="center"/>
                </w:tcPr>
                <w:p>
                  <w:pPr>
                    <w:jc w:val="center"/>
                    <w:rPr>
                      <w:rFonts w:ascii="Times New Roman" w:hAnsi="Times New Roman" w:eastAsia="宋体"/>
                    </w:rPr>
                  </w:pPr>
                </w:p>
              </w:tc>
              <w:tc>
                <w:tcPr>
                  <w:tcW w:w="358" w:type="pct"/>
                  <w:vMerge w:val="continue"/>
                  <w:noWrap w:val="0"/>
                  <w:vAlign w:val="center"/>
                </w:tcPr>
                <w:p>
                  <w:pPr>
                    <w:jc w:val="center"/>
                    <w:rPr>
                      <w:rFonts w:ascii="Times New Roman" w:hAnsi="Times New Roman" w:eastAsia="宋体"/>
                    </w:rPr>
                  </w:pPr>
                </w:p>
              </w:tc>
              <w:tc>
                <w:tcPr>
                  <w:tcW w:w="369" w:type="pct"/>
                  <w:vMerge w:val="continue"/>
                  <w:noWrap w:val="0"/>
                  <w:vAlign w:val="center"/>
                </w:tcPr>
                <w:p>
                  <w:pPr>
                    <w:jc w:val="center"/>
                    <w:rPr>
                      <w:rFonts w:ascii="Times New Roman" w:hAnsi="Times New Roman" w:eastAsia="宋体"/>
                    </w:rPr>
                  </w:pPr>
                </w:p>
              </w:tc>
              <w:tc>
                <w:tcPr>
                  <w:tcW w:w="511" w:type="pct"/>
                  <w:vMerge w:val="continue"/>
                  <w:noWrap w:val="0"/>
                  <w:vAlign w:val="center"/>
                </w:tcPr>
                <w:p>
                  <w:pPr>
                    <w:jc w:val="center"/>
                    <w:rPr>
                      <w:rFonts w:ascii="Times New Roman" w:hAnsi="Times New Roman" w:eastAsia="宋体"/>
                    </w:rPr>
                  </w:pPr>
                </w:p>
              </w:tc>
              <w:tc>
                <w:tcPr>
                  <w:tcW w:w="394" w:type="pct"/>
                  <w:noWrap w:val="0"/>
                  <w:vAlign w:val="center"/>
                </w:tcPr>
                <w:p>
                  <w:pPr>
                    <w:jc w:val="center"/>
                    <w:rPr>
                      <w:rFonts w:ascii="Times New Roman" w:hAnsi="Times New Roman" w:eastAsia="宋体"/>
                    </w:rPr>
                  </w:pPr>
                  <w:r>
                    <w:rPr>
                      <w:rFonts w:hint="default" w:ascii="Times New Roman" w:hAnsi="Times New Roman" w:eastAsia="宋体" w:cs="Times New Roman"/>
                      <w:sz w:val="21"/>
                      <w:szCs w:val="21"/>
                    </w:rPr>
                    <w:t>氨氮</w:t>
                  </w:r>
                </w:p>
              </w:tc>
              <w:tc>
                <w:tcPr>
                  <w:tcW w:w="840" w:type="pct"/>
                  <w:noWrap w:val="0"/>
                  <w:vAlign w:val="center"/>
                </w:tcPr>
                <w:p>
                  <w:pPr>
                    <w:jc w:val="center"/>
                    <w:rPr>
                      <w:rFonts w:ascii="Times New Roman" w:hAnsi="Times New Roman" w:eastAsia="宋体"/>
                    </w:rPr>
                  </w:pPr>
                  <w:r>
                    <w:rPr>
                      <w:rFonts w:hint="default" w:ascii="Times New Roman" w:hAnsi="Times New Roman" w:eastAsia="宋体" w:cs="Times New Roman"/>
                      <w:sz w:val="21"/>
                      <w:szCs w:val="21"/>
                    </w:rPr>
                    <w:t>5</w:t>
                  </w:r>
                </w:p>
              </w:tc>
            </w:tr>
          </w:tbl>
          <w:p>
            <w:pPr>
              <w:pStyle w:val="7"/>
              <w:spacing w:beforeLines="50"/>
              <w:jc w:val="center"/>
              <w:rPr>
                <w:rFonts w:hint="default" w:ascii="Times New Roman" w:hAnsi="宋体" w:cs="Times New Roman"/>
                <w:b/>
                <w:bCs w:val="0"/>
                <w:sz w:val="24"/>
                <w:szCs w:val="24"/>
                <w:lang w:val="zh-CN" w:eastAsia="zh-CN"/>
              </w:rPr>
            </w:pPr>
            <w:r>
              <w:rPr>
                <w:rFonts w:hint="default" w:ascii="Times New Roman" w:hAnsi="宋体" w:cs="Times New Roman"/>
                <w:b/>
                <w:bCs w:val="0"/>
                <w:sz w:val="24"/>
                <w:szCs w:val="24"/>
                <w:lang w:val="zh-CN" w:eastAsia="zh-CN"/>
              </w:rPr>
              <w:t>表</w:t>
            </w:r>
            <w:r>
              <w:rPr>
                <w:rFonts w:hint="eastAsia" w:ascii="Times New Roman" w:hAnsi="宋体" w:cs="Times New Roman"/>
                <w:b/>
                <w:bCs w:val="0"/>
                <w:sz w:val="24"/>
                <w:szCs w:val="24"/>
                <w:lang w:val="en-US" w:eastAsia="zh-CN"/>
              </w:rPr>
              <w:t>2</w:t>
            </w:r>
            <w:r>
              <w:rPr>
                <w:rFonts w:hint="eastAsia" w:hAnsi="宋体" w:cs="Times New Roman"/>
                <w:b/>
                <w:bCs w:val="0"/>
                <w:sz w:val="24"/>
                <w:szCs w:val="24"/>
                <w:lang w:val="en-US" w:eastAsia="zh-CN"/>
              </w:rPr>
              <w:t>5</w:t>
            </w:r>
            <w:r>
              <w:rPr>
                <w:rFonts w:hint="default" w:ascii="Times New Roman" w:hAnsi="宋体" w:cs="Times New Roman"/>
                <w:b/>
                <w:bCs w:val="0"/>
                <w:sz w:val="24"/>
                <w:szCs w:val="24"/>
                <w:lang w:val="en-US" w:eastAsia="zh-CN"/>
              </w:rPr>
              <w:t xml:space="preserve"> </w:t>
            </w:r>
            <w:r>
              <w:rPr>
                <w:rFonts w:hint="default" w:ascii="Times New Roman" w:hAnsi="宋体" w:cs="Times New Roman"/>
                <w:b/>
                <w:bCs w:val="0"/>
                <w:sz w:val="24"/>
                <w:szCs w:val="24"/>
                <w:lang w:val="zh-CN" w:eastAsia="zh-CN"/>
              </w:rPr>
              <w:t xml:space="preserve"> 建设项目地表水环境影响评价自查表</w:t>
            </w:r>
          </w:p>
          <w:tbl>
            <w:tblPr>
              <w:tblStyle w:val="24"/>
              <w:tblW w:w="4999"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72"/>
              <w:gridCol w:w="885"/>
              <w:gridCol w:w="1119"/>
              <w:gridCol w:w="738"/>
              <w:gridCol w:w="330"/>
              <w:gridCol w:w="1585"/>
              <w:gridCol w:w="131"/>
              <w:gridCol w:w="125"/>
              <w:gridCol w:w="1039"/>
              <w:gridCol w:w="158"/>
              <w:gridCol w:w="905"/>
              <w:gridCol w:w="108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24" w:type="pct"/>
                  <w:gridSpan w:val="2"/>
                  <w:noWrap w:val="0"/>
                  <w:vAlign w:val="center"/>
                </w:tcPr>
                <w:p>
                  <w:pPr>
                    <w:widowControl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工作内容</w:t>
                  </w:r>
                </w:p>
              </w:tc>
              <w:tc>
                <w:tcPr>
                  <w:tcW w:w="3975" w:type="pct"/>
                  <w:gridSpan w:val="10"/>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自查项目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6" w:type="pct"/>
                  <w:vMerge w:val="restart"/>
                  <w:noWrap w:val="0"/>
                  <w:vAlign w:val="center"/>
                </w:tcPr>
                <w:p>
                  <w:pPr>
                    <w:widowControl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影</w:t>
                  </w:r>
                </w:p>
                <w:p>
                  <w:pPr>
                    <w:widowControl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响</w:t>
                  </w:r>
                </w:p>
                <w:p>
                  <w:pPr>
                    <w:widowControl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识</w:t>
                  </w:r>
                </w:p>
                <w:p>
                  <w:pPr>
                    <w:widowControl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别</w:t>
                  </w:r>
                </w:p>
              </w:tc>
              <w:tc>
                <w:tcPr>
                  <w:tcW w:w="488" w:type="pct"/>
                  <w:noWrap w:val="0"/>
                  <w:vAlign w:val="center"/>
                </w:tcPr>
                <w:p>
                  <w:pPr>
                    <w:widowControl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影响类型</w:t>
                  </w:r>
                </w:p>
              </w:tc>
              <w:tc>
                <w:tcPr>
                  <w:tcW w:w="3975" w:type="pct"/>
                  <w:gridSpan w:val="10"/>
                  <w:noWrap w:val="0"/>
                  <w:vAlign w:val="center"/>
                </w:tcPr>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水污染影响型 </w:t>
                  </w:r>
                  <w:r>
                    <w:rPr>
                      <w:rFonts w:hint="default" w:ascii="Times New Roman" w:hAnsi="Times New Roman" w:eastAsia="宋体" w:cs="Times New Roman"/>
                      <w:sz w:val="21"/>
                      <w:szCs w:val="21"/>
                    </w:rPr>
                    <w:sym w:font="Wingdings 2" w:char="0052"/>
                  </w:r>
                  <w:r>
                    <w:rPr>
                      <w:rFonts w:hint="default" w:ascii="Times New Roman" w:hAnsi="Times New Roman" w:eastAsia="宋体" w:cs="Times New Roman"/>
                      <w:sz w:val="21"/>
                      <w:szCs w:val="21"/>
                    </w:rPr>
                    <w:t>；水文要素影响型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6" w:type="pct"/>
                  <w:vMerge w:val="continue"/>
                  <w:noWrap w:val="0"/>
                  <w:vAlign w:val="center"/>
                </w:tcPr>
                <w:p>
                  <w:pPr>
                    <w:widowControl w:val="0"/>
                    <w:jc w:val="center"/>
                    <w:rPr>
                      <w:rFonts w:hint="default" w:ascii="Times New Roman" w:hAnsi="Times New Roman" w:eastAsia="宋体" w:cs="Times New Roman"/>
                      <w:sz w:val="21"/>
                      <w:szCs w:val="21"/>
                    </w:rPr>
                  </w:pPr>
                </w:p>
              </w:tc>
              <w:tc>
                <w:tcPr>
                  <w:tcW w:w="488" w:type="pct"/>
                  <w:noWrap w:val="0"/>
                  <w:vAlign w:val="center"/>
                </w:tcPr>
                <w:p>
                  <w:pPr>
                    <w:widowControl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水环境保护目标</w:t>
                  </w:r>
                </w:p>
              </w:tc>
              <w:tc>
                <w:tcPr>
                  <w:tcW w:w="3975" w:type="pct"/>
                  <w:gridSpan w:val="10"/>
                  <w:noWrap w:val="0"/>
                  <w:vAlign w:val="center"/>
                </w:tcPr>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饮用水水源保护区 □；饮用水取水口 □；涉水的自然保护区 □；</w:t>
                  </w:r>
                </w:p>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重要湿地 □；重点保护与珍稀水生生物的栖息地 □；重要水生生物的自然产卵场及索饵场、越冬场和洄游通道、天然渔场等渔业水体 □；</w:t>
                  </w:r>
                </w:p>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涉水的风景名胜区 □；其他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6" w:type="pct"/>
                  <w:vMerge w:val="continue"/>
                  <w:noWrap w:val="0"/>
                  <w:vAlign w:val="center"/>
                </w:tcPr>
                <w:p>
                  <w:pPr>
                    <w:widowControl w:val="0"/>
                    <w:jc w:val="center"/>
                    <w:rPr>
                      <w:rFonts w:hint="default" w:ascii="Times New Roman" w:hAnsi="Times New Roman" w:eastAsia="宋体" w:cs="Times New Roman"/>
                      <w:sz w:val="21"/>
                      <w:szCs w:val="21"/>
                    </w:rPr>
                  </w:pPr>
                </w:p>
              </w:tc>
              <w:tc>
                <w:tcPr>
                  <w:tcW w:w="488" w:type="pct"/>
                  <w:vMerge w:val="restart"/>
                  <w:noWrap w:val="0"/>
                  <w:vAlign w:val="center"/>
                </w:tcPr>
                <w:p>
                  <w:pPr>
                    <w:widowControl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影响途径</w:t>
                  </w:r>
                </w:p>
              </w:tc>
              <w:tc>
                <w:tcPr>
                  <w:tcW w:w="2152" w:type="pct"/>
                  <w:gridSpan w:val="5"/>
                  <w:noWrap w:val="0"/>
                  <w:vAlign w:val="center"/>
                </w:tcPr>
                <w:p>
                  <w:pPr>
                    <w:widowControl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水污染影响型</w:t>
                  </w:r>
                </w:p>
              </w:tc>
              <w:tc>
                <w:tcPr>
                  <w:tcW w:w="1822" w:type="pct"/>
                  <w:gridSpan w:val="5"/>
                  <w:noWrap w:val="0"/>
                  <w:vAlign w:val="center"/>
                </w:tcPr>
                <w:p>
                  <w:pPr>
                    <w:widowControl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水文要素影响型</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6" w:type="pct"/>
                  <w:vMerge w:val="continue"/>
                  <w:noWrap w:val="0"/>
                  <w:vAlign w:val="center"/>
                </w:tcPr>
                <w:p>
                  <w:pPr>
                    <w:widowControl w:val="0"/>
                    <w:jc w:val="center"/>
                    <w:rPr>
                      <w:rFonts w:hint="default" w:ascii="Times New Roman" w:hAnsi="Times New Roman" w:eastAsia="宋体" w:cs="Times New Roman"/>
                      <w:sz w:val="21"/>
                      <w:szCs w:val="21"/>
                    </w:rPr>
                  </w:pPr>
                </w:p>
              </w:tc>
              <w:tc>
                <w:tcPr>
                  <w:tcW w:w="488" w:type="pct"/>
                  <w:vMerge w:val="continue"/>
                  <w:noWrap w:val="0"/>
                  <w:vAlign w:val="center"/>
                </w:tcPr>
                <w:p>
                  <w:pPr>
                    <w:widowControl w:val="0"/>
                    <w:jc w:val="center"/>
                    <w:rPr>
                      <w:rFonts w:hint="default" w:ascii="Times New Roman" w:hAnsi="Times New Roman" w:eastAsia="宋体" w:cs="Times New Roman"/>
                      <w:sz w:val="21"/>
                      <w:szCs w:val="21"/>
                    </w:rPr>
                  </w:pPr>
                </w:p>
              </w:tc>
              <w:tc>
                <w:tcPr>
                  <w:tcW w:w="2152" w:type="pct"/>
                  <w:gridSpan w:val="5"/>
                  <w:noWrap w:val="0"/>
                  <w:vAlign w:val="center"/>
                </w:tcPr>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直接排放 □；间接排放 </w:t>
                  </w:r>
                  <w:r>
                    <w:rPr>
                      <w:rFonts w:hint="default" w:ascii="Times New Roman" w:hAnsi="Times New Roman" w:eastAsia="宋体" w:cs="Times New Roman"/>
                      <w:sz w:val="21"/>
                      <w:szCs w:val="21"/>
                    </w:rPr>
                    <w:sym w:font="Wingdings 2" w:char="0052"/>
                  </w:r>
                  <w:r>
                    <w:rPr>
                      <w:rFonts w:hint="default" w:ascii="Times New Roman" w:hAnsi="Times New Roman" w:eastAsia="宋体" w:cs="Times New Roman"/>
                      <w:sz w:val="21"/>
                      <w:szCs w:val="21"/>
                    </w:rPr>
                    <w:t xml:space="preserve">；其他 </w:t>
                  </w:r>
                  <w:r>
                    <w:rPr>
                      <w:rFonts w:hint="default" w:ascii="Times New Roman" w:hAnsi="Times New Roman" w:eastAsia="宋体" w:cs="Times New Roman"/>
                      <w:sz w:val="21"/>
                      <w:szCs w:val="21"/>
                    </w:rPr>
                    <w:sym w:font="Wingdings 2" w:char="00A3"/>
                  </w:r>
                </w:p>
              </w:tc>
              <w:tc>
                <w:tcPr>
                  <w:tcW w:w="1822" w:type="pct"/>
                  <w:gridSpan w:val="5"/>
                  <w:noWrap w:val="0"/>
                  <w:vAlign w:val="center"/>
                </w:tcPr>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水温 □；径流 □；水域面积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6" w:type="pct"/>
                  <w:vMerge w:val="continue"/>
                  <w:noWrap w:val="0"/>
                  <w:vAlign w:val="center"/>
                </w:tcPr>
                <w:p>
                  <w:pPr>
                    <w:widowControl w:val="0"/>
                    <w:jc w:val="center"/>
                    <w:rPr>
                      <w:rFonts w:hint="default" w:ascii="Times New Roman" w:hAnsi="Times New Roman" w:eastAsia="宋体" w:cs="Times New Roman"/>
                      <w:sz w:val="21"/>
                      <w:szCs w:val="21"/>
                    </w:rPr>
                  </w:pPr>
                </w:p>
              </w:tc>
              <w:tc>
                <w:tcPr>
                  <w:tcW w:w="488" w:type="pct"/>
                  <w:noWrap w:val="0"/>
                  <w:vAlign w:val="center"/>
                </w:tcPr>
                <w:p>
                  <w:pPr>
                    <w:widowControl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影响因子</w:t>
                  </w:r>
                </w:p>
              </w:tc>
              <w:tc>
                <w:tcPr>
                  <w:tcW w:w="2152" w:type="pct"/>
                  <w:gridSpan w:val="5"/>
                  <w:noWrap w:val="0"/>
                  <w:vAlign w:val="center"/>
                </w:tcPr>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持久性污染物 □；有毒有害污染物 □；非持久性污染物 □；pH值 □；</w:t>
                  </w:r>
                </w:p>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热污染 </w:t>
                  </w:r>
                  <w:r>
                    <w:rPr>
                      <w:rFonts w:hint="default" w:ascii="Times New Roman" w:hAnsi="Times New Roman" w:eastAsia="宋体" w:cs="Times New Roman"/>
                      <w:sz w:val="21"/>
                      <w:szCs w:val="21"/>
                    </w:rPr>
                    <w:sym w:font="Wingdings 2" w:char="00A3"/>
                  </w:r>
                  <w:r>
                    <w:rPr>
                      <w:rFonts w:hint="default" w:ascii="Times New Roman" w:hAnsi="Times New Roman" w:eastAsia="宋体" w:cs="Times New Roman"/>
                      <w:sz w:val="21"/>
                      <w:szCs w:val="21"/>
                    </w:rPr>
                    <w:t xml:space="preserve">；富营养化 □；其他 </w:t>
                  </w:r>
                  <w:r>
                    <w:rPr>
                      <w:rFonts w:hint="default" w:ascii="Times New Roman" w:hAnsi="Times New Roman" w:eastAsia="宋体" w:cs="Times New Roman"/>
                      <w:sz w:val="21"/>
                      <w:szCs w:val="21"/>
                    </w:rPr>
                    <w:sym w:font="Wingdings 2" w:char="0052"/>
                  </w:r>
                </w:p>
              </w:tc>
              <w:tc>
                <w:tcPr>
                  <w:tcW w:w="1822" w:type="pct"/>
                  <w:gridSpan w:val="5"/>
                  <w:noWrap w:val="0"/>
                  <w:vAlign w:val="center"/>
                </w:tcPr>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水温 □；水位（水深） □；流速 □；流量 □；其他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24" w:type="pct"/>
                  <w:gridSpan w:val="2"/>
                  <w:vMerge w:val="restart"/>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评价等级</w:t>
                  </w:r>
                </w:p>
              </w:tc>
              <w:tc>
                <w:tcPr>
                  <w:tcW w:w="2152" w:type="pct"/>
                  <w:gridSpan w:val="5"/>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水污染影响型</w:t>
                  </w:r>
                </w:p>
              </w:tc>
              <w:tc>
                <w:tcPr>
                  <w:tcW w:w="1822" w:type="pct"/>
                  <w:gridSpan w:val="5"/>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水文要素影响型</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24" w:type="pct"/>
                  <w:gridSpan w:val="2"/>
                  <w:vMerge w:val="continue"/>
                  <w:noWrap w:val="0"/>
                  <w:vAlign w:val="center"/>
                </w:tcPr>
                <w:p>
                  <w:pPr>
                    <w:widowControl w:val="0"/>
                    <w:jc w:val="center"/>
                    <w:rPr>
                      <w:rFonts w:hint="default" w:ascii="Times New Roman" w:hAnsi="Times New Roman" w:eastAsia="宋体" w:cs="Times New Roman"/>
                      <w:sz w:val="21"/>
                      <w:szCs w:val="21"/>
                    </w:rPr>
                  </w:pPr>
                </w:p>
              </w:tc>
              <w:tc>
                <w:tcPr>
                  <w:tcW w:w="2152" w:type="pct"/>
                  <w:gridSpan w:val="5"/>
                  <w:noWrap w:val="0"/>
                  <w:vAlign w:val="center"/>
                </w:tcPr>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一级 □；二级 □；三级A □；三级B </w:t>
                  </w:r>
                  <w:r>
                    <w:rPr>
                      <w:rFonts w:hint="default" w:ascii="Times New Roman" w:hAnsi="Times New Roman" w:eastAsia="宋体" w:cs="Times New Roman"/>
                      <w:sz w:val="21"/>
                      <w:szCs w:val="21"/>
                    </w:rPr>
                    <w:sym w:font="Wingdings 2" w:char="0052"/>
                  </w:r>
                </w:p>
              </w:tc>
              <w:tc>
                <w:tcPr>
                  <w:tcW w:w="1822" w:type="pct"/>
                  <w:gridSpan w:val="5"/>
                  <w:noWrap w:val="0"/>
                  <w:vAlign w:val="center"/>
                </w:tcPr>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一级 □；二级 □；三级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6" w:type="pct"/>
                  <w:vMerge w:val="restart"/>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现状调查</w:t>
                  </w:r>
                </w:p>
              </w:tc>
              <w:tc>
                <w:tcPr>
                  <w:tcW w:w="488" w:type="pct"/>
                  <w:vMerge w:val="restart"/>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区域污染源</w:t>
                  </w:r>
                </w:p>
              </w:tc>
              <w:tc>
                <w:tcPr>
                  <w:tcW w:w="2152" w:type="pct"/>
                  <w:gridSpan w:val="5"/>
                  <w:tcBorders>
                    <w:bottom w:val="single" w:color="auto" w:sz="4" w:space="0"/>
                  </w:tcBorders>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调查项目</w:t>
                  </w:r>
                </w:p>
              </w:tc>
              <w:tc>
                <w:tcPr>
                  <w:tcW w:w="1822" w:type="pct"/>
                  <w:gridSpan w:val="5"/>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数据来源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6" w:type="pct"/>
                  <w:vMerge w:val="continue"/>
                  <w:noWrap w:val="0"/>
                  <w:vAlign w:val="center"/>
                </w:tcPr>
                <w:p>
                  <w:pPr>
                    <w:widowControl w:val="0"/>
                    <w:jc w:val="center"/>
                    <w:rPr>
                      <w:rFonts w:hint="default" w:ascii="Times New Roman" w:hAnsi="Times New Roman" w:eastAsia="宋体" w:cs="Times New Roman"/>
                      <w:sz w:val="21"/>
                      <w:szCs w:val="21"/>
                    </w:rPr>
                  </w:pPr>
                </w:p>
              </w:tc>
              <w:tc>
                <w:tcPr>
                  <w:tcW w:w="488" w:type="pct"/>
                  <w:vMerge w:val="continue"/>
                  <w:tcBorders>
                    <w:right w:val="single" w:color="auto" w:sz="4" w:space="0"/>
                  </w:tcBorders>
                  <w:noWrap w:val="0"/>
                  <w:vAlign w:val="center"/>
                </w:tcPr>
                <w:p>
                  <w:pPr>
                    <w:widowControl w:val="0"/>
                    <w:jc w:val="center"/>
                    <w:rPr>
                      <w:rFonts w:hint="default" w:ascii="Times New Roman" w:hAnsi="Times New Roman" w:eastAsia="宋体" w:cs="Times New Roman"/>
                      <w:sz w:val="21"/>
                      <w:szCs w:val="21"/>
                    </w:rPr>
                  </w:pPr>
                </w:p>
              </w:tc>
              <w:tc>
                <w:tcPr>
                  <w:tcW w:w="1024" w:type="pct"/>
                  <w:gridSpan w:val="2"/>
                  <w:tcBorders>
                    <w:top w:val="single" w:color="auto" w:sz="4" w:space="0"/>
                    <w:left w:val="single" w:color="auto" w:sz="4" w:space="0"/>
                    <w:bottom w:val="single" w:color="auto" w:sz="4" w:space="0"/>
                    <w:right w:val="single" w:color="auto" w:sz="4" w:space="0"/>
                  </w:tcBorders>
                  <w:noWrap w:val="0"/>
                  <w:vAlign w:val="center"/>
                </w:tcPr>
                <w:p>
                  <w:pPr>
                    <w:widowControl w:val="0"/>
                    <w:autoSpaceDE w:val="0"/>
                    <w:autoSpaceDN w:val="0"/>
                    <w:adjustRightInd w:val="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已建 □；在建 □；</w:t>
                  </w:r>
                </w:p>
                <w:p>
                  <w:pPr>
                    <w:widowControl w:val="0"/>
                    <w:autoSpaceDE w:val="0"/>
                    <w:autoSpaceDN w:val="0"/>
                    <w:adjustRightInd w:val="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拟建 □；其他 □</w:t>
                  </w:r>
                </w:p>
              </w:tc>
              <w:tc>
                <w:tcPr>
                  <w:tcW w:w="1127" w:type="pct"/>
                  <w:gridSpan w:val="3"/>
                  <w:tcBorders>
                    <w:top w:val="single" w:color="auto" w:sz="4" w:space="0"/>
                    <w:left w:val="single" w:color="auto" w:sz="4" w:space="0"/>
                    <w:bottom w:val="single" w:color="auto" w:sz="4" w:space="0"/>
                    <w:right w:val="single" w:color="auto" w:sz="4" w:space="0"/>
                  </w:tcBorders>
                  <w:noWrap w:val="0"/>
                  <w:vAlign w:val="center"/>
                </w:tcPr>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拟替代的污染源 □</w:t>
                  </w:r>
                </w:p>
              </w:tc>
              <w:tc>
                <w:tcPr>
                  <w:tcW w:w="1822" w:type="pct"/>
                  <w:gridSpan w:val="5"/>
                  <w:tcBorders>
                    <w:left w:val="single" w:color="auto" w:sz="4" w:space="0"/>
                  </w:tcBorders>
                  <w:noWrap w:val="0"/>
                  <w:vAlign w:val="center"/>
                </w:tcPr>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排污许可证 □；环评 □；</w:t>
                  </w:r>
                </w:p>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环保验收 □；既有实测 □；</w:t>
                  </w:r>
                </w:p>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现场监测 □；入河排放口数据□；</w:t>
                  </w:r>
                </w:p>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其他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jc w:val="center"/>
              </w:trPr>
              <w:tc>
                <w:tcPr>
                  <w:tcW w:w="536" w:type="pct"/>
                  <w:vMerge w:val="continue"/>
                  <w:noWrap w:val="0"/>
                  <w:vAlign w:val="center"/>
                </w:tcPr>
                <w:p>
                  <w:pPr>
                    <w:widowControl w:val="0"/>
                    <w:jc w:val="center"/>
                    <w:rPr>
                      <w:rFonts w:hint="default" w:ascii="Times New Roman" w:hAnsi="Times New Roman" w:eastAsia="宋体" w:cs="Times New Roman"/>
                      <w:sz w:val="21"/>
                      <w:szCs w:val="21"/>
                    </w:rPr>
                  </w:pPr>
                </w:p>
              </w:tc>
              <w:tc>
                <w:tcPr>
                  <w:tcW w:w="488" w:type="pct"/>
                  <w:vMerge w:val="restart"/>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受影响水体水环境质量</w:t>
                  </w:r>
                </w:p>
              </w:tc>
              <w:tc>
                <w:tcPr>
                  <w:tcW w:w="2152" w:type="pct"/>
                  <w:gridSpan w:val="5"/>
                  <w:tcBorders>
                    <w:top w:val="single" w:color="auto" w:sz="4" w:space="0"/>
                  </w:tcBorders>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调查时期</w:t>
                  </w:r>
                </w:p>
              </w:tc>
              <w:tc>
                <w:tcPr>
                  <w:tcW w:w="1822" w:type="pct"/>
                  <w:gridSpan w:val="5"/>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数据来源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6" w:type="pct"/>
                  <w:vMerge w:val="continue"/>
                  <w:noWrap w:val="0"/>
                  <w:vAlign w:val="center"/>
                </w:tcPr>
                <w:p>
                  <w:pPr>
                    <w:widowControl w:val="0"/>
                    <w:jc w:val="center"/>
                    <w:rPr>
                      <w:rFonts w:hint="default" w:ascii="Times New Roman" w:hAnsi="Times New Roman" w:eastAsia="宋体" w:cs="Times New Roman"/>
                      <w:sz w:val="21"/>
                      <w:szCs w:val="21"/>
                    </w:rPr>
                  </w:pPr>
                </w:p>
              </w:tc>
              <w:tc>
                <w:tcPr>
                  <w:tcW w:w="488" w:type="pct"/>
                  <w:vMerge w:val="continue"/>
                  <w:noWrap w:val="0"/>
                  <w:vAlign w:val="center"/>
                </w:tcPr>
                <w:p>
                  <w:pPr>
                    <w:widowControl w:val="0"/>
                    <w:jc w:val="center"/>
                    <w:rPr>
                      <w:rFonts w:hint="default" w:ascii="Times New Roman" w:hAnsi="Times New Roman" w:eastAsia="宋体" w:cs="Times New Roman"/>
                      <w:sz w:val="21"/>
                      <w:szCs w:val="21"/>
                    </w:rPr>
                  </w:pPr>
                </w:p>
              </w:tc>
              <w:tc>
                <w:tcPr>
                  <w:tcW w:w="2152" w:type="pct"/>
                  <w:gridSpan w:val="5"/>
                  <w:noWrap w:val="0"/>
                  <w:vAlign w:val="center"/>
                </w:tcPr>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丰水期 □；平水期 □；枯水期 □；</w:t>
                  </w:r>
                </w:p>
                <w:p>
                  <w:pPr>
                    <w:widowControl w:val="0"/>
                    <w:autoSpaceDE w:val="0"/>
                    <w:autoSpaceDN w:val="0"/>
                    <w:adjustRightInd w:val="0"/>
                    <w:jc w:val="left"/>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 xml:space="preserve">冰封期 □春季 □；夏季 </w:t>
                  </w:r>
                  <w:r>
                    <w:rPr>
                      <w:rFonts w:hint="default" w:ascii="Times New Roman" w:hAnsi="Times New Roman" w:eastAsia="宋体" w:cs="Times New Roman"/>
                      <w:sz w:val="21"/>
                      <w:szCs w:val="21"/>
                      <w:lang w:eastAsia="zh-CN"/>
                    </w:rPr>
                    <w:sym w:font="Wingdings 2" w:char="0052"/>
                  </w:r>
                  <w:r>
                    <w:rPr>
                      <w:rFonts w:hint="default" w:ascii="Times New Roman" w:hAnsi="Times New Roman" w:eastAsia="宋体" w:cs="Times New Roman"/>
                      <w:sz w:val="21"/>
                      <w:szCs w:val="21"/>
                    </w:rPr>
                    <w:t xml:space="preserve">；秋季 □；冬季 </w:t>
                  </w:r>
                  <w:r>
                    <w:rPr>
                      <w:rFonts w:hint="default" w:ascii="Times New Roman" w:hAnsi="Times New Roman" w:eastAsia="宋体" w:cs="Times New Roman"/>
                      <w:sz w:val="21"/>
                      <w:szCs w:val="21"/>
                      <w:lang w:eastAsia="zh-CN"/>
                    </w:rPr>
                    <w:t>□</w:t>
                  </w:r>
                </w:p>
              </w:tc>
              <w:tc>
                <w:tcPr>
                  <w:tcW w:w="1822" w:type="pct"/>
                  <w:gridSpan w:val="5"/>
                  <w:noWrap w:val="0"/>
                  <w:vAlign w:val="center"/>
                </w:tcPr>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生态环境保护主管部门 </w:t>
                  </w:r>
                  <w:r>
                    <w:rPr>
                      <w:rFonts w:hint="default" w:ascii="Times New Roman" w:hAnsi="Times New Roman" w:eastAsia="宋体" w:cs="Times New Roman"/>
                      <w:sz w:val="21"/>
                      <w:szCs w:val="21"/>
                    </w:rPr>
                    <w:sym w:font="Wingdings 2" w:char="0052"/>
                  </w:r>
                  <w:r>
                    <w:rPr>
                      <w:rFonts w:hint="default" w:ascii="Times New Roman" w:hAnsi="Times New Roman" w:eastAsia="宋体" w:cs="Times New Roman"/>
                      <w:sz w:val="21"/>
                      <w:szCs w:val="21"/>
                    </w:rPr>
                    <w:t>；</w:t>
                  </w:r>
                </w:p>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补充监测 □；其他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6" w:type="pct"/>
                  <w:vMerge w:val="continue"/>
                  <w:noWrap w:val="0"/>
                  <w:vAlign w:val="center"/>
                </w:tcPr>
                <w:p>
                  <w:pPr>
                    <w:widowControl w:val="0"/>
                    <w:jc w:val="center"/>
                    <w:rPr>
                      <w:rFonts w:hint="default" w:ascii="Times New Roman" w:hAnsi="Times New Roman" w:eastAsia="宋体" w:cs="Times New Roman"/>
                      <w:sz w:val="21"/>
                      <w:szCs w:val="21"/>
                    </w:rPr>
                  </w:pPr>
                </w:p>
              </w:tc>
              <w:tc>
                <w:tcPr>
                  <w:tcW w:w="488" w:type="pct"/>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区域水资源开发利用状况</w:t>
                  </w:r>
                </w:p>
              </w:tc>
              <w:tc>
                <w:tcPr>
                  <w:tcW w:w="3975" w:type="pct"/>
                  <w:gridSpan w:val="10"/>
                  <w:noWrap w:val="0"/>
                  <w:vAlign w:val="center"/>
                </w:tcPr>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未开发 □；开发量40%以下 □；开发量40%以上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6" w:type="pct"/>
                  <w:vMerge w:val="continue"/>
                  <w:noWrap w:val="0"/>
                  <w:vAlign w:val="center"/>
                </w:tcPr>
                <w:p>
                  <w:pPr>
                    <w:widowControl w:val="0"/>
                    <w:jc w:val="center"/>
                    <w:rPr>
                      <w:rFonts w:hint="default" w:ascii="Times New Roman" w:hAnsi="Times New Roman" w:eastAsia="宋体" w:cs="Times New Roman"/>
                      <w:sz w:val="21"/>
                      <w:szCs w:val="21"/>
                    </w:rPr>
                  </w:pPr>
                </w:p>
              </w:tc>
              <w:tc>
                <w:tcPr>
                  <w:tcW w:w="488" w:type="pct"/>
                  <w:vMerge w:val="restart"/>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水文情势调查</w:t>
                  </w:r>
                </w:p>
              </w:tc>
              <w:tc>
                <w:tcPr>
                  <w:tcW w:w="2152" w:type="pct"/>
                  <w:gridSpan w:val="5"/>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调查时期</w:t>
                  </w:r>
                </w:p>
              </w:tc>
              <w:tc>
                <w:tcPr>
                  <w:tcW w:w="1822" w:type="pct"/>
                  <w:gridSpan w:val="5"/>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数据来源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jc w:val="center"/>
              </w:trPr>
              <w:tc>
                <w:tcPr>
                  <w:tcW w:w="536" w:type="pct"/>
                  <w:vMerge w:val="continue"/>
                  <w:noWrap w:val="0"/>
                  <w:vAlign w:val="center"/>
                </w:tcPr>
                <w:p>
                  <w:pPr>
                    <w:widowControl w:val="0"/>
                    <w:jc w:val="center"/>
                    <w:rPr>
                      <w:rFonts w:hint="default" w:ascii="Times New Roman" w:hAnsi="Times New Roman" w:eastAsia="宋体" w:cs="Times New Roman"/>
                      <w:sz w:val="21"/>
                      <w:szCs w:val="21"/>
                    </w:rPr>
                  </w:pPr>
                </w:p>
              </w:tc>
              <w:tc>
                <w:tcPr>
                  <w:tcW w:w="488" w:type="pct"/>
                  <w:vMerge w:val="continue"/>
                  <w:noWrap w:val="0"/>
                  <w:vAlign w:val="center"/>
                </w:tcPr>
                <w:p>
                  <w:pPr>
                    <w:widowControl w:val="0"/>
                    <w:jc w:val="center"/>
                    <w:rPr>
                      <w:rFonts w:hint="default" w:ascii="Times New Roman" w:hAnsi="Times New Roman" w:eastAsia="宋体" w:cs="Times New Roman"/>
                      <w:sz w:val="21"/>
                      <w:szCs w:val="21"/>
                    </w:rPr>
                  </w:pPr>
                </w:p>
              </w:tc>
              <w:tc>
                <w:tcPr>
                  <w:tcW w:w="2152" w:type="pct"/>
                  <w:gridSpan w:val="5"/>
                  <w:noWrap w:val="0"/>
                  <w:vAlign w:val="center"/>
                </w:tcPr>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丰水期 □；平水期 □；枯水期 □；</w:t>
                  </w:r>
                </w:p>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冰封期 □春季 □；夏季 □；秋季 □；冬季 □</w:t>
                  </w:r>
                </w:p>
              </w:tc>
              <w:tc>
                <w:tcPr>
                  <w:tcW w:w="1822" w:type="pct"/>
                  <w:gridSpan w:val="5"/>
                  <w:noWrap w:val="0"/>
                  <w:vAlign w:val="center"/>
                </w:tcPr>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水行政主管部门 □；</w:t>
                  </w:r>
                </w:p>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补充监测 □；其他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6" w:type="pct"/>
                  <w:vMerge w:val="continue"/>
                  <w:noWrap w:val="0"/>
                  <w:vAlign w:val="center"/>
                </w:tcPr>
                <w:p>
                  <w:pPr>
                    <w:widowControl w:val="0"/>
                    <w:jc w:val="center"/>
                    <w:rPr>
                      <w:rFonts w:hint="default" w:ascii="Times New Roman" w:hAnsi="Times New Roman" w:eastAsia="宋体" w:cs="Times New Roman"/>
                      <w:sz w:val="21"/>
                      <w:szCs w:val="21"/>
                    </w:rPr>
                  </w:pPr>
                </w:p>
              </w:tc>
              <w:tc>
                <w:tcPr>
                  <w:tcW w:w="488" w:type="pct"/>
                  <w:vMerge w:val="restart"/>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补充监测</w:t>
                  </w:r>
                </w:p>
              </w:tc>
              <w:tc>
                <w:tcPr>
                  <w:tcW w:w="2152" w:type="pct"/>
                  <w:gridSpan w:val="5"/>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监测时期</w:t>
                  </w:r>
                </w:p>
              </w:tc>
              <w:tc>
                <w:tcPr>
                  <w:tcW w:w="728" w:type="pct"/>
                  <w:gridSpan w:val="3"/>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监测因子</w:t>
                  </w:r>
                </w:p>
              </w:tc>
              <w:tc>
                <w:tcPr>
                  <w:tcW w:w="1093" w:type="pct"/>
                  <w:gridSpan w:val="2"/>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监测断面或点位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6" w:type="pct"/>
                  <w:vMerge w:val="continue"/>
                  <w:noWrap w:val="0"/>
                  <w:vAlign w:val="center"/>
                </w:tcPr>
                <w:p>
                  <w:pPr>
                    <w:widowControl w:val="0"/>
                    <w:jc w:val="center"/>
                    <w:rPr>
                      <w:rFonts w:hint="default" w:ascii="Times New Roman" w:hAnsi="Times New Roman" w:eastAsia="宋体" w:cs="Times New Roman"/>
                      <w:sz w:val="21"/>
                      <w:szCs w:val="21"/>
                    </w:rPr>
                  </w:pPr>
                </w:p>
              </w:tc>
              <w:tc>
                <w:tcPr>
                  <w:tcW w:w="488" w:type="pct"/>
                  <w:vMerge w:val="continue"/>
                  <w:noWrap w:val="0"/>
                  <w:vAlign w:val="center"/>
                </w:tcPr>
                <w:p>
                  <w:pPr>
                    <w:widowControl w:val="0"/>
                    <w:jc w:val="center"/>
                    <w:rPr>
                      <w:rFonts w:hint="default" w:ascii="Times New Roman" w:hAnsi="Times New Roman" w:eastAsia="宋体" w:cs="Times New Roman"/>
                      <w:sz w:val="21"/>
                      <w:szCs w:val="21"/>
                    </w:rPr>
                  </w:pPr>
                </w:p>
              </w:tc>
              <w:tc>
                <w:tcPr>
                  <w:tcW w:w="2152" w:type="pct"/>
                  <w:gridSpan w:val="5"/>
                  <w:noWrap w:val="0"/>
                  <w:vAlign w:val="center"/>
                </w:tcPr>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丰水期 □；平水期 □；枯水期 □；</w:t>
                  </w:r>
                </w:p>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冰封期 □春季 □；夏季 □；秋季 □；冬季 □</w:t>
                  </w:r>
                </w:p>
              </w:tc>
              <w:tc>
                <w:tcPr>
                  <w:tcW w:w="728" w:type="pct"/>
                  <w:gridSpan w:val="3"/>
                  <w:noWrap w:val="0"/>
                  <w:vAlign w:val="center"/>
                </w:tcPr>
                <w:p>
                  <w:pPr>
                    <w:widowControl w:val="0"/>
                    <w:jc w:val="left"/>
                    <w:rPr>
                      <w:rFonts w:hint="default" w:ascii="Times New Roman" w:hAnsi="Times New Roman" w:eastAsia="宋体" w:cs="Times New Roman"/>
                      <w:sz w:val="21"/>
                      <w:szCs w:val="21"/>
                    </w:rPr>
                  </w:pPr>
                </w:p>
              </w:tc>
              <w:tc>
                <w:tcPr>
                  <w:tcW w:w="1093" w:type="pct"/>
                  <w:gridSpan w:val="2"/>
                  <w:noWrap w:val="0"/>
                  <w:vAlign w:val="center"/>
                </w:tcPr>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监测断面或点位个数（）个</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6" w:type="pct"/>
                  <w:vMerge w:val="restart"/>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现状评价</w:t>
                  </w:r>
                </w:p>
                <w:p>
                  <w:pPr>
                    <w:widowControl w:val="0"/>
                    <w:jc w:val="center"/>
                    <w:rPr>
                      <w:rFonts w:hint="default" w:ascii="Times New Roman" w:hAnsi="Times New Roman" w:eastAsia="宋体" w:cs="Times New Roman"/>
                      <w:sz w:val="21"/>
                      <w:szCs w:val="21"/>
                    </w:rPr>
                  </w:pPr>
                </w:p>
              </w:tc>
              <w:tc>
                <w:tcPr>
                  <w:tcW w:w="488" w:type="pct"/>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评价范围</w:t>
                  </w:r>
                </w:p>
              </w:tc>
              <w:tc>
                <w:tcPr>
                  <w:tcW w:w="3975" w:type="pct"/>
                  <w:gridSpan w:val="10"/>
                  <w:noWrap w:val="0"/>
                  <w:vAlign w:val="center"/>
                </w:tcPr>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河流：长度（）km；湖库、河口及近岸海域：面积（）km2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6" w:type="pct"/>
                  <w:vMerge w:val="continue"/>
                  <w:noWrap w:val="0"/>
                  <w:vAlign w:val="center"/>
                </w:tcPr>
                <w:p>
                  <w:pPr>
                    <w:widowControl w:val="0"/>
                    <w:jc w:val="center"/>
                    <w:rPr>
                      <w:rFonts w:hint="default" w:ascii="Times New Roman" w:hAnsi="Times New Roman" w:eastAsia="宋体" w:cs="Times New Roman"/>
                      <w:sz w:val="21"/>
                      <w:szCs w:val="21"/>
                    </w:rPr>
                  </w:pPr>
                </w:p>
              </w:tc>
              <w:tc>
                <w:tcPr>
                  <w:tcW w:w="488" w:type="pct"/>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评价因子</w:t>
                  </w:r>
                </w:p>
              </w:tc>
              <w:tc>
                <w:tcPr>
                  <w:tcW w:w="3975" w:type="pct"/>
                  <w:gridSpan w:val="10"/>
                  <w:noWrap w:val="0"/>
                  <w:vAlign w:val="center"/>
                </w:tcPr>
                <w:p>
                  <w:pPr>
                    <w:widowControl w:val="0"/>
                    <w:jc w:val="left"/>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pH、</w:t>
                  </w:r>
                  <w:r>
                    <w:rPr>
                      <w:rFonts w:hint="default" w:ascii="Times New Roman" w:hAnsi="Times New Roman" w:eastAsia="宋体" w:cs="Times New Roman"/>
                      <w:sz w:val="21"/>
                      <w:szCs w:val="21"/>
                      <w:lang w:val="en-US" w:eastAsia="zh-CN"/>
                    </w:rPr>
                    <w:t>CO</w:t>
                  </w:r>
                  <w:r>
                    <w:rPr>
                      <w:rFonts w:hint="default" w:ascii="Times New Roman" w:hAnsi="Times New Roman" w:eastAsia="宋体" w:cs="Times New Roman"/>
                      <w:sz w:val="21"/>
                      <w:szCs w:val="21"/>
                    </w:rPr>
                    <w:t>D、氨氮</w:t>
                  </w:r>
                  <w:r>
                    <w:rPr>
                      <w:rFonts w:hint="eastAsia" w:ascii="Times New Roman" w:hAnsi="Times New Roman" w:eastAsia="宋体" w:cs="Times New Roman"/>
                      <w:sz w:val="21"/>
                      <w:szCs w:val="21"/>
                      <w:lang w:eastAsia="zh-CN"/>
                    </w:rPr>
                    <w:t>、</w:t>
                  </w:r>
                  <w:r>
                    <w:rPr>
                      <w:rFonts w:hint="eastAsia" w:ascii="Times New Roman" w:hAnsi="Times New Roman" w:eastAsia="宋体" w:cs="Times New Roman"/>
                      <w:sz w:val="21"/>
                      <w:szCs w:val="21"/>
                      <w:lang w:val="en-US" w:eastAsia="zh-CN"/>
                    </w:rPr>
                    <w:t>SS</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6" w:type="pct"/>
                  <w:vMerge w:val="continue"/>
                  <w:noWrap w:val="0"/>
                  <w:vAlign w:val="center"/>
                </w:tcPr>
                <w:p>
                  <w:pPr>
                    <w:widowControl w:val="0"/>
                    <w:jc w:val="center"/>
                    <w:rPr>
                      <w:rFonts w:hint="default" w:ascii="Times New Roman" w:hAnsi="Times New Roman" w:eastAsia="宋体" w:cs="Times New Roman"/>
                      <w:sz w:val="21"/>
                      <w:szCs w:val="21"/>
                    </w:rPr>
                  </w:pPr>
                </w:p>
              </w:tc>
              <w:tc>
                <w:tcPr>
                  <w:tcW w:w="488" w:type="pct"/>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评价标准</w:t>
                  </w:r>
                </w:p>
              </w:tc>
              <w:tc>
                <w:tcPr>
                  <w:tcW w:w="3975" w:type="pct"/>
                  <w:gridSpan w:val="10"/>
                  <w:noWrap w:val="0"/>
                  <w:vAlign w:val="center"/>
                </w:tcPr>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河流、湖库、河口：Ⅰ类 □；Ⅱ类 □；Ⅲ类 </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rPr>
                    <w:t xml:space="preserve">；Ⅳ类□ ；Ⅴ类 </w:t>
                  </w:r>
                  <w:r>
                    <w:rPr>
                      <w:rFonts w:hint="default" w:ascii="Times New Roman" w:hAnsi="Times New Roman" w:eastAsia="宋体" w:cs="Times New Roman"/>
                      <w:sz w:val="21"/>
                      <w:szCs w:val="21"/>
                    </w:rPr>
                    <w:sym w:font="Wingdings 2" w:char="0052"/>
                  </w:r>
                </w:p>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近岸海域：第一类 □；第二类 □；第三类 □；第四类 □</w:t>
                  </w:r>
                </w:p>
                <w:p>
                  <w:pPr>
                    <w:widowControl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规划年评价标准（）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6" w:type="pct"/>
                  <w:vMerge w:val="continue"/>
                  <w:noWrap w:val="0"/>
                  <w:vAlign w:val="center"/>
                </w:tcPr>
                <w:p>
                  <w:pPr>
                    <w:widowControl w:val="0"/>
                    <w:jc w:val="center"/>
                    <w:rPr>
                      <w:rFonts w:hint="default" w:ascii="Times New Roman" w:hAnsi="Times New Roman" w:eastAsia="宋体" w:cs="Times New Roman"/>
                      <w:sz w:val="21"/>
                      <w:szCs w:val="21"/>
                    </w:rPr>
                  </w:pPr>
                </w:p>
              </w:tc>
              <w:tc>
                <w:tcPr>
                  <w:tcW w:w="488" w:type="pct"/>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评价时期</w:t>
                  </w:r>
                </w:p>
              </w:tc>
              <w:tc>
                <w:tcPr>
                  <w:tcW w:w="3975" w:type="pct"/>
                  <w:gridSpan w:val="10"/>
                  <w:noWrap w:val="0"/>
                  <w:vAlign w:val="center"/>
                </w:tcPr>
                <w:p>
                  <w:pPr>
                    <w:widowControl w:val="0"/>
                    <w:autoSpaceDE w:val="0"/>
                    <w:autoSpaceDN w:val="0"/>
                    <w:adjustRightInd w:val="0"/>
                    <w:jc w:val="left"/>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 xml:space="preserve">丰水期 □；平水期 □；枯水期 □；冰封期 □春季 □；夏季 </w:t>
                  </w:r>
                  <w:r>
                    <w:rPr>
                      <w:rFonts w:hint="default" w:ascii="Times New Roman" w:hAnsi="Times New Roman" w:eastAsia="宋体" w:cs="Times New Roman"/>
                      <w:sz w:val="21"/>
                      <w:szCs w:val="21"/>
                    </w:rPr>
                    <w:sym w:font="Wingdings 2" w:char="0052"/>
                  </w:r>
                  <w:r>
                    <w:rPr>
                      <w:rFonts w:hint="default" w:ascii="Times New Roman" w:hAnsi="Times New Roman" w:eastAsia="宋体" w:cs="Times New Roman"/>
                      <w:sz w:val="21"/>
                      <w:szCs w:val="21"/>
                    </w:rPr>
                    <w:t xml:space="preserve">；秋季 □；冬季 </w:t>
                  </w:r>
                  <w:r>
                    <w:rPr>
                      <w:rFonts w:hint="default" w:ascii="Times New Roman" w:hAnsi="Times New Roman" w:eastAsia="宋体" w:cs="Times New Roman"/>
                      <w:sz w:val="21"/>
                      <w:szCs w:val="21"/>
                      <w:lang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6" w:type="pct"/>
                  <w:vMerge w:val="continue"/>
                  <w:noWrap w:val="0"/>
                  <w:vAlign w:val="center"/>
                </w:tcPr>
                <w:p>
                  <w:pPr>
                    <w:widowControl w:val="0"/>
                    <w:jc w:val="center"/>
                    <w:rPr>
                      <w:rFonts w:hint="default" w:ascii="Times New Roman" w:hAnsi="Times New Roman" w:eastAsia="宋体" w:cs="Times New Roman"/>
                      <w:sz w:val="21"/>
                      <w:szCs w:val="21"/>
                    </w:rPr>
                  </w:pPr>
                </w:p>
              </w:tc>
              <w:tc>
                <w:tcPr>
                  <w:tcW w:w="488" w:type="pct"/>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评价结论</w:t>
                  </w:r>
                </w:p>
              </w:tc>
              <w:tc>
                <w:tcPr>
                  <w:tcW w:w="2881" w:type="pct"/>
                  <w:gridSpan w:val="8"/>
                  <w:noWrap w:val="0"/>
                  <w:vAlign w:val="center"/>
                </w:tcPr>
                <w:p>
                  <w:pPr>
                    <w:widowControl w:val="0"/>
                    <w:autoSpaceDE w:val="0"/>
                    <w:autoSpaceDN w:val="0"/>
                    <w:adjustRightInd w:val="0"/>
                    <w:jc w:val="both"/>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 xml:space="preserve">水环境功能区或水功能区、近岸海域环境功能区水质达标状况 ：达标 □；不达标 </w:t>
                  </w:r>
                  <w:r>
                    <w:rPr>
                      <w:rFonts w:hint="default" w:ascii="Times New Roman" w:hAnsi="Times New Roman" w:eastAsia="宋体" w:cs="Times New Roman"/>
                      <w:sz w:val="21"/>
                      <w:szCs w:val="21"/>
                      <w:lang w:eastAsia="zh-CN"/>
                    </w:rPr>
                    <w:t>□</w:t>
                  </w:r>
                </w:p>
                <w:p>
                  <w:pPr>
                    <w:widowControl w:val="0"/>
                    <w:autoSpaceDE w:val="0"/>
                    <w:autoSpaceDN w:val="0"/>
                    <w:adjustRightInd w:val="0"/>
                    <w:jc w:val="both"/>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 xml:space="preserve">水环境控制单元或断面水质达标状况 ：达标 </w:t>
                  </w:r>
                  <w:r>
                    <w:rPr>
                      <w:rFonts w:hint="default" w:ascii="Times New Roman" w:hAnsi="Times New Roman" w:eastAsia="宋体" w:cs="Times New Roman"/>
                      <w:sz w:val="21"/>
                      <w:szCs w:val="21"/>
                    </w:rPr>
                    <w:sym w:font="Wingdings 2" w:char="0052"/>
                  </w:r>
                  <w:r>
                    <w:rPr>
                      <w:rFonts w:hint="default" w:ascii="Times New Roman" w:hAnsi="Times New Roman" w:eastAsia="宋体" w:cs="Times New Roman"/>
                      <w:sz w:val="21"/>
                      <w:szCs w:val="21"/>
                    </w:rPr>
                    <w:t xml:space="preserve">；不达标 </w:t>
                  </w:r>
                  <w:r>
                    <w:rPr>
                      <w:rFonts w:hint="default" w:ascii="Times New Roman" w:hAnsi="Times New Roman" w:eastAsia="宋体" w:cs="Times New Roman"/>
                      <w:sz w:val="21"/>
                      <w:szCs w:val="21"/>
                      <w:lang w:eastAsia="zh-CN"/>
                    </w:rPr>
                    <w:t>□</w:t>
                  </w:r>
                </w:p>
                <w:p>
                  <w:pPr>
                    <w:widowControl w:val="0"/>
                    <w:autoSpaceDE w:val="0"/>
                    <w:autoSpaceDN w:val="0"/>
                    <w:adjustRightInd w:val="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水环境保护目标质量状况：达标 □；不达标 □</w:t>
                  </w:r>
                </w:p>
                <w:p>
                  <w:pPr>
                    <w:widowControl w:val="0"/>
                    <w:autoSpaceDE w:val="0"/>
                    <w:autoSpaceDN w:val="0"/>
                    <w:adjustRightInd w:val="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对照断面、控制断面等代表性断面的水质状况：达标 □；不达标 □</w:t>
                  </w:r>
                </w:p>
                <w:p>
                  <w:pPr>
                    <w:widowControl w:val="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底泥污染评价 □</w:t>
                  </w:r>
                </w:p>
                <w:p>
                  <w:pPr>
                    <w:widowControl w:val="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水资源与开发利用程度及其水文情势评价 □</w:t>
                  </w:r>
                </w:p>
                <w:p>
                  <w:pPr>
                    <w:widowControl w:val="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水环境质量回顾评价 □</w:t>
                  </w:r>
                </w:p>
                <w:p>
                  <w:pPr>
                    <w:widowControl w:val="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流域（区域）水资源（包括水能资源）与开发利用总体状况、生态流量管理要求与现状满足程度、建设项目占用水域空间的水流状况与河湖演变状况 □</w:t>
                  </w:r>
                </w:p>
              </w:tc>
              <w:tc>
                <w:tcPr>
                  <w:tcW w:w="1093" w:type="pct"/>
                  <w:gridSpan w:val="2"/>
                  <w:noWrap w:val="0"/>
                  <w:vAlign w:val="center"/>
                </w:tcPr>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达标区 </w:t>
                  </w:r>
                  <w:r>
                    <w:rPr>
                      <w:rFonts w:hint="default" w:ascii="Times New Roman" w:hAnsi="Times New Roman" w:eastAsia="宋体" w:cs="Times New Roman"/>
                      <w:sz w:val="21"/>
                      <w:szCs w:val="21"/>
                    </w:rPr>
                    <w:sym w:font="Wingdings 2" w:char="0052"/>
                  </w:r>
                </w:p>
                <w:p>
                  <w:pPr>
                    <w:widowControl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不达标区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6" w:type="pct"/>
                  <w:vMerge w:val="restart"/>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影响预测</w:t>
                  </w:r>
                </w:p>
              </w:tc>
              <w:tc>
                <w:tcPr>
                  <w:tcW w:w="488" w:type="pct"/>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预测</w:t>
                  </w:r>
                </w:p>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范围</w:t>
                  </w:r>
                </w:p>
              </w:tc>
              <w:tc>
                <w:tcPr>
                  <w:tcW w:w="3975" w:type="pct"/>
                  <w:gridSpan w:val="10"/>
                  <w:noWrap w:val="0"/>
                  <w:vAlign w:val="center"/>
                </w:tcPr>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河流：长度（）km；湖库、河口及近岸海域：面积（）km</w:t>
                  </w:r>
                  <w:r>
                    <w:rPr>
                      <w:rFonts w:hint="default" w:ascii="Times New Roman" w:hAnsi="Times New Roman" w:eastAsia="宋体" w:cs="Times New Roman"/>
                      <w:sz w:val="21"/>
                      <w:szCs w:val="21"/>
                      <w:vertAlign w:val="superscript"/>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6" w:type="pct"/>
                  <w:vMerge w:val="continue"/>
                  <w:noWrap w:val="0"/>
                  <w:vAlign w:val="center"/>
                </w:tcPr>
                <w:p>
                  <w:pPr>
                    <w:widowControl w:val="0"/>
                    <w:jc w:val="center"/>
                    <w:rPr>
                      <w:rFonts w:hint="default" w:ascii="Times New Roman" w:hAnsi="Times New Roman" w:eastAsia="宋体" w:cs="Times New Roman"/>
                      <w:sz w:val="21"/>
                      <w:szCs w:val="21"/>
                    </w:rPr>
                  </w:pPr>
                </w:p>
              </w:tc>
              <w:tc>
                <w:tcPr>
                  <w:tcW w:w="488" w:type="pct"/>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预测</w:t>
                  </w:r>
                </w:p>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因子</w:t>
                  </w:r>
                </w:p>
              </w:tc>
              <w:tc>
                <w:tcPr>
                  <w:tcW w:w="3975" w:type="pct"/>
                  <w:gridSpan w:val="10"/>
                  <w:noWrap w:val="0"/>
                  <w:vAlign w:val="center"/>
                </w:tcPr>
                <w:p>
                  <w:pPr>
                    <w:widowControl w:val="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6" w:type="pct"/>
                  <w:vMerge w:val="continue"/>
                  <w:noWrap w:val="0"/>
                  <w:vAlign w:val="center"/>
                </w:tcPr>
                <w:p>
                  <w:pPr>
                    <w:widowControl w:val="0"/>
                    <w:jc w:val="center"/>
                    <w:rPr>
                      <w:rFonts w:hint="default" w:ascii="Times New Roman" w:hAnsi="Times New Roman" w:eastAsia="宋体" w:cs="Times New Roman"/>
                      <w:sz w:val="21"/>
                      <w:szCs w:val="21"/>
                    </w:rPr>
                  </w:pPr>
                </w:p>
              </w:tc>
              <w:tc>
                <w:tcPr>
                  <w:tcW w:w="488" w:type="pct"/>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预测</w:t>
                  </w:r>
                </w:p>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时期</w:t>
                  </w:r>
                </w:p>
              </w:tc>
              <w:tc>
                <w:tcPr>
                  <w:tcW w:w="3975" w:type="pct"/>
                  <w:gridSpan w:val="10"/>
                  <w:noWrap w:val="0"/>
                  <w:vAlign w:val="center"/>
                </w:tcPr>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丰水期□；平水期□；枯水期□；冰封期□</w:t>
                  </w:r>
                </w:p>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春季□；夏季□；秋季□；冬季□设计水文条件□</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6" w:type="pct"/>
                  <w:vMerge w:val="continue"/>
                  <w:noWrap w:val="0"/>
                  <w:vAlign w:val="center"/>
                </w:tcPr>
                <w:p>
                  <w:pPr>
                    <w:widowControl w:val="0"/>
                    <w:jc w:val="center"/>
                    <w:rPr>
                      <w:rFonts w:hint="default" w:ascii="Times New Roman" w:hAnsi="Times New Roman" w:eastAsia="宋体" w:cs="Times New Roman"/>
                      <w:sz w:val="21"/>
                      <w:szCs w:val="21"/>
                    </w:rPr>
                  </w:pPr>
                </w:p>
              </w:tc>
              <w:tc>
                <w:tcPr>
                  <w:tcW w:w="488" w:type="pct"/>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预测</w:t>
                  </w:r>
                </w:p>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情景</w:t>
                  </w:r>
                </w:p>
              </w:tc>
              <w:tc>
                <w:tcPr>
                  <w:tcW w:w="3975" w:type="pct"/>
                  <w:gridSpan w:val="10"/>
                  <w:noWrap w:val="0"/>
                  <w:vAlign w:val="center"/>
                </w:tcPr>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建设期 □；生产运行期 □；服务期满后 □正常工况 □；非正常工况 □；</w:t>
                  </w:r>
                </w:p>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污染控制和减缓措施方案 □；区（流）域环境质量改善目标要求情景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6" w:type="pct"/>
                  <w:vMerge w:val="continue"/>
                  <w:noWrap w:val="0"/>
                  <w:vAlign w:val="center"/>
                </w:tcPr>
                <w:p>
                  <w:pPr>
                    <w:widowControl w:val="0"/>
                    <w:jc w:val="center"/>
                    <w:rPr>
                      <w:rFonts w:hint="default" w:ascii="Times New Roman" w:hAnsi="Times New Roman" w:eastAsia="宋体" w:cs="Times New Roman"/>
                      <w:sz w:val="21"/>
                      <w:szCs w:val="21"/>
                    </w:rPr>
                  </w:pPr>
                </w:p>
              </w:tc>
              <w:tc>
                <w:tcPr>
                  <w:tcW w:w="488" w:type="pct"/>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预测</w:t>
                  </w:r>
                </w:p>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方法</w:t>
                  </w:r>
                </w:p>
              </w:tc>
              <w:tc>
                <w:tcPr>
                  <w:tcW w:w="3975" w:type="pct"/>
                  <w:gridSpan w:val="10"/>
                  <w:noWrap w:val="0"/>
                  <w:vAlign w:val="center"/>
                </w:tcPr>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数值解 □：解析解 □；其他 □</w:t>
                  </w:r>
                </w:p>
                <w:p>
                  <w:pPr>
                    <w:widowControl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导则推荐模式 □：其他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jc w:val="center"/>
              </w:trPr>
              <w:tc>
                <w:tcPr>
                  <w:tcW w:w="536" w:type="pct"/>
                  <w:vMerge w:val="restart"/>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影响评价</w:t>
                  </w:r>
                </w:p>
              </w:tc>
              <w:tc>
                <w:tcPr>
                  <w:tcW w:w="488" w:type="pct"/>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水污染控制和水环境影响减缓措施有效性评价</w:t>
                  </w:r>
                </w:p>
              </w:tc>
              <w:tc>
                <w:tcPr>
                  <w:tcW w:w="3975" w:type="pct"/>
                  <w:gridSpan w:val="10"/>
                  <w:noWrap w:val="0"/>
                  <w:vAlign w:val="center"/>
                </w:tcPr>
                <w:p>
                  <w:pPr>
                    <w:widowControl w:val="0"/>
                    <w:autoSpaceDE w:val="0"/>
                    <w:autoSpaceDN w:val="0"/>
                    <w:adjustRightInd w:val="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区（流）域水环境质量改善目标 □；替代削减源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6" w:type="pct"/>
                  <w:vMerge w:val="continue"/>
                  <w:noWrap w:val="0"/>
                  <w:vAlign w:val="center"/>
                </w:tcPr>
                <w:p>
                  <w:pPr>
                    <w:widowControl w:val="0"/>
                    <w:jc w:val="center"/>
                    <w:rPr>
                      <w:rFonts w:hint="default" w:ascii="Times New Roman" w:hAnsi="Times New Roman" w:eastAsia="宋体" w:cs="Times New Roman"/>
                      <w:sz w:val="21"/>
                      <w:szCs w:val="21"/>
                    </w:rPr>
                  </w:pPr>
                </w:p>
              </w:tc>
              <w:tc>
                <w:tcPr>
                  <w:tcW w:w="488" w:type="pct"/>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水环境影响评价</w:t>
                  </w:r>
                </w:p>
              </w:tc>
              <w:tc>
                <w:tcPr>
                  <w:tcW w:w="3975" w:type="pct"/>
                  <w:gridSpan w:val="10"/>
                  <w:noWrap w:val="0"/>
                  <w:vAlign w:val="center"/>
                </w:tcPr>
                <w:p>
                  <w:pPr>
                    <w:widowControl w:val="0"/>
                    <w:autoSpaceDE w:val="0"/>
                    <w:autoSpaceDN w:val="0"/>
                    <w:adjustRightInd w:val="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排放口混合区外满足水环境管理要求 □</w:t>
                  </w:r>
                </w:p>
                <w:p>
                  <w:pPr>
                    <w:widowControl w:val="0"/>
                    <w:autoSpaceDE w:val="0"/>
                    <w:autoSpaceDN w:val="0"/>
                    <w:adjustRightInd w:val="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水环境功能区或水功能区、近岸海域环境功能区水质达标 □</w:t>
                  </w:r>
                </w:p>
                <w:p>
                  <w:pPr>
                    <w:widowControl w:val="0"/>
                    <w:autoSpaceDE w:val="0"/>
                    <w:autoSpaceDN w:val="0"/>
                    <w:adjustRightInd w:val="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满足水环境保护目标水域水环境质量要求 □</w:t>
                  </w:r>
                </w:p>
                <w:p>
                  <w:pPr>
                    <w:widowControl w:val="0"/>
                    <w:autoSpaceDE w:val="0"/>
                    <w:autoSpaceDN w:val="0"/>
                    <w:adjustRightInd w:val="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水环境控制单元或断面水质达标 □</w:t>
                  </w:r>
                </w:p>
                <w:p>
                  <w:pPr>
                    <w:widowControl w:val="0"/>
                    <w:autoSpaceDE w:val="0"/>
                    <w:autoSpaceDN w:val="0"/>
                    <w:adjustRightInd w:val="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满足重点水污染物排放总量控制指标要求，重点行业建设项目，主要污染物排放满足等量或减量替代要求 □</w:t>
                  </w:r>
                </w:p>
                <w:p>
                  <w:pPr>
                    <w:widowControl w:val="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满足区（流）域水环境质量改善目标要求 □</w:t>
                  </w:r>
                </w:p>
                <w:p>
                  <w:pPr>
                    <w:widowControl w:val="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水文要素影响型建设项目同时应包括水文情势变化评价、主要水文特征值影响评价、生态流量符合性评价 □</w:t>
                  </w:r>
                </w:p>
                <w:p>
                  <w:pPr>
                    <w:widowControl w:val="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对于新设或调整入河（湖库、近岸海域）排放口的建设项目，应包括排放口设置的环境合理性评价 □</w:t>
                  </w:r>
                </w:p>
                <w:p>
                  <w:pPr>
                    <w:widowControl w:val="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满足生态保护红线、水环境质量底线、资源利用上线和环境准入清单管理要求□</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6" w:type="pct"/>
                  <w:vMerge w:val="continue"/>
                  <w:noWrap w:val="0"/>
                  <w:vAlign w:val="center"/>
                </w:tcPr>
                <w:p>
                  <w:pPr>
                    <w:widowControl w:val="0"/>
                    <w:jc w:val="center"/>
                    <w:rPr>
                      <w:rFonts w:hint="default" w:ascii="Times New Roman" w:hAnsi="Times New Roman" w:eastAsia="宋体" w:cs="Times New Roman"/>
                      <w:sz w:val="21"/>
                      <w:szCs w:val="21"/>
                    </w:rPr>
                  </w:pPr>
                </w:p>
              </w:tc>
              <w:tc>
                <w:tcPr>
                  <w:tcW w:w="488" w:type="pct"/>
                  <w:vMerge w:val="restart"/>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污染源排放量核算</w:t>
                  </w:r>
                </w:p>
              </w:tc>
              <w:tc>
                <w:tcPr>
                  <w:tcW w:w="1206" w:type="pct"/>
                  <w:gridSpan w:val="3"/>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污染物名称</w:t>
                  </w:r>
                </w:p>
              </w:tc>
              <w:tc>
                <w:tcPr>
                  <w:tcW w:w="1588" w:type="pct"/>
                  <w:gridSpan w:val="4"/>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排放量/（t/a）</w:t>
                  </w:r>
                </w:p>
              </w:tc>
              <w:tc>
                <w:tcPr>
                  <w:tcW w:w="1179" w:type="pct"/>
                  <w:gridSpan w:val="3"/>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排放浓度/（mg/L）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jc w:val="center"/>
              </w:trPr>
              <w:tc>
                <w:tcPr>
                  <w:tcW w:w="536" w:type="pct"/>
                  <w:vMerge w:val="continue"/>
                  <w:noWrap w:val="0"/>
                  <w:vAlign w:val="center"/>
                </w:tcPr>
                <w:p>
                  <w:pPr>
                    <w:widowControl w:val="0"/>
                    <w:jc w:val="center"/>
                    <w:rPr>
                      <w:rFonts w:hint="default" w:ascii="Times New Roman" w:hAnsi="Times New Roman" w:eastAsia="宋体" w:cs="Times New Roman"/>
                      <w:sz w:val="21"/>
                      <w:szCs w:val="21"/>
                    </w:rPr>
                  </w:pPr>
                </w:p>
              </w:tc>
              <w:tc>
                <w:tcPr>
                  <w:tcW w:w="488" w:type="pct"/>
                  <w:vMerge w:val="continue"/>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p>
              </w:tc>
              <w:tc>
                <w:tcPr>
                  <w:tcW w:w="1206" w:type="pct"/>
                  <w:gridSpan w:val="3"/>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COD</w:t>
                  </w:r>
                </w:p>
              </w:tc>
              <w:tc>
                <w:tcPr>
                  <w:tcW w:w="1588" w:type="pct"/>
                  <w:gridSpan w:val="4"/>
                  <w:noWrap w:val="0"/>
                  <w:vAlign w:val="bottom"/>
                </w:tcPr>
                <w:p>
                  <w:pPr>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0.0576</w:t>
                  </w:r>
                </w:p>
              </w:tc>
              <w:tc>
                <w:tcPr>
                  <w:tcW w:w="1179" w:type="pct"/>
                  <w:gridSpan w:val="3"/>
                  <w:noWrap w:val="0"/>
                  <w:vAlign w:val="center"/>
                </w:tcPr>
                <w:p>
                  <w:pPr>
                    <w:widowControl w:val="0"/>
                    <w:autoSpaceDE w:val="0"/>
                    <w:autoSpaceDN w:val="0"/>
                    <w:adjustRightInd w:val="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300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6" w:type="pct"/>
                  <w:vMerge w:val="continue"/>
                  <w:noWrap w:val="0"/>
                  <w:vAlign w:val="center"/>
                </w:tcPr>
                <w:p>
                  <w:pPr>
                    <w:widowControl w:val="0"/>
                    <w:jc w:val="center"/>
                    <w:rPr>
                      <w:rFonts w:hint="default" w:ascii="Times New Roman" w:hAnsi="Times New Roman" w:eastAsia="宋体" w:cs="Times New Roman"/>
                      <w:sz w:val="21"/>
                      <w:szCs w:val="21"/>
                    </w:rPr>
                  </w:pPr>
                </w:p>
              </w:tc>
              <w:tc>
                <w:tcPr>
                  <w:tcW w:w="488" w:type="pct"/>
                  <w:vMerge w:val="continue"/>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p>
              </w:tc>
              <w:tc>
                <w:tcPr>
                  <w:tcW w:w="1206" w:type="pct"/>
                  <w:gridSpan w:val="3"/>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氨氮</w:t>
                  </w:r>
                </w:p>
              </w:tc>
              <w:tc>
                <w:tcPr>
                  <w:tcW w:w="1588" w:type="pct"/>
                  <w:gridSpan w:val="4"/>
                  <w:noWrap w:val="0"/>
                  <w:vAlign w:val="bottom"/>
                </w:tcPr>
                <w:p>
                  <w:pPr>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0.00384</w:t>
                  </w:r>
                </w:p>
              </w:tc>
              <w:tc>
                <w:tcPr>
                  <w:tcW w:w="1179" w:type="pct"/>
                  <w:gridSpan w:val="3"/>
                  <w:noWrap w:val="0"/>
                  <w:vAlign w:val="center"/>
                </w:tcPr>
                <w:p>
                  <w:pPr>
                    <w:widowControl w:val="0"/>
                    <w:autoSpaceDE w:val="0"/>
                    <w:autoSpaceDN w:val="0"/>
                    <w:adjustRightInd w:val="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6" w:type="pct"/>
                  <w:vMerge w:val="continue"/>
                  <w:noWrap w:val="0"/>
                  <w:vAlign w:val="center"/>
                </w:tcPr>
                <w:p>
                  <w:pPr>
                    <w:widowControl w:val="0"/>
                    <w:jc w:val="center"/>
                    <w:rPr>
                      <w:rFonts w:hint="default" w:ascii="Times New Roman" w:hAnsi="Times New Roman" w:eastAsia="宋体" w:cs="Times New Roman"/>
                      <w:sz w:val="21"/>
                      <w:szCs w:val="21"/>
                    </w:rPr>
                  </w:pPr>
                </w:p>
              </w:tc>
              <w:tc>
                <w:tcPr>
                  <w:tcW w:w="488" w:type="pct"/>
                  <w:vMerge w:val="restart"/>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替代源排放情况</w:t>
                  </w:r>
                </w:p>
              </w:tc>
              <w:tc>
                <w:tcPr>
                  <w:tcW w:w="1206" w:type="pct"/>
                  <w:gridSpan w:val="3"/>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污染源名称</w:t>
                  </w:r>
                </w:p>
              </w:tc>
              <w:tc>
                <w:tcPr>
                  <w:tcW w:w="874" w:type="pct"/>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排污许可证编号</w:t>
                  </w:r>
                </w:p>
              </w:tc>
              <w:tc>
                <w:tcPr>
                  <w:tcW w:w="713" w:type="pct"/>
                  <w:gridSpan w:val="3"/>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污染物名称</w:t>
                  </w:r>
                </w:p>
              </w:tc>
              <w:tc>
                <w:tcPr>
                  <w:tcW w:w="585" w:type="pct"/>
                  <w:gridSpan w:val="2"/>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排放量/（t/a）</w:t>
                  </w:r>
                </w:p>
              </w:tc>
              <w:tc>
                <w:tcPr>
                  <w:tcW w:w="593" w:type="pct"/>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排放浓度/（mg/L）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jc w:val="center"/>
              </w:trPr>
              <w:tc>
                <w:tcPr>
                  <w:tcW w:w="536" w:type="pct"/>
                  <w:vMerge w:val="continue"/>
                  <w:noWrap w:val="0"/>
                  <w:vAlign w:val="center"/>
                </w:tcPr>
                <w:p>
                  <w:pPr>
                    <w:widowControl w:val="0"/>
                    <w:jc w:val="center"/>
                    <w:rPr>
                      <w:rFonts w:hint="default" w:ascii="Times New Roman" w:hAnsi="Times New Roman" w:eastAsia="宋体" w:cs="Times New Roman"/>
                      <w:sz w:val="21"/>
                      <w:szCs w:val="21"/>
                    </w:rPr>
                  </w:pPr>
                </w:p>
              </w:tc>
              <w:tc>
                <w:tcPr>
                  <w:tcW w:w="488" w:type="pct"/>
                  <w:vMerge w:val="continue"/>
                  <w:noWrap w:val="0"/>
                  <w:vAlign w:val="center"/>
                </w:tcPr>
                <w:p>
                  <w:pPr>
                    <w:widowControl w:val="0"/>
                    <w:jc w:val="center"/>
                    <w:rPr>
                      <w:rFonts w:hint="default" w:ascii="Times New Roman" w:hAnsi="Times New Roman" w:eastAsia="宋体" w:cs="Times New Roman"/>
                      <w:sz w:val="21"/>
                      <w:szCs w:val="21"/>
                    </w:rPr>
                  </w:pPr>
                </w:p>
              </w:tc>
              <w:tc>
                <w:tcPr>
                  <w:tcW w:w="1206" w:type="pct"/>
                  <w:gridSpan w:val="3"/>
                  <w:noWrap w:val="0"/>
                  <w:vAlign w:val="center"/>
                </w:tcPr>
                <w:p>
                  <w:pPr>
                    <w:widowControl w:val="0"/>
                    <w:jc w:val="center"/>
                    <w:rPr>
                      <w:rFonts w:hint="default" w:ascii="Times New Roman" w:hAnsi="Times New Roman" w:eastAsia="宋体" w:cs="Times New Roman"/>
                      <w:sz w:val="21"/>
                      <w:szCs w:val="21"/>
                    </w:rPr>
                  </w:pPr>
                </w:p>
              </w:tc>
              <w:tc>
                <w:tcPr>
                  <w:tcW w:w="874" w:type="pct"/>
                  <w:noWrap w:val="0"/>
                  <w:vAlign w:val="center"/>
                </w:tcPr>
                <w:p>
                  <w:pPr>
                    <w:widowControl w:val="0"/>
                    <w:jc w:val="center"/>
                    <w:rPr>
                      <w:rFonts w:hint="default" w:ascii="Times New Roman" w:hAnsi="Times New Roman" w:eastAsia="宋体" w:cs="Times New Roman"/>
                      <w:sz w:val="21"/>
                      <w:szCs w:val="21"/>
                    </w:rPr>
                  </w:pPr>
                </w:p>
              </w:tc>
              <w:tc>
                <w:tcPr>
                  <w:tcW w:w="713" w:type="pct"/>
                  <w:gridSpan w:val="3"/>
                  <w:noWrap w:val="0"/>
                  <w:vAlign w:val="center"/>
                </w:tcPr>
                <w:p>
                  <w:pPr>
                    <w:widowControl w:val="0"/>
                    <w:jc w:val="center"/>
                    <w:rPr>
                      <w:rFonts w:hint="default" w:ascii="Times New Roman" w:hAnsi="Times New Roman" w:eastAsia="宋体" w:cs="Times New Roman"/>
                      <w:sz w:val="21"/>
                      <w:szCs w:val="21"/>
                    </w:rPr>
                  </w:pPr>
                </w:p>
              </w:tc>
              <w:tc>
                <w:tcPr>
                  <w:tcW w:w="585" w:type="pct"/>
                  <w:gridSpan w:val="2"/>
                  <w:noWrap w:val="0"/>
                  <w:vAlign w:val="center"/>
                </w:tcPr>
                <w:p>
                  <w:pPr>
                    <w:widowControl w:val="0"/>
                    <w:jc w:val="center"/>
                    <w:rPr>
                      <w:rFonts w:hint="default" w:ascii="Times New Roman" w:hAnsi="Times New Roman" w:eastAsia="宋体" w:cs="Times New Roman"/>
                      <w:sz w:val="21"/>
                      <w:szCs w:val="21"/>
                    </w:rPr>
                  </w:pPr>
                </w:p>
              </w:tc>
              <w:tc>
                <w:tcPr>
                  <w:tcW w:w="593" w:type="pct"/>
                  <w:noWrap w:val="0"/>
                  <w:vAlign w:val="center"/>
                </w:tcPr>
                <w:p>
                  <w:pPr>
                    <w:widowControl w:val="0"/>
                    <w:jc w:val="center"/>
                    <w:rPr>
                      <w:rFonts w:hint="default" w:ascii="Times New Roman" w:hAnsi="Times New Roman" w:eastAsia="宋体"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6" w:type="pct"/>
                  <w:vMerge w:val="continue"/>
                  <w:noWrap w:val="0"/>
                  <w:vAlign w:val="center"/>
                </w:tcPr>
                <w:p>
                  <w:pPr>
                    <w:widowControl w:val="0"/>
                    <w:jc w:val="center"/>
                    <w:rPr>
                      <w:rFonts w:hint="default" w:ascii="Times New Roman" w:hAnsi="Times New Roman" w:eastAsia="宋体" w:cs="Times New Roman"/>
                      <w:sz w:val="21"/>
                      <w:szCs w:val="21"/>
                    </w:rPr>
                  </w:pPr>
                </w:p>
              </w:tc>
              <w:tc>
                <w:tcPr>
                  <w:tcW w:w="488" w:type="pct"/>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生态流量确定</w:t>
                  </w:r>
                </w:p>
              </w:tc>
              <w:tc>
                <w:tcPr>
                  <w:tcW w:w="3975" w:type="pct"/>
                  <w:gridSpan w:val="10"/>
                  <w:noWrap w:val="0"/>
                  <w:vAlign w:val="center"/>
                </w:tcPr>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生态流量：一般水期（）m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/s；鱼类繁殖期（）m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/s；其他（）m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/s</w:t>
                  </w:r>
                </w:p>
                <w:p>
                  <w:pPr>
                    <w:widowControl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生态水位：一般水期（）m；鱼类繁殖期（）m；其他（）m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6" w:type="pct"/>
                  <w:vMerge w:val="restart"/>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防治措施</w:t>
                  </w:r>
                </w:p>
              </w:tc>
              <w:tc>
                <w:tcPr>
                  <w:tcW w:w="488" w:type="pct"/>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环保措施</w:t>
                  </w:r>
                </w:p>
              </w:tc>
              <w:tc>
                <w:tcPr>
                  <w:tcW w:w="3975" w:type="pct"/>
                  <w:gridSpan w:val="10"/>
                  <w:noWrap w:val="0"/>
                  <w:vAlign w:val="center"/>
                </w:tcPr>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污水处理设施□；水文减缓设施 □；生态流量保障设施 □；区域削减 □；</w:t>
                  </w:r>
                </w:p>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依托其他工程措施 □；其他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jc w:val="center"/>
              </w:trPr>
              <w:tc>
                <w:tcPr>
                  <w:tcW w:w="536" w:type="pct"/>
                  <w:vMerge w:val="continue"/>
                  <w:noWrap w:val="0"/>
                  <w:vAlign w:val="center"/>
                </w:tcPr>
                <w:p>
                  <w:pPr>
                    <w:widowControl w:val="0"/>
                    <w:jc w:val="center"/>
                    <w:rPr>
                      <w:rFonts w:hint="default" w:ascii="Times New Roman" w:hAnsi="Times New Roman" w:eastAsia="宋体" w:cs="Times New Roman"/>
                      <w:sz w:val="21"/>
                      <w:szCs w:val="21"/>
                    </w:rPr>
                  </w:pPr>
                </w:p>
              </w:tc>
              <w:tc>
                <w:tcPr>
                  <w:tcW w:w="488" w:type="pct"/>
                  <w:vMerge w:val="restart"/>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监测计划</w:t>
                  </w:r>
                </w:p>
              </w:tc>
              <w:tc>
                <w:tcPr>
                  <w:tcW w:w="617" w:type="pct"/>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1604" w:type="pct"/>
                  <w:gridSpan w:val="5"/>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环境质量</w:t>
                  </w:r>
                </w:p>
              </w:tc>
              <w:tc>
                <w:tcPr>
                  <w:tcW w:w="1753" w:type="pct"/>
                  <w:gridSpan w:val="4"/>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污染源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6" w:type="pct"/>
                  <w:vMerge w:val="continue"/>
                  <w:noWrap w:val="0"/>
                  <w:vAlign w:val="center"/>
                </w:tcPr>
                <w:p>
                  <w:pPr>
                    <w:widowControl w:val="0"/>
                    <w:jc w:val="center"/>
                    <w:rPr>
                      <w:rFonts w:hint="default" w:ascii="Times New Roman" w:hAnsi="Times New Roman" w:eastAsia="宋体" w:cs="Times New Roman"/>
                      <w:sz w:val="21"/>
                      <w:szCs w:val="21"/>
                    </w:rPr>
                  </w:pPr>
                </w:p>
              </w:tc>
              <w:tc>
                <w:tcPr>
                  <w:tcW w:w="488" w:type="pct"/>
                  <w:vMerge w:val="continue"/>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p>
              </w:tc>
              <w:tc>
                <w:tcPr>
                  <w:tcW w:w="617" w:type="pct"/>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监测方式</w:t>
                  </w:r>
                </w:p>
              </w:tc>
              <w:tc>
                <w:tcPr>
                  <w:tcW w:w="1604" w:type="pct"/>
                  <w:gridSpan w:val="5"/>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手动 □；自动 □；无监测</w:t>
                  </w:r>
                  <w:r>
                    <w:rPr>
                      <w:rFonts w:hint="default" w:ascii="Times New Roman" w:hAnsi="Times New Roman" w:eastAsia="宋体" w:cs="Times New Roman"/>
                      <w:sz w:val="21"/>
                      <w:szCs w:val="21"/>
                    </w:rPr>
                    <w:sym w:font="Wingdings 2" w:char="00A3"/>
                  </w:r>
                </w:p>
              </w:tc>
              <w:tc>
                <w:tcPr>
                  <w:tcW w:w="1753" w:type="pct"/>
                  <w:gridSpan w:val="4"/>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手动 </w:t>
                  </w:r>
                  <w:r>
                    <w:rPr>
                      <w:rFonts w:hint="default" w:ascii="Times New Roman" w:hAnsi="Times New Roman" w:eastAsia="宋体" w:cs="Times New Roman"/>
                      <w:sz w:val="21"/>
                      <w:szCs w:val="21"/>
                    </w:rPr>
                    <w:sym w:font="Wingdings 2" w:char="00A3"/>
                  </w:r>
                  <w:r>
                    <w:rPr>
                      <w:rFonts w:hint="default" w:ascii="Times New Roman" w:hAnsi="Times New Roman" w:eastAsia="宋体" w:cs="Times New Roman"/>
                      <w:sz w:val="21"/>
                      <w:szCs w:val="21"/>
                    </w:rPr>
                    <w:t>；自动 □；无监测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6" w:type="pct"/>
                  <w:vMerge w:val="continue"/>
                  <w:noWrap w:val="0"/>
                  <w:vAlign w:val="center"/>
                </w:tcPr>
                <w:p>
                  <w:pPr>
                    <w:widowControl w:val="0"/>
                    <w:jc w:val="center"/>
                    <w:rPr>
                      <w:rFonts w:hint="default" w:ascii="Times New Roman" w:hAnsi="Times New Roman" w:eastAsia="宋体" w:cs="Times New Roman"/>
                      <w:sz w:val="21"/>
                      <w:szCs w:val="21"/>
                    </w:rPr>
                  </w:pPr>
                </w:p>
              </w:tc>
              <w:tc>
                <w:tcPr>
                  <w:tcW w:w="488" w:type="pct"/>
                  <w:vMerge w:val="continue"/>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p>
              </w:tc>
              <w:tc>
                <w:tcPr>
                  <w:tcW w:w="617" w:type="pct"/>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监测点位</w:t>
                  </w:r>
                </w:p>
              </w:tc>
              <w:tc>
                <w:tcPr>
                  <w:tcW w:w="1604" w:type="pct"/>
                  <w:gridSpan w:val="5"/>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1753" w:type="pct"/>
                  <w:gridSpan w:val="4"/>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企业排放</w:t>
                  </w:r>
                  <w:r>
                    <w:rPr>
                      <w:rFonts w:hint="default" w:ascii="Times New Roman" w:hAnsi="Times New Roman" w:eastAsia="宋体" w:cs="Times New Roman"/>
                      <w:sz w:val="21"/>
                      <w:szCs w:val="21"/>
                    </w:rPr>
                    <w:sym w:font="Wingdings 2" w:char="00A3"/>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jc w:val="center"/>
              </w:trPr>
              <w:tc>
                <w:tcPr>
                  <w:tcW w:w="536" w:type="pct"/>
                  <w:vMerge w:val="continue"/>
                  <w:noWrap w:val="0"/>
                  <w:vAlign w:val="center"/>
                </w:tcPr>
                <w:p>
                  <w:pPr>
                    <w:widowControl w:val="0"/>
                    <w:jc w:val="center"/>
                    <w:rPr>
                      <w:rFonts w:hint="default" w:ascii="Times New Roman" w:hAnsi="Times New Roman" w:eastAsia="宋体" w:cs="Times New Roman"/>
                      <w:sz w:val="21"/>
                      <w:szCs w:val="21"/>
                    </w:rPr>
                  </w:pPr>
                </w:p>
              </w:tc>
              <w:tc>
                <w:tcPr>
                  <w:tcW w:w="488" w:type="pct"/>
                  <w:vMerge w:val="continue"/>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p>
              </w:tc>
              <w:tc>
                <w:tcPr>
                  <w:tcW w:w="617" w:type="pct"/>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监测因子</w:t>
                  </w:r>
                </w:p>
              </w:tc>
              <w:tc>
                <w:tcPr>
                  <w:tcW w:w="1604" w:type="pct"/>
                  <w:gridSpan w:val="5"/>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1753" w:type="pct"/>
                  <w:gridSpan w:val="4"/>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COD、氨氮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6" w:type="pct"/>
                  <w:vMerge w:val="continue"/>
                  <w:noWrap w:val="0"/>
                  <w:vAlign w:val="center"/>
                </w:tcPr>
                <w:p>
                  <w:pPr>
                    <w:widowControl w:val="0"/>
                    <w:jc w:val="center"/>
                    <w:rPr>
                      <w:rFonts w:hint="default" w:ascii="Times New Roman" w:hAnsi="Times New Roman" w:eastAsia="宋体" w:cs="Times New Roman"/>
                      <w:sz w:val="21"/>
                      <w:szCs w:val="21"/>
                    </w:rPr>
                  </w:pPr>
                </w:p>
              </w:tc>
              <w:tc>
                <w:tcPr>
                  <w:tcW w:w="488" w:type="pct"/>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污染物排放清单</w:t>
                  </w:r>
                </w:p>
              </w:tc>
              <w:tc>
                <w:tcPr>
                  <w:tcW w:w="3975" w:type="pct"/>
                  <w:gridSpan w:val="10"/>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COD、氨氮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24" w:type="pct"/>
                  <w:gridSpan w:val="2"/>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评价结论</w:t>
                  </w:r>
                </w:p>
              </w:tc>
              <w:tc>
                <w:tcPr>
                  <w:tcW w:w="3975" w:type="pct"/>
                  <w:gridSpan w:val="10"/>
                  <w:noWrap w:val="0"/>
                  <w:vAlign w:val="center"/>
                </w:tcPr>
                <w:p>
                  <w:pPr>
                    <w:widowControl w:val="0"/>
                    <w:autoSpaceDE w:val="0"/>
                    <w:autoSpaceDN w:val="0"/>
                    <w:adjustRightInd w:val="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可以接受 </w:t>
                  </w:r>
                  <w:r>
                    <w:rPr>
                      <w:rFonts w:hint="default" w:ascii="Times New Roman" w:hAnsi="Times New Roman" w:eastAsia="宋体" w:cs="Times New Roman"/>
                      <w:sz w:val="21"/>
                      <w:szCs w:val="21"/>
                    </w:rPr>
                    <w:sym w:font="Wingdings 2" w:char="0052"/>
                  </w:r>
                  <w:r>
                    <w:rPr>
                      <w:rFonts w:hint="default" w:ascii="Times New Roman" w:hAnsi="Times New Roman" w:eastAsia="宋体" w:cs="Times New Roman"/>
                      <w:sz w:val="21"/>
                      <w:szCs w:val="21"/>
                    </w:rPr>
                    <w:t>；不可以接受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12"/>
                  <w:noWrap w:val="0"/>
                  <w:vAlign w:val="center"/>
                </w:tcPr>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注：“ □”为勾选项，可√；“（）”为内容填写项；“备注”为其他补充内容。</w:t>
                  </w:r>
                </w:p>
              </w:tc>
            </w:tr>
          </w:tbl>
          <w:p>
            <w:pPr>
              <w:autoSpaceDE w:val="0"/>
              <w:autoSpaceDN w:val="0"/>
              <w:spacing w:before="50" w:line="520" w:lineRule="exact"/>
              <w:ind w:firstLine="482"/>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1.2地下水环境影响分析</w:t>
            </w:r>
          </w:p>
          <w:p>
            <w:pPr>
              <w:pStyle w:val="35"/>
              <w:ind w:firstLine="480"/>
              <w:rPr>
                <w:rFonts w:ascii="Times New Roman" w:hAnsi="Times New Roman"/>
              </w:rPr>
            </w:pPr>
            <w:r>
              <w:rPr>
                <w:rFonts w:hint="eastAsia" w:ascii="Times New Roman" w:hAnsi="Times New Roman"/>
                <w:bCs/>
              </w:rPr>
              <w:t>依据《建设项目环境影响评价分类管理名录》（环境保护部令第</w:t>
            </w:r>
            <w:r>
              <w:rPr>
                <w:rFonts w:ascii="Times New Roman" w:hAnsi="Times New Roman"/>
                <w:bCs/>
              </w:rPr>
              <w:t>44</w:t>
            </w:r>
            <w:r>
              <w:rPr>
                <w:rFonts w:hint="eastAsia" w:ascii="Times New Roman" w:hAnsi="Times New Roman"/>
                <w:bCs/>
              </w:rPr>
              <w:t>号）和《关于修改建设项目环境影响评价分类管理名录部分内容的决定》（生态环境部令第</w:t>
            </w:r>
            <w:r>
              <w:rPr>
                <w:rFonts w:ascii="Times New Roman" w:hAnsi="Times New Roman"/>
                <w:bCs/>
              </w:rPr>
              <w:t>1</w:t>
            </w:r>
            <w:r>
              <w:rPr>
                <w:rFonts w:hint="eastAsia" w:ascii="Times New Roman" w:hAnsi="Times New Roman"/>
                <w:bCs/>
              </w:rPr>
              <w:t>号），本项目属于第二十四项“</w:t>
            </w:r>
            <w:r>
              <w:rPr>
                <w:rFonts w:hint="eastAsia" w:ascii="Times New Roman" w:hAnsi="Times New Roman"/>
                <w:kern w:val="0"/>
              </w:rPr>
              <w:t>专用设备制造业</w:t>
            </w:r>
            <w:r>
              <w:rPr>
                <w:rFonts w:hint="eastAsia" w:ascii="Times New Roman" w:hAnsi="Times New Roman"/>
                <w:bCs/>
              </w:rPr>
              <w:t>”类别中的第70项“</w:t>
            </w:r>
            <w:r>
              <w:rPr>
                <w:rFonts w:hint="eastAsia" w:ascii="Times New Roman" w:hAnsi="Times New Roman"/>
                <w:kern w:val="0"/>
              </w:rPr>
              <w:t>专用设备制造及维修</w:t>
            </w:r>
            <w:r>
              <w:rPr>
                <w:rFonts w:hint="eastAsia" w:ascii="Times New Roman" w:hAnsi="Times New Roman"/>
                <w:bCs/>
              </w:rPr>
              <w:t>”。对比《环境影响评价技术导则</w:t>
            </w:r>
            <w:r>
              <w:rPr>
                <w:rFonts w:ascii="Times New Roman" w:hAnsi="Times New Roman"/>
                <w:bCs/>
              </w:rPr>
              <w:t xml:space="preserve"> </w:t>
            </w:r>
            <w:r>
              <w:rPr>
                <w:rFonts w:hint="eastAsia" w:ascii="Times New Roman" w:hAnsi="Times New Roman"/>
                <w:bCs/>
              </w:rPr>
              <w:t>地下水环境》（</w:t>
            </w:r>
            <w:r>
              <w:rPr>
                <w:rFonts w:ascii="Times New Roman" w:hAnsi="Times New Roman"/>
                <w:bCs/>
              </w:rPr>
              <w:t>HJ610-2016</w:t>
            </w:r>
            <w:r>
              <w:rPr>
                <w:rFonts w:hint="eastAsia" w:ascii="Times New Roman" w:hAnsi="Times New Roman"/>
                <w:bCs/>
              </w:rPr>
              <w:t>）可知，本项目属“</w:t>
            </w:r>
            <w:r>
              <w:rPr>
                <w:rFonts w:ascii="Times New Roman" w:hAnsi="Times New Roman"/>
                <w:bCs/>
              </w:rPr>
              <w:t>K-</w:t>
            </w:r>
            <w:r>
              <w:rPr>
                <w:rFonts w:hint="eastAsia" w:ascii="Times New Roman" w:hAnsi="Times New Roman"/>
                <w:bCs/>
              </w:rPr>
              <w:t>机械、电子”第</w:t>
            </w:r>
            <w:r>
              <w:rPr>
                <w:rFonts w:ascii="Times New Roman" w:hAnsi="Times New Roman"/>
                <w:bCs/>
              </w:rPr>
              <w:t>71</w:t>
            </w:r>
            <w:r>
              <w:rPr>
                <w:rFonts w:hint="eastAsia" w:ascii="Times New Roman" w:hAnsi="Times New Roman"/>
                <w:bCs/>
              </w:rPr>
              <w:t>项“通用、专用设备制造及维修”分类，其中含电镀或喷漆工艺编制报告书的地下水环境影响评价项目类别属于Ⅲ类，其他编制报告表的地下水环境影响评价项目类别属于</w:t>
            </w:r>
            <w:r>
              <w:rPr>
                <w:rFonts w:ascii="Times New Roman" w:hAnsi="Times New Roman"/>
                <w:bCs/>
              </w:rPr>
              <w:t>IV</w:t>
            </w:r>
            <w:r>
              <w:rPr>
                <w:rFonts w:hint="eastAsia" w:ascii="Times New Roman" w:hAnsi="Times New Roman"/>
                <w:bCs/>
              </w:rPr>
              <w:t>类建设项目。本项目不涉及电镀或喷漆工艺，应编制报告表，地下水环境影响评价项目类别属</w:t>
            </w:r>
            <w:r>
              <w:rPr>
                <w:rFonts w:ascii="Times New Roman" w:hAnsi="Times New Roman"/>
                <w:bCs/>
              </w:rPr>
              <w:t>IV</w:t>
            </w:r>
            <w:r>
              <w:rPr>
                <w:rFonts w:hint="eastAsia" w:ascii="Times New Roman" w:hAnsi="Times New Roman"/>
                <w:bCs/>
              </w:rPr>
              <w:t>类，可不再开展地下水环境影响评价</w:t>
            </w:r>
            <w:r>
              <w:rPr>
                <w:rFonts w:hint="eastAsia" w:ascii="Times New Roman" w:hAnsi="Times New Roman"/>
              </w:rPr>
              <w:t>。</w:t>
            </w:r>
          </w:p>
          <w:p>
            <w:pPr>
              <w:spacing w:line="520" w:lineRule="exact"/>
              <w:ind w:firstLine="480"/>
              <w:rPr>
                <w:rFonts w:ascii="Times New Roman" w:hAnsi="Times New Roman" w:eastAsia="宋体"/>
                <w:b/>
                <w:sz w:val="24"/>
              </w:rPr>
            </w:pPr>
            <w:r>
              <w:rPr>
                <w:rFonts w:hint="eastAsia" w:ascii="Times New Roman" w:hAnsi="Times New Roman" w:eastAsia="宋体"/>
                <w:b/>
                <w:sz w:val="24"/>
                <w:lang w:val="en-US" w:eastAsia="zh-CN"/>
              </w:rPr>
              <w:t>2</w:t>
            </w:r>
            <w:r>
              <w:rPr>
                <w:rFonts w:ascii="Times New Roman" w:hAnsi="Times New Roman" w:eastAsia="宋体"/>
                <w:b/>
                <w:sz w:val="24"/>
              </w:rPr>
              <w:t>、大气环境影响分析</w:t>
            </w:r>
          </w:p>
          <w:p>
            <w:pPr>
              <w:spacing w:line="520" w:lineRule="exact"/>
              <w:ind w:firstLine="480" w:firstLineChars="200"/>
              <w:rPr>
                <w:rFonts w:ascii="Times New Roman" w:hAnsi="Times New Roman" w:eastAsia="宋体"/>
                <w:kern w:val="0"/>
                <w:sz w:val="24"/>
              </w:rPr>
            </w:pPr>
            <w:r>
              <w:rPr>
                <w:rFonts w:hint="eastAsia" w:ascii="Times New Roman" w:hAnsi="Times New Roman" w:eastAsia="宋体"/>
                <w:kern w:val="0"/>
                <w:sz w:val="24"/>
              </w:rPr>
              <w:t>根据工程分析可知，本项目运行后产生的废气主要为焊接设备产生的焊接烟尘</w:t>
            </w:r>
            <w:r>
              <w:rPr>
                <w:rFonts w:hint="eastAsia" w:ascii="Times New Roman" w:hAnsi="Times New Roman" w:eastAsia="宋体"/>
                <w:kern w:val="0"/>
                <w:sz w:val="24"/>
                <w:lang w:eastAsia="zh-CN"/>
              </w:rPr>
              <w:t>、下料和机加工产生的金属粉尘</w:t>
            </w:r>
            <w:r>
              <w:rPr>
                <w:rFonts w:hint="eastAsia" w:ascii="Times New Roman" w:hAnsi="Times New Roman" w:eastAsia="宋体"/>
                <w:kern w:val="0"/>
                <w:sz w:val="24"/>
              </w:rPr>
              <w:t>。</w:t>
            </w:r>
          </w:p>
          <w:p>
            <w:pPr>
              <w:spacing w:line="520" w:lineRule="exact"/>
              <w:ind w:firstLine="480" w:firstLineChars="200"/>
              <w:rPr>
                <w:rFonts w:hint="default" w:ascii="Times New Roman" w:hAnsi="Times New Roman" w:eastAsia="宋体" w:cs="Times New Roman"/>
                <w:kern w:val="0"/>
                <w:sz w:val="24"/>
              </w:rPr>
            </w:pPr>
            <w:r>
              <w:rPr>
                <w:rFonts w:hint="default" w:ascii="Times New Roman" w:hAnsi="Times New Roman" w:eastAsia="宋体" w:cs="Times New Roman"/>
                <w:kern w:val="0"/>
                <w:sz w:val="24"/>
              </w:rPr>
              <w:t>本项目</w:t>
            </w:r>
            <w:r>
              <w:rPr>
                <w:rFonts w:hint="eastAsia" w:ascii="Times New Roman" w:hAnsi="Times New Roman" w:eastAsia="宋体" w:cs="Times New Roman"/>
                <w:kern w:val="0"/>
                <w:sz w:val="24"/>
                <w:lang w:eastAsia="zh-CN"/>
              </w:rPr>
              <w:t>焊接车间</w:t>
            </w:r>
            <w:r>
              <w:rPr>
                <w:rFonts w:hint="default" w:ascii="Times New Roman" w:hAnsi="Times New Roman" w:eastAsia="宋体" w:cs="Times New Roman"/>
                <w:kern w:val="0"/>
                <w:sz w:val="24"/>
                <w:lang w:eastAsia="zh-CN"/>
              </w:rPr>
              <w:t>设置</w:t>
            </w:r>
            <w:r>
              <w:rPr>
                <w:rFonts w:hint="eastAsia" w:ascii="Times New Roman" w:hAnsi="Times New Roman" w:eastAsia="宋体" w:cs="Times New Roman"/>
                <w:kern w:val="0"/>
                <w:sz w:val="24"/>
                <w:lang w:val="en-US" w:eastAsia="zh-CN"/>
              </w:rPr>
              <w:t>1</w:t>
            </w:r>
            <w:r>
              <w:rPr>
                <w:rFonts w:hint="default" w:ascii="Times New Roman" w:hAnsi="Times New Roman" w:eastAsia="宋体" w:cs="Times New Roman"/>
                <w:kern w:val="0"/>
                <w:sz w:val="24"/>
                <w:lang w:val="en-US" w:eastAsia="zh-CN"/>
              </w:rPr>
              <w:t>个焊接点位</w:t>
            </w:r>
            <w:r>
              <w:rPr>
                <w:rFonts w:hint="default" w:ascii="Times New Roman" w:hAnsi="Times New Roman" w:eastAsia="宋体" w:cs="Times New Roman"/>
                <w:kern w:val="0"/>
                <w:sz w:val="24"/>
              </w:rPr>
              <w:t>，</w:t>
            </w:r>
            <w:r>
              <w:rPr>
                <w:rFonts w:hint="default" w:ascii="Times New Roman" w:hAnsi="Times New Roman" w:eastAsia="宋体" w:cs="Times New Roman"/>
                <w:kern w:val="0"/>
                <w:sz w:val="24"/>
                <w:lang w:eastAsia="zh-CN"/>
              </w:rPr>
              <w:t>配套建设</w:t>
            </w:r>
            <w:r>
              <w:rPr>
                <w:rFonts w:hint="eastAsia" w:ascii="Times New Roman" w:hAnsi="Times New Roman" w:eastAsia="宋体" w:cs="Times New Roman"/>
                <w:kern w:val="0"/>
                <w:sz w:val="24"/>
                <w:lang w:val="en-US" w:eastAsia="zh-CN"/>
              </w:rPr>
              <w:t>1个</w:t>
            </w:r>
            <w:r>
              <w:rPr>
                <w:rFonts w:hint="default" w:ascii="Times New Roman" w:hAnsi="Times New Roman" w:eastAsia="宋体" w:cs="Times New Roman"/>
                <w:kern w:val="0"/>
                <w:sz w:val="24"/>
                <w:lang w:val="en-US" w:eastAsia="zh-CN"/>
              </w:rPr>
              <w:t>移动式焊接烟尘净化器，</w:t>
            </w:r>
            <w:r>
              <w:rPr>
                <w:rFonts w:hint="default" w:ascii="Times New Roman" w:hAnsi="Times New Roman" w:eastAsia="宋体" w:cs="Times New Roman"/>
                <w:kern w:val="0"/>
                <w:sz w:val="24"/>
              </w:rPr>
              <w:t>收集处理焊接过程产生的少量烟尘，收集效率</w:t>
            </w:r>
            <w:r>
              <w:rPr>
                <w:rFonts w:hint="default" w:ascii="Times New Roman" w:hAnsi="Times New Roman" w:eastAsia="宋体" w:cs="Times New Roman"/>
                <w:kern w:val="0"/>
                <w:sz w:val="24"/>
                <w:lang w:eastAsia="zh-CN"/>
              </w:rPr>
              <w:t>约</w:t>
            </w:r>
            <w:r>
              <w:rPr>
                <w:rFonts w:hint="default" w:ascii="Times New Roman" w:hAnsi="Times New Roman" w:eastAsia="宋体" w:cs="Times New Roman"/>
                <w:kern w:val="0"/>
                <w:sz w:val="24"/>
                <w:lang w:val="en-US" w:eastAsia="zh-CN"/>
              </w:rPr>
              <w:t>80</w:t>
            </w:r>
            <w:r>
              <w:rPr>
                <w:rFonts w:hint="default" w:ascii="Times New Roman" w:hAnsi="Times New Roman" w:eastAsia="宋体" w:cs="Times New Roman"/>
                <w:kern w:val="0"/>
                <w:sz w:val="24"/>
              </w:rPr>
              <w:t>%</w:t>
            </w:r>
            <w:r>
              <w:rPr>
                <w:rFonts w:hint="default" w:ascii="Times New Roman" w:hAnsi="Times New Roman" w:eastAsia="宋体" w:cs="Times New Roman"/>
                <w:kern w:val="0"/>
                <w:sz w:val="24"/>
                <w:lang w:eastAsia="zh-CN"/>
              </w:rPr>
              <w:t>，处理效率约为</w:t>
            </w:r>
            <w:r>
              <w:rPr>
                <w:rFonts w:hint="default" w:ascii="Times New Roman" w:hAnsi="Times New Roman" w:eastAsia="宋体" w:cs="Times New Roman"/>
                <w:kern w:val="0"/>
                <w:sz w:val="24"/>
                <w:lang w:val="en-US" w:eastAsia="zh-CN"/>
              </w:rPr>
              <w:t>99%。</w:t>
            </w:r>
            <w:r>
              <w:rPr>
                <w:rFonts w:hint="default" w:ascii="Times New Roman" w:hAnsi="Times New Roman" w:eastAsia="宋体" w:cs="Times New Roman"/>
                <w:kern w:val="0"/>
                <w:sz w:val="24"/>
              </w:rPr>
              <w:t>焊接烟尘产生量为</w:t>
            </w:r>
            <w:r>
              <w:rPr>
                <w:rFonts w:hint="eastAsia" w:ascii="Times New Roman" w:hAnsi="Times New Roman" w:eastAsia="宋体" w:cs="Times New Roman"/>
                <w:kern w:val="0"/>
                <w:sz w:val="24"/>
                <w:lang w:val="en-US" w:eastAsia="zh-CN"/>
              </w:rPr>
              <w:t>0.16t</w:t>
            </w:r>
            <w:r>
              <w:rPr>
                <w:rFonts w:hint="default" w:ascii="Times New Roman" w:hAnsi="Times New Roman" w:eastAsia="宋体" w:cs="Times New Roman"/>
                <w:kern w:val="0"/>
                <w:sz w:val="24"/>
              </w:rPr>
              <w:t>/a</w:t>
            </w:r>
            <w:r>
              <w:rPr>
                <w:rFonts w:hint="eastAsia" w:ascii="Times New Roman" w:hAnsi="Times New Roman" w:eastAsia="宋体" w:cs="Times New Roman"/>
                <w:kern w:val="0"/>
                <w:sz w:val="24"/>
                <w:lang w:eastAsia="zh-CN"/>
              </w:rPr>
              <w:t>，则</w:t>
            </w:r>
            <w:r>
              <w:rPr>
                <w:rFonts w:hint="default" w:ascii="Times New Roman" w:hAnsi="Times New Roman" w:eastAsia="宋体" w:cs="Times New Roman"/>
                <w:kern w:val="0"/>
                <w:sz w:val="24"/>
              </w:rPr>
              <w:t>项目</w:t>
            </w:r>
            <w:r>
              <w:rPr>
                <w:rFonts w:hint="eastAsia" w:ascii="Times New Roman" w:hAnsi="Times New Roman" w:eastAsia="宋体" w:cs="Times New Roman"/>
                <w:kern w:val="0"/>
                <w:sz w:val="24"/>
                <w:lang w:eastAsia="zh-CN"/>
              </w:rPr>
              <w:t>掘进机维修车间</w:t>
            </w:r>
            <w:r>
              <w:rPr>
                <w:rFonts w:hint="default" w:ascii="Times New Roman" w:hAnsi="Times New Roman" w:eastAsia="宋体" w:cs="Times New Roman"/>
                <w:kern w:val="0"/>
                <w:sz w:val="24"/>
                <w:lang w:eastAsia="zh-CN"/>
              </w:rPr>
              <w:t>车间无组织</w:t>
            </w:r>
            <w:r>
              <w:rPr>
                <w:rFonts w:hint="default" w:ascii="Times New Roman" w:hAnsi="Times New Roman" w:eastAsia="宋体" w:cs="Times New Roman"/>
                <w:kern w:val="0"/>
                <w:sz w:val="24"/>
              </w:rPr>
              <w:t>颗粒物产生量为</w:t>
            </w:r>
            <w:r>
              <w:rPr>
                <w:rFonts w:hint="eastAsia" w:ascii="Times New Roman" w:hAnsi="Times New Roman" w:eastAsia="宋体" w:cs="Times New Roman"/>
                <w:kern w:val="0"/>
                <w:sz w:val="24"/>
                <w:lang w:val="en-US" w:eastAsia="zh-CN"/>
              </w:rPr>
              <w:t>0.03328t</w:t>
            </w:r>
            <w:r>
              <w:rPr>
                <w:rFonts w:hint="default" w:ascii="Times New Roman" w:hAnsi="Times New Roman" w:eastAsia="宋体" w:cs="Times New Roman"/>
                <w:kern w:val="0"/>
                <w:sz w:val="24"/>
              </w:rPr>
              <w:t>/a。因生产车间全封闭，</w:t>
            </w:r>
            <w:r>
              <w:rPr>
                <w:rFonts w:hint="default" w:ascii="Times New Roman" w:hAnsi="Times New Roman" w:eastAsia="宋体" w:cs="Times New Roman"/>
                <w:kern w:val="0"/>
                <w:sz w:val="24"/>
                <w:lang w:eastAsia="zh-CN"/>
              </w:rPr>
              <w:t>比重较大，</w:t>
            </w:r>
            <w:r>
              <w:rPr>
                <w:rFonts w:hint="eastAsia" w:ascii="Times New Roman" w:hAnsi="Times New Roman" w:eastAsia="宋体" w:cs="Times New Roman"/>
                <w:kern w:val="0"/>
                <w:sz w:val="24"/>
                <w:lang w:eastAsia="zh-CN"/>
              </w:rPr>
              <w:t>下料、机加工</w:t>
            </w:r>
            <w:r>
              <w:rPr>
                <w:rFonts w:hint="default" w:ascii="Times New Roman" w:hAnsi="Times New Roman" w:eastAsia="宋体" w:cs="Times New Roman"/>
                <w:kern w:val="0"/>
                <w:sz w:val="24"/>
                <w:lang w:eastAsia="zh-CN"/>
              </w:rPr>
              <w:t>颗粒物大部分</w:t>
            </w:r>
            <w:r>
              <w:rPr>
                <w:rFonts w:hint="default" w:ascii="Times New Roman" w:hAnsi="Times New Roman" w:eastAsia="宋体" w:cs="Times New Roman"/>
                <w:kern w:val="0"/>
                <w:sz w:val="24"/>
              </w:rPr>
              <w:t>在车间内自然降尘及车间阻隔后无组织排放，颗粒物在车间内自然降尘及车间阻隔以9</w:t>
            </w:r>
            <w:r>
              <w:rPr>
                <w:rFonts w:hint="eastAsia" w:ascii="Times New Roman" w:hAnsi="Times New Roman" w:eastAsia="宋体" w:cs="Times New Roman"/>
                <w:kern w:val="0"/>
                <w:sz w:val="24"/>
                <w:lang w:val="en-US" w:eastAsia="zh-CN"/>
              </w:rPr>
              <w:t>5</w:t>
            </w:r>
            <w:r>
              <w:rPr>
                <w:rFonts w:hint="default" w:ascii="Times New Roman" w:hAnsi="Times New Roman" w:eastAsia="宋体" w:cs="Times New Roman"/>
                <w:kern w:val="0"/>
                <w:sz w:val="24"/>
              </w:rPr>
              <w:t>%计，则无组织颗粒物产生量约为</w:t>
            </w:r>
            <w:r>
              <w:rPr>
                <w:rFonts w:hint="eastAsia" w:ascii="Times New Roman" w:hAnsi="Times New Roman" w:eastAsia="宋体" w:cs="Times New Roman"/>
                <w:kern w:val="0"/>
                <w:sz w:val="24"/>
                <w:lang w:val="en-US" w:eastAsia="zh-CN"/>
              </w:rPr>
              <w:t>0.1t</w:t>
            </w:r>
            <w:r>
              <w:rPr>
                <w:rFonts w:hint="default" w:ascii="Times New Roman" w:hAnsi="Times New Roman" w:eastAsia="宋体" w:cs="Times New Roman"/>
                <w:kern w:val="0"/>
                <w:sz w:val="24"/>
              </w:rPr>
              <w:t>/a。</w:t>
            </w:r>
          </w:p>
          <w:p>
            <w:pPr>
              <w:spacing w:line="520" w:lineRule="exact"/>
              <w:ind w:firstLine="482"/>
              <w:rPr>
                <w:rFonts w:ascii="Times New Roman" w:hAnsi="Times New Roman" w:eastAsia="宋体"/>
                <w:bCs/>
                <w:iCs/>
                <w:color w:val="000000"/>
                <w:sz w:val="24"/>
              </w:rPr>
            </w:pPr>
            <w:r>
              <w:rPr>
                <w:rFonts w:hint="eastAsia" w:ascii="Times New Roman" w:hAnsi="Times New Roman" w:eastAsia="宋体"/>
                <w:kern w:val="0"/>
                <w:sz w:val="24"/>
              </w:rPr>
              <w:t>（2）</w:t>
            </w:r>
            <w:r>
              <w:rPr>
                <w:rFonts w:hint="eastAsia" w:ascii="Times New Roman" w:hAnsi="Times New Roman" w:eastAsia="宋体"/>
                <w:bCs/>
                <w:sz w:val="24"/>
              </w:rPr>
              <w:t>大气环境影响预测</w:t>
            </w:r>
          </w:p>
          <w:p>
            <w:pPr>
              <w:spacing w:line="520" w:lineRule="exact"/>
              <w:ind w:firstLine="480" w:firstLineChars="200"/>
              <w:rPr>
                <w:rFonts w:ascii="Times New Roman" w:hAnsi="Times New Roman" w:eastAsia="宋体"/>
                <w:sz w:val="24"/>
              </w:rPr>
            </w:pPr>
            <w:r>
              <w:rPr>
                <w:rFonts w:hint="eastAsia" w:ascii="Times New Roman" w:hAnsi="Times New Roman" w:eastAsia="宋体"/>
                <w:sz w:val="24"/>
              </w:rPr>
              <w:t>由工程分析可知，本项目主要污染物为颗粒物。根据《环境影响技术导则</w:t>
            </w:r>
            <w:r>
              <w:rPr>
                <w:rFonts w:ascii="Times New Roman" w:hAnsi="Times New Roman" w:eastAsia="宋体"/>
                <w:sz w:val="24"/>
              </w:rPr>
              <w:t xml:space="preserve">  </w:t>
            </w:r>
            <w:r>
              <w:rPr>
                <w:rFonts w:hint="eastAsia" w:ascii="Times New Roman" w:hAnsi="Times New Roman" w:eastAsia="宋体"/>
                <w:sz w:val="24"/>
              </w:rPr>
              <w:t>大气环境》（</w:t>
            </w:r>
            <w:r>
              <w:rPr>
                <w:rFonts w:ascii="Times New Roman" w:hAnsi="Times New Roman" w:eastAsia="宋体"/>
                <w:sz w:val="24"/>
              </w:rPr>
              <w:t>HJ2.2-2018</w:t>
            </w:r>
            <w:r>
              <w:rPr>
                <w:rFonts w:hint="eastAsia" w:ascii="Times New Roman" w:hAnsi="Times New Roman" w:eastAsia="宋体"/>
                <w:sz w:val="24"/>
              </w:rPr>
              <w:t>）的有关内容要求，本次评价选取的评价因子为</w:t>
            </w:r>
            <w:r>
              <w:rPr>
                <w:rFonts w:ascii="Times New Roman" w:hAnsi="Times New Roman" w:eastAsia="宋体"/>
                <w:sz w:val="24"/>
              </w:rPr>
              <w:t>PM</w:t>
            </w:r>
            <w:r>
              <w:rPr>
                <w:rFonts w:ascii="Times New Roman" w:hAnsi="Times New Roman" w:eastAsia="宋体"/>
                <w:sz w:val="24"/>
                <w:vertAlign w:val="subscript"/>
              </w:rPr>
              <w:t>10</w:t>
            </w:r>
            <w:r>
              <w:rPr>
                <w:rFonts w:hint="eastAsia" w:ascii="Times New Roman" w:hAnsi="Times New Roman" w:eastAsia="宋体"/>
                <w:sz w:val="24"/>
              </w:rPr>
              <w:t>。</w:t>
            </w:r>
          </w:p>
          <w:p>
            <w:pPr>
              <w:spacing w:line="520" w:lineRule="exact"/>
              <w:ind w:firstLine="600" w:firstLineChars="250"/>
              <w:rPr>
                <w:rFonts w:ascii="Times New Roman" w:hAnsi="Times New Roman" w:eastAsia="宋体"/>
                <w:sz w:val="24"/>
              </w:rPr>
            </w:pPr>
            <w:r>
              <w:rPr>
                <w:rFonts w:ascii="Times New Roman" w:hAnsi="Times New Roman" w:eastAsia="宋体"/>
                <w:sz w:val="24"/>
              </w:rPr>
              <w:t>A</w:t>
            </w:r>
            <w:r>
              <w:rPr>
                <w:rFonts w:hint="eastAsia" w:ascii="Times New Roman" w:hAnsi="Times New Roman" w:eastAsia="宋体"/>
                <w:sz w:val="24"/>
              </w:rPr>
              <w:t>、估算模式相关参数如下：</w:t>
            </w:r>
          </w:p>
          <w:p>
            <w:pPr>
              <w:pStyle w:val="7"/>
              <w:spacing w:beforeLines="50"/>
              <w:jc w:val="center"/>
              <w:rPr>
                <w:rFonts w:hint="default" w:ascii="Times New Roman" w:hAnsi="宋体" w:cs="Times New Roman"/>
                <w:b/>
                <w:bCs w:val="0"/>
                <w:sz w:val="24"/>
                <w:szCs w:val="24"/>
                <w:lang w:val="zh-CN" w:eastAsia="zh-CN"/>
              </w:rPr>
            </w:pPr>
            <w:r>
              <w:rPr>
                <w:rFonts w:hint="eastAsia" w:ascii="Times New Roman" w:hAnsi="宋体" w:cs="Times New Roman"/>
                <w:b/>
                <w:bCs w:val="0"/>
                <w:sz w:val="24"/>
                <w:szCs w:val="24"/>
                <w:lang w:val="zh-CN" w:eastAsia="zh-CN"/>
              </w:rPr>
              <w:t>表</w:t>
            </w:r>
            <w:r>
              <w:rPr>
                <w:rFonts w:hint="eastAsia" w:ascii="Times New Roman" w:hAnsi="宋体" w:cs="Times New Roman"/>
                <w:b/>
                <w:bCs w:val="0"/>
                <w:sz w:val="24"/>
                <w:szCs w:val="24"/>
                <w:lang w:val="en-US" w:eastAsia="zh-CN"/>
              </w:rPr>
              <w:t>2</w:t>
            </w:r>
            <w:r>
              <w:rPr>
                <w:rFonts w:hint="eastAsia" w:hAnsi="宋体" w:cs="Times New Roman"/>
                <w:b/>
                <w:bCs w:val="0"/>
                <w:sz w:val="24"/>
                <w:szCs w:val="24"/>
                <w:lang w:val="en-US" w:eastAsia="zh-CN"/>
              </w:rPr>
              <w:t>6</w:t>
            </w:r>
            <w:r>
              <w:rPr>
                <w:rFonts w:hint="default" w:ascii="Times New Roman" w:hAnsi="宋体" w:cs="Times New Roman"/>
                <w:b/>
                <w:bCs w:val="0"/>
                <w:sz w:val="24"/>
                <w:szCs w:val="24"/>
                <w:lang w:val="zh-CN" w:eastAsia="zh-CN"/>
              </w:rPr>
              <w:t xml:space="preserve">  </w:t>
            </w:r>
            <w:r>
              <w:rPr>
                <w:rFonts w:hint="eastAsia" w:ascii="Times New Roman" w:hAnsi="宋体" w:cs="Times New Roman"/>
                <w:b/>
                <w:bCs w:val="0"/>
                <w:sz w:val="24"/>
                <w:szCs w:val="24"/>
                <w:lang w:val="zh-CN" w:eastAsia="zh-CN"/>
              </w:rPr>
              <w:t>评价因子和评价标准</w:t>
            </w:r>
          </w:p>
          <w:tbl>
            <w:tblPr>
              <w:tblStyle w:val="23"/>
              <w:tblW w:w="901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33"/>
              <w:gridCol w:w="1735"/>
              <w:gridCol w:w="2058"/>
              <w:gridCol w:w="338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32" w:type="dxa"/>
                  <w:tcBorders>
                    <w:top w:val="single" w:color="auto" w:sz="12" w:space="0"/>
                    <w:left w:val="nil"/>
                    <w:bottom w:val="single" w:color="auto" w:sz="4" w:space="0"/>
                    <w:right w:val="single" w:color="auto" w:sz="4" w:space="0"/>
                  </w:tcBorders>
                  <w:vAlign w:val="center"/>
                </w:tcPr>
                <w:p>
                  <w:pPr>
                    <w:jc w:val="center"/>
                    <w:rPr>
                      <w:rFonts w:ascii="Times New Roman" w:hAnsi="Times New Roman" w:eastAsia="宋体" w:cs="宋体"/>
                      <w:bCs/>
                      <w:kern w:val="0"/>
                      <w:szCs w:val="21"/>
                    </w:rPr>
                  </w:pPr>
                  <w:r>
                    <w:rPr>
                      <w:rFonts w:hint="eastAsia" w:ascii="Times New Roman" w:hAnsi="Times New Roman" w:eastAsia="宋体" w:cs="宋体"/>
                      <w:bCs/>
                      <w:szCs w:val="21"/>
                    </w:rPr>
                    <w:t>污染因子</w:t>
                  </w:r>
                </w:p>
              </w:tc>
              <w:tc>
                <w:tcPr>
                  <w:tcW w:w="1734" w:type="dxa"/>
                  <w:tcBorders>
                    <w:top w:val="single" w:color="auto" w:sz="12" w:space="0"/>
                    <w:left w:val="single" w:color="auto" w:sz="4" w:space="0"/>
                    <w:bottom w:val="single" w:color="auto" w:sz="4" w:space="0"/>
                    <w:right w:val="single" w:color="auto" w:sz="4" w:space="0"/>
                  </w:tcBorders>
                  <w:vAlign w:val="center"/>
                </w:tcPr>
                <w:p>
                  <w:pPr>
                    <w:jc w:val="center"/>
                    <w:rPr>
                      <w:rFonts w:ascii="Times New Roman" w:hAnsi="Times New Roman" w:eastAsia="宋体" w:cs="宋体"/>
                      <w:bCs/>
                      <w:kern w:val="0"/>
                      <w:szCs w:val="21"/>
                    </w:rPr>
                  </w:pPr>
                  <w:r>
                    <w:rPr>
                      <w:rFonts w:hint="eastAsia" w:ascii="Times New Roman" w:hAnsi="Times New Roman" w:eastAsia="宋体" w:cs="宋体"/>
                      <w:bCs/>
                      <w:szCs w:val="21"/>
                    </w:rPr>
                    <w:t>平均时段</w:t>
                  </w:r>
                </w:p>
              </w:tc>
              <w:tc>
                <w:tcPr>
                  <w:tcW w:w="2057" w:type="dxa"/>
                  <w:tcBorders>
                    <w:top w:val="single" w:color="auto" w:sz="12" w:space="0"/>
                    <w:left w:val="single" w:color="auto" w:sz="4" w:space="0"/>
                    <w:bottom w:val="single" w:color="auto" w:sz="4" w:space="0"/>
                    <w:right w:val="single" w:color="auto" w:sz="4" w:space="0"/>
                  </w:tcBorders>
                  <w:vAlign w:val="center"/>
                </w:tcPr>
                <w:p>
                  <w:pPr>
                    <w:jc w:val="center"/>
                    <w:rPr>
                      <w:rFonts w:ascii="Times New Roman" w:hAnsi="Times New Roman" w:eastAsia="宋体" w:cs="宋体"/>
                      <w:bCs/>
                      <w:kern w:val="0"/>
                      <w:szCs w:val="21"/>
                    </w:rPr>
                  </w:pPr>
                  <w:r>
                    <w:rPr>
                      <w:rFonts w:hint="eastAsia" w:ascii="Times New Roman" w:hAnsi="Times New Roman" w:eastAsia="宋体" w:cs="宋体"/>
                      <w:bCs/>
                      <w:szCs w:val="21"/>
                    </w:rPr>
                    <w:t>标准</w:t>
                  </w:r>
                  <w:r>
                    <w:rPr>
                      <w:rFonts w:ascii="Times New Roman" w:hAnsi="Times New Roman" w:eastAsia="宋体" w:cs="宋体"/>
                      <w:bCs/>
                      <w:szCs w:val="21"/>
                    </w:rPr>
                    <w:t>μg/m</w:t>
                  </w:r>
                  <w:r>
                    <w:rPr>
                      <w:rFonts w:ascii="Times New Roman" w:hAnsi="Times New Roman" w:eastAsia="宋体" w:cs="宋体"/>
                      <w:bCs/>
                      <w:szCs w:val="21"/>
                      <w:vertAlign w:val="superscript"/>
                    </w:rPr>
                    <w:t>3</w:t>
                  </w:r>
                </w:p>
              </w:tc>
              <w:tc>
                <w:tcPr>
                  <w:tcW w:w="3386" w:type="dxa"/>
                  <w:tcBorders>
                    <w:top w:val="single" w:color="auto" w:sz="12" w:space="0"/>
                    <w:left w:val="single" w:color="auto" w:sz="4" w:space="0"/>
                    <w:bottom w:val="single" w:color="auto" w:sz="4" w:space="0"/>
                    <w:right w:val="nil"/>
                  </w:tcBorders>
                  <w:vAlign w:val="center"/>
                </w:tcPr>
                <w:p>
                  <w:pPr>
                    <w:jc w:val="center"/>
                    <w:rPr>
                      <w:rFonts w:ascii="Times New Roman" w:hAnsi="Times New Roman" w:eastAsia="宋体" w:cs="宋体"/>
                      <w:bCs/>
                      <w:kern w:val="0"/>
                      <w:szCs w:val="21"/>
                    </w:rPr>
                  </w:pPr>
                  <w:r>
                    <w:rPr>
                      <w:rFonts w:hint="eastAsia" w:ascii="Times New Roman" w:hAnsi="Times New Roman" w:eastAsia="宋体" w:cs="宋体"/>
                      <w:bCs/>
                      <w:szCs w:val="21"/>
                    </w:rPr>
                    <w:t>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32" w:type="dxa"/>
                  <w:tcBorders>
                    <w:top w:val="single" w:color="auto" w:sz="4" w:space="0"/>
                    <w:left w:val="nil"/>
                    <w:bottom w:val="single" w:color="auto" w:sz="12" w:space="0"/>
                    <w:right w:val="single" w:color="auto" w:sz="4" w:space="0"/>
                  </w:tcBorders>
                  <w:vAlign w:val="center"/>
                </w:tcPr>
                <w:p>
                  <w:pPr>
                    <w:jc w:val="center"/>
                    <w:rPr>
                      <w:rFonts w:ascii="Times New Roman" w:hAnsi="Times New Roman" w:eastAsia="宋体" w:cs="宋体"/>
                      <w:bCs/>
                      <w:kern w:val="0"/>
                      <w:szCs w:val="21"/>
                    </w:rPr>
                  </w:pPr>
                  <w:r>
                    <w:rPr>
                      <w:rFonts w:ascii="Times New Roman" w:hAnsi="Times New Roman" w:eastAsia="宋体" w:cs="宋体"/>
                      <w:bCs/>
                      <w:szCs w:val="21"/>
                    </w:rPr>
                    <w:t>PM</w:t>
                  </w:r>
                  <w:r>
                    <w:rPr>
                      <w:rFonts w:ascii="Times New Roman" w:hAnsi="Times New Roman" w:eastAsia="宋体" w:cs="宋体"/>
                      <w:bCs/>
                      <w:szCs w:val="21"/>
                      <w:vertAlign w:val="subscript"/>
                    </w:rPr>
                    <w:t>10</w:t>
                  </w:r>
                </w:p>
              </w:tc>
              <w:tc>
                <w:tcPr>
                  <w:tcW w:w="1734" w:type="dxa"/>
                  <w:tcBorders>
                    <w:top w:val="single" w:color="auto" w:sz="4" w:space="0"/>
                    <w:left w:val="single" w:color="auto" w:sz="4" w:space="0"/>
                    <w:bottom w:val="single" w:color="auto" w:sz="12" w:space="0"/>
                    <w:right w:val="single" w:color="auto" w:sz="4" w:space="0"/>
                  </w:tcBorders>
                  <w:vAlign w:val="center"/>
                </w:tcPr>
                <w:p>
                  <w:pPr>
                    <w:jc w:val="center"/>
                    <w:rPr>
                      <w:rFonts w:ascii="Times New Roman" w:hAnsi="Times New Roman" w:eastAsia="宋体" w:cs="宋体"/>
                      <w:bCs/>
                      <w:kern w:val="0"/>
                      <w:szCs w:val="21"/>
                    </w:rPr>
                  </w:pPr>
                  <w:r>
                    <w:rPr>
                      <w:rFonts w:ascii="Times New Roman" w:hAnsi="Times New Roman" w:eastAsia="宋体" w:cs="宋体"/>
                      <w:bCs/>
                      <w:szCs w:val="21"/>
                    </w:rPr>
                    <w:t>24</w:t>
                  </w:r>
                  <w:r>
                    <w:rPr>
                      <w:rFonts w:hint="eastAsia" w:ascii="Times New Roman" w:hAnsi="Times New Roman" w:eastAsia="宋体" w:cs="宋体"/>
                      <w:bCs/>
                      <w:szCs w:val="21"/>
                    </w:rPr>
                    <w:t>小时平均</w:t>
                  </w:r>
                </w:p>
              </w:tc>
              <w:tc>
                <w:tcPr>
                  <w:tcW w:w="2057" w:type="dxa"/>
                  <w:tcBorders>
                    <w:top w:val="single" w:color="auto" w:sz="4" w:space="0"/>
                    <w:left w:val="single" w:color="auto" w:sz="4" w:space="0"/>
                    <w:bottom w:val="single" w:color="auto" w:sz="12" w:space="0"/>
                    <w:right w:val="single" w:color="auto" w:sz="4" w:space="0"/>
                  </w:tcBorders>
                  <w:vAlign w:val="center"/>
                </w:tcPr>
                <w:p>
                  <w:pPr>
                    <w:jc w:val="center"/>
                    <w:rPr>
                      <w:rFonts w:ascii="Times New Roman" w:hAnsi="Times New Roman" w:eastAsia="宋体" w:cs="宋体"/>
                      <w:bCs/>
                      <w:kern w:val="0"/>
                      <w:szCs w:val="21"/>
                    </w:rPr>
                  </w:pPr>
                  <w:r>
                    <w:rPr>
                      <w:rFonts w:ascii="Times New Roman" w:hAnsi="Times New Roman" w:eastAsia="宋体" w:cs="宋体"/>
                      <w:bCs/>
                      <w:szCs w:val="21"/>
                    </w:rPr>
                    <w:t>150</w:t>
                  </w:r>
                </w:p>
              </w:tc>
              <w:tc>
                <w:tcPr>
                  <w:tcW w:w="3386" w:type="dxa"/>
                  <w:tcBorders>
                    <w:top w:val="single" w:color="auto" w:sz="4" w:space="0"/>
                    <w:left w:val="single" w:color="auto" w:sz="4" w:space="0"/>
                    <w:bottom w:val="single" w:color="auto" w:sz="12" w:space="0"/>
                    <w:right w:val="nil"/>
                  </w:tcBorders>
                  <w:vAlign w:val="center"/>
                </w:tcPr>
                <w:p>
                  <w:pPr>
                    <w:jc w:val="center"/>
                    <w:rPr>
                      <w:rFonts w:ascii="Times New Roman" w:hAnsi="Times New Roman" w:eastAsia="宋体" w:cs="宋体"/>
                      <w:bCs/>
                      <w:kern w:val="0"/>
                      <w:szCs w:val="21"/>
                    </w:rPr>
                  </w:pPr>
                  <w:r>
                    <w:rPr>
                      <w:rFonts w:ascii="Times New Roman" w:hAnsi="Times New Roman" w:eastAsia="宋体" w:cs="宋体"/>
                      <w:bCs/>
                      <w:szCs w:val="21"/>
                    </w:rPr>
                    <w:t>GB3095-2012</w:t>
                  </w:r>
                </w:p>
              </w:tc>
            </w:tr>
          </w:tbl>
          <w:p>
            <w:pPr>
              <w:pStyle w:val="7"/>
              <w:spacing w:beforeLines="50"/>
              <w:jc w:val="center"/>
              <w:rPr>
                <w:rFonts w:hint="default" w:ascii="Times New Roman" w:hAnsi="宋体" w:cs="Times New Roman"/>
                <w:b/>
                <w:bCs w:val="0"/>
                <w:sz w:val="24"/>
                <w:szCs w:val="24"/>
                <w:lang w:val="zh-CN" w:eastAsia="zh-CN"/>
              </w:rPr>
            </w:pPr>
            <w:r>
              <w:rPr>
                <w:rFonts w:hint="eastAsia" w:ascii="Times New Roman" w:hAnsi="宋体" w:cs="Times New Roman"/>
                <w:b/>
                <w:bCs w:val="0"/>
                <w:sz w:val="24"/>
                <w:szCs w:val="24"/>
                <w:lang w:val="zh-CN" w:eastAsia="zh-CN"/>
              </w:rPr>
              <w:t>表</w:t>
            </w:r>
            <w:r>
              <w:rPr>
                <w:rFonts w:hint="eastAsia" w:ascii="Times New Roman" w:hAnsi="宋体" w:cs="Times New Roman"/>
                <w:b/>
                <w:bCs w:val="0"/>
                <w:sz w:val="24"/>
                <w:szCs w:val="24"/>
                <w:lang w:val="en-US" w:eastAsia="zh-CN"/>
              </w:rPr>
              <w:t>2</w:t>
            </w:r>
            <w:r>
              <w:rPr>
                <w:rFonts w:hint="eastAsia" w:hAnsi="宋体" w:cs="Times New Roman"/>
                <w:b/>
                <w:bCs w:val="0"/>
                <w:sz w:val="24"/>
                <w:szCs w:val="24"/>
                <w:lang w:val="en-US" w:eastAsia="zh-CN"/>
              </w:rPr>
              <w:t>7</w:t>
            </w:r>
            <w:r>
              <w:rPr>
                <w:rFonts w:hint="default" w:ascii="Times New Roman" w:hAnsi="宋体" w:cs="Times New Roman"/>
                <w:b/>
                <w:bCs w:val="0"/>
                <w:sz w:val="24"/>
                <w:szCs w:val="24"/>
                <w:lang w:val="zh-CN" w:eastAsia="zh-CN"/>
              </w:rPr>
              <w:t xml:space="preserve">  </w:t>
            </w:r>
            <w:r>
              <w:rPr>
                <w:rFonts w:hint="eastAsia" w:ascii="Times New Roman" w:hAnsi="宋体" w:cs="Times New Roman"/>
                <w:b/>
                <w:bCs w:val="0"/>
                <w:sz w:val="24"/>
                <w:szCs w:val="24"/>
                <w:lang w:val="zh-CN" w:eastAsia="zh-CN"/>
              </w:rPr>
              <w:t>估算模式计算参数</w:t>
            </w:r>
          </w:p>
          <w:tbl>
            <w:tblPr>
              <w:tblStyle w:val="23"/>
              <w:tblW w:w="903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09"/>
              <w:gridCol w:w="3897"/>
              <w:gridCol w:w="332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3" w:hRule="atLeast"/>
                <w:jc w:val="center"/>
              </w:trPr>
              <w:tc>
                <w:tcPr>
                  <w:tcW w:w="5709" w:type="dxa"/>
                  <w:gridSpan w:val="2"/>
                  <w:tcBorders>
                    <w:top w:val="single" w:color="auto" w:sz="12" w:space="0"/>
                    <w:left w:val="nil"/>
                    <w:bottom w:val="single" w:color="auto" w:sz="4" w:space="0"/>
                    <w:right w:val="single" w:color="auto" w:sz="4" w:space="0"/>
                  </w:tcBorders>
                  <w:vAlign w:val="center"/>
                </w:tcPr>
                <w:p>
                  <w:pPr>
                    <w:jc w:val="center"/>
                    <w:rPr>
                      <w:rFonts w:ascii="Times New Roman" w:hAnsi="Times New Roman" w:eastAsia="宋体" w:cs="宋体"/>
                      <w:bCs/>
                      <w:kern w:val="0"/>
                      <w:szCs w:val="21"/>
                    </w:rPr>
                  </w:pPr>
                  <w:r>
                    <w:rPr>
                      <w:rFonts w:hint="eastAsia" w:ascii="Times New Roman" w:hAnsi="Times New Roman" w:eastAsia="宋体" w:cs="宋体"/>
                      <w:bCs/>
                      <w:szCs w:val="21"/>
                    </w:rPr>
                    <w:t>参数</w:t>
                  </w:r>
                </w:p>
              </w:tc>
              <w:tc>
                <w:tcPr>
                  <w:tcW w:w="3326" w:type="dxa"/>
                  <w:tcBorders>
                    <w:top w:val="single" w:color="auto" w:sz="12" w:space="0"/>
                    <w:left w:val="single" w:color="auto" w:sz="4" w:space="0"/>
                    <w:bottom w:val="single" w:color="auto" w:sz="4" w:space="0"/>
                    <w:right w:val="nil"/>
                  </w:tcBorders>
                  <w:vAlign w:val="center"/>
                </w:tcPr>
                <w:p>
                  <w:pPr>
                    <w:jc w:val="center"/>
                    <w:rPr>
                      <w:rFonts w:ascii="Times New Roman" w:hAnsi="Times New Roman" w:eastAsia="宋体" w:cs="宋体"/>
                      <w:bCs/>
                      <w:kern w:val="0"/>
                      <w:szCs w:val="21"/>
                    </w:rPr>
                  </w:pPr>
                  <w:r>
                    <w:rPr>
                      <w:rFonts w:hint="eastAsia" w:ascii="Times New Roman" w:hAnsi="Times New Roman" w:eastAsia="宋体" w:cs="宋体"/>
                      <w:bCs/>
                      <w:szCs w:val="21"/>
                    </w:rPr>
                    <w:t>取值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10" w:type="dxa"/>
                  <w:tcBorders>
                    <w:top w:val="single" w:color="auto" w:sz="4" w:space="0"/>
                    <w:left w:val="nil"/>
                    <w:bottom w:val="single" w:color="auto" w:sz="4" w:space="0"/>
                    <w:right w:val="single" w:color="auto" w:sz="4" w:space="0"/>
                  </w:tcBorders>
                  <w:vAlign w:val="center"/>
                </w:tcPr>
                <w:p>
                  <w:pPr>
                    <w:jc w:val="center"/>
                    <w:rPr>
                      <w:rFonts w:ascii="Times New Roman" w:hAnsi="Times New Roman" w:eastAsia="宋体" w:cs="宋体"/>
                      <w:bCs/>
                      <w:kern w:val="0"/>
                      <w:szCs w:val="21"/>
                    </w:rPr>
                  </w:pPr>
                  <w:r>
                    <w:rPr>
                      <w:rFonts w:hint="eastAsia" w:ascii="Times New Roman" w:hAnsi="Times New Roman" w:eastAsia="宋体" w:cs="宋体"/>
                      <w:bCs/>
                      <w:szCs w:val="21"/>
                    </w:rPr>
                    <w:t>城市</w:t>
                  </w:r>
                  <w:r>
                    <w:rPr>
                      <w:rFonts w:ascii="Times New Roman" w:hAnsi="Times New Roman" w:eastAsia="宋体" w:cs="宋体"/>
                      <w:bCs/>
                      <w:szCs w:val="21"/>
                    </w:rPr>
                    <w:t>/</w:t>
                  </w:r>
                  <w:r>
                    <w:rPr>
                      <w:rFonts w:hint="eastAsia" w:ascii="Times New Roman" w:hAnsi="Times New Roman" w:eastAsia="宋体" w:cs="宋体"/>
                      <w:bCs/>
                      <w:szCs w:val="21"/>
                    </w:rPr>
                    <w:t>农村选项</w:t>
                  </w:r>
                </w:p>
              </w:tc>
              <w:tc>
                <w:tcPr>
                  <w:tcW w:w="3899"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宋体"/>
                      <w:bCs/>
                      <w:kern w:val="0"/>
                      <w:szCs w:val="21"/>
                    </w:rPr>
                  </w:pPr>
                  <w:r>
                    <w:rPr>
                      <w:rFonts w:hint="eastAsia" w:ascii="Times New Roman" w:hAnsi="Times New Roman" w:eastAsia="宋体" w:cs="宋体"/>
                      <w:bCs/>
                      <w:szCs w:val="21"/>
                    </w:rPr>
                    <w:t>城市</w:t>
                  </w:r>
                  <w:r>
                    <w:rPr>
                      <w:rFonts w:ascii="Times New Roman" w:hAnsi="Times New Roman" w:eastAsia="宋体" w:cs="宋体"/>
                      <w:bCs/>
                      <w:szCs w:val="21"/>
                    </w:rPr>
                    <w:t>/</w:t>
                  </w:r>
                  <w:r>
                    <w:rPr>
                      <w:rFonts w:hint="eastAsia" w:ascii="Times New Roman" w:hAnsi="Times New Roman" w:eastAsia="宋体" w:cs="宋体"/>
                      <w:bCs/>
                      <w:szCs w:val="21"/>
                    </w:rPr>
                    <w:t>农村</w:t>
                  </w:r>
                </w:p>
              </w:tc>
              <w:tc>
                <w:tcPr>
                  <w:tcW w:w="3326" w:type="dxa"/>
                  <w:tcBorders>
                    <w:top w:val="single" w:color="auto" w:sz="4" w:space="0"/>
                    <w:left w:val="single" w:color="auto" w:sz="4" w:space="0"/>
                    <w:bottom w:val="single" w:color="auto" w:sz="4" w:space="0"/>
                    <w:right w:val="nil"/>
                  </w:tcBorders>
                  <w:vAlign w:val="center"/>
                </w:tcPr>
                <w:p>
                  <w:pPr>
                    <w:jc w:val="center"/>
                    <w:rPr>
                      <w:rFonts w:ascii="Times New Roman" w:hAnsi="Times New Roman" w:eastAsia="宋体" w:cs="宋体"/>
                      <w:bCs/>
                      <w:kern w:val="0"/>
                      <w:szCs w:val="21"/>
                    </w:rPr>
                  </w:pPr>
                  <w:r>
                    <w:rPr>
                      <w:rFonts w:hint="eastAsia" w:ascii="Times New Roman" w:hAnsi="Times New Roman" w:eastAsia="宋体" w:cs="宋体"/>
                      <w:bCs/>
                      <w:szCs w:val="21"/>
                    </w:rPr>
                    <w:t>城市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09" w:type="dxa"/>
                  <w:gridSpan w:val="2"/>
                  <w:tcBorders>
                    <w:top w:val="single" w:color="auto" w:sz="4" w:space="0"/>
                    <w:left w:val="nil"/>
                    <w:bottom w:val="single" w:color="auto" w:sz="4" w:space="0"/>
                    <w:right w:val="single" w:color="auto" w:sz="4" w:space="0"/>
                  </w:tcBorders>
                  <w:vAlign w:val="center"/>
                </w:tcPr>
                <w:p>
                  <w:pPr>
                    <w:jc w:val="center"/>
                    <w:rPr>
                      <w:rFonts w:ascii="Times New Roman" w:hAnsi="Times New Roman" w:eastAsia="宋体" w:cs="宋体"/>
                      <w:bCs/>
                      <w:kern w:val="0"/>
                      <w:szCs w:val="21"/>
                    </w:rPr>
                  </w:pPr>
                  <w:r>
                    <w:rPr>
                      <w:rFonts w:hint="eastAsia" w:ascii="Times New Roman" w:hAnsi="Times New Roman" w:eastAsia="宋体" w:cs="宋体"/>
                      <w:bCs/>
                      <w:szCs w:val="21"/>
                    </w:rPr>
                    <w:t>最高环境温度</w:t>
                  </w:r>
                  <w:r>
                    <w:rPr>
                      <w:rFonts w:ascii="Times New Roman" w:hAnsi="Times New Roman" w:eastAsia="宋体" w:cs="宋体"/>
                      <w:bCs/>
                      <w:szCs w:val="21"/>
                    </w:rPr>
                    <w:t>/</w:t>
                  </w:r>
                  <w:r>
                    <w:rPr>
                      <w:rFonts w:hint="eastAsia" w:ascii="Times New Roman" w:hAnsi="Times New Roman" w:eastAsia="宋体" w:cs="宋体"/>
                      <w:bCs/>
                      <w:szCs w:val="21"/>
                    </w:rPr>
                    <w:t>℃</w:t>
                  </w:r>
                </w:p>
              </w:tc>
              <w:tc>
                <w:tcPr>
                  <w:tcW w:w="3326" w:type="dxa"/>
                  <w:tcBorders>
                    <w:top w:val="single" w:color="auto" w:sz="4" w:space="0"/>
                    <w:left w:val="single" w:color="auto" w:sz="4" w:space="0"/>
                    <w:bottom w:val="single" w:color="auto" w:sz="4" w:space="0"/>
                    <w:right w:val="nil"/>
                  </w:tcBorders>
                  <w:vAlign w:val="center"/>
                </w:tcPr>
                <w:p>
                  <w:pPr>
                    <w:jc w:val="center"/>
                    <w:rPr>
                      <w:rFonts w:ascii="Times New Roman" w:hAnsi="Times New Roman" w:eastAsia="宋体" w:cs="宋体"/>
                      <w:bCs/>
                      <w:kern w:val="0"/>
                      <w:szCs w:val="21"/>
                    </w:rPr>
                  </w:pPr>
                  <w:r>
                    <w:rPr>
                      <w:rFonts w:hint="eastAsia" w:ascii="Times New Roman" w:hAnsi="Times New Roman" w:eastAsia="宋体" w:cs="宋体"/>
                      <w:bCs/>
                      <w:szCs w:val="21"/>
                    </w:rPr>
                    <w:t>42.4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09" w:type="dxa"/>
                  <w:gridSpan w:val="2"/>
                  <w:tcBorders>
                    <w:top w:val="single" w:color="auto" w:sz="4" w:space="0"/>
                    <w:left w:val="nil"/>
                    <w:bottom w:val="single" w:color="auto" w:sz="4" w:space="0"/>
                    <w:right w:val="single" w:color="auto" w:sz="4" w:space="0"/>
                  </w:tcBorders>
                  <w:vAlign w:val="center"/>
                </w:tcPr>
                <w:p>
                  <w:pPr>
                    <w:jc w:val="center"/>
                    <w:rPr>
                      <w:rFonts w:ascii="Times New Roman" w:hAnsi="Times New Roman" w:eastAsia="宋体" w:cs="宋体"/>
                      <w:bCs/>
                      <w:kern w:val="0"/>
                      <w:szCs w:val="21"/>
                    </w:rPr>
                  </w:pPr>
                  <w:r>
                    <w:rPr>
                      <w:rFonts w:hint="eastAsia" w:ascii="Times New Roman" w:hAnsi="Times New Roman" w:eastAsia="宋体" w:cs="宋体"/>
                      <w:bCs/>
                      <w:szCs w:val="21"/>
                    </w:rPr>
                    <w:t>最低环境温度</w:t>
                  </w:r>
                  <w:r>
                    <w:rPr>
                      <w:rFonts w:ascii="Times New Roman" w:hAnsi="Times New Roman" w:eastAsia="宋体" w:cs="宋体"/>
                      <w:bCs/>
                      <w:szCs w:val="21"/>
                    </w:rPr>
                    <w:t>/</w:t>
                  </w:r>
                  <w:r>
                    <w:rPr>
                      <w:rFonts w:hint="eastAsia" w:ascii="Times New Roman" w:hAnsi="Times New Roman" w:eastAsia="宋体" w:cs="宋体"/>
                      <w:bCs/>
                      <w:szCs w:val="21"/>
                    </w:rPr>
                    <w:t>℃</w:t>
                  </w:r>
                </w:p>
              </w:tc>
              <w:tc>
                <w:tcPr>
                  <w:tcW w:w="3326" w:type="dxa"/>
                  <w:tcBorders>
                    <w:top w:val="single" w:color="auto" w:sz="4" w:space="0"/>
                    <w:left w:val="single" w:color="auto" w:sz="4" w:space="0"/>
                    <w:bottom w:val="single" w:color="auto" w:sz="4" w:space="0"/>
                    <w:right w:val="nil"/>
                  </w:tcBorders>
                  <w:vAlign w:val="center"/>
                </w:tcPr>
                <w:p>
                  <w:pPr>
                    <w:jc w:val="center"/>
                    <w:rPr>
                      <w:rFonts w:ascii="Times New Roman" w:hAnsi="Times New Roman" w:eastAsia="宋体" w:cs="宋体"/>
                      <w:bCs/>
                      <w:kern w:val="0"/>
                      <w:szCs w:val="21"/>
                    </w:rPr>
                  </w:pPr>
                  <w:r>
                    <w:rPr>
                      <w:rFonts w:ascii="Times New Roman" w:hAnsi="Times New Roman" w:eastAsia="宋体" w:cs="宋体"/>
                      <w:bCs/>
                      <w:szCs w:val="21"/>
                    </w:rPr>
                    <w:t>-1</w:t>
                  </w:r>
                  <w:r>
                    <w:rPr>
                      <w:rFonts w:hint="eastAsia" w:ascii="Times New Roman" w:hAnsi="Times New Roman" w:eastAsia="宋体" w:cs="宋体"/>
                      <w:bCs/>
                      <w:szCs w:val="21"/>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09" w:type="dxa"/>
                  <w:gridSpan w:val="2"/>
                  <w:tcBorders>
                    <w:top w:val="single" w:color="auto" w:sz="4" w:space="0"/>
                    <w:left w:val="nil"/>
                    <w:bottom w:val="single" w:color="auto" w:sz="4" w:space="0"/>
                    <w:right w:val="single" w:color="auto" w:sz="4" w:space="0"/>
                  </w:tcBorders>
                  <w:vAlign w:val="center"/>
                </w:tcPr>
                <w:p>
                  <w:pPr>
                    <w:jc w:val="center"/>
                    <w:rPr>
                      <w:rFonts w:ascii="Times New Roman" w:hAnsi="Times New Roman" w:eastAsia="宋体" w:cs="宋体"/>
                      <w:bCs/>
                      <w:kern w:val="0"/>
                      <w:szCs w:val="21"/>
                    </w:rPr>
                  </w:pPr>
                  <w:r>
                    <w:rPr>
                      <w:rFonts w:hint="eastAsia" w:ascii="Times New Roman" w:hAnsi="Times New Roman" w:eastAsia="宋体" w:cs="宋体"/>
                      <w:bCs/>
                      <w:szCs w:val="21"/>
                    </w:rPr>
                    <w:t>土地利用类型</w:t>
                  </w:r>
                </w:p>
              </w:tc>
              <w:tc>
                <w:tcPr>
                  <w:tcW w:w="3326" w:type="dxa"/>
                  <w:tcBorders>
                    <w:top w:val="single" w:color="auto" w:sz="4" w:space="0"/>
                    <w:left w:val="single" w:color="auto" w:sz="4" w:space="0"/>
                    <w:bottom w:val="single" w:color="auto" w:sz="4" w:space="0"/>
                    <w:right w:val="nil"/>
                  </w:tcBorders>
                  <w:vAlign w:val="center"/>
                </w:tcPr>
                <w:p>
                  <w:pPr>
                    <w:jc w:val="center"/>
                    <w:rPr>
                      <w:rFonts w:ascii="Times New Roman" w:hAnsi="Times New Roman" w:eastAsia="宋体" w:cs="宋体"/>
                      <w:bCs/>
                      <w:kern w:val="0"/>
                      <w:szCs w:val="21"/>
                    </w:rPr>
                  </w:pPr>
                  <w:r>
                    <w:rPr>
                      <w:rFonts w:hint="eastAsia" w:ascii="Times New Roman" w:hAnsi="Times New Roman" w:eastAsia="宋体" w:cs="宋体"/>
                      <w:bCs/>
                      <w:szCs w:val="21"/>
                    </w:rPr>
                    <w:t>城市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09" w:type="dxa"/>
                  <w:gridSpan w:val="2"/>
                  <w:tcBorders>
                    <w:top w:val="single" w:color="auto" w:sz="4" w:space="0"/>
                    <w:left w:val="nil"/>
                    <w:bottom w:val="single" w:color="auto" w:sz="4" w:space="0"/>
                    <w:right w:val="single" w:color="auto" w:sz="4" w:space="0"/>
                  </w:tcBorders>
                  <w:vAlign w:val="center"/>
                </w:tcPr>
                <w:p>
                  <w:pPr>
                    <w:jc w:val="center"/>
                    <w:rPr>
                      <w:rFonts w:ascii="Times New Roman" w:hAnsi="Times New Roman" w:eastAsia="宋体" w:cs="宋体"/>
                      <w:bCs/>
                      <w:kern w:val="0"/>
                      <w:szCs w:val="21"/>
                    </w:rPr>
                  </w:pPr>
                  <w:r>
                    <w:rPr>
                      <w:rFonts w:hint="eastAsia" w:ascii="Times New Roman" w:hAnsi="Times New Roman" w:eastAsia="宋体" w:cs="宋体"/>
                      <w:bCs/>
                      <w:szCs w:val="21"/>
                    </w:rPr>
                    <w:t>区域湿度条件</w:t>
                  </w:r>
                </w:p>
              </w:tc>
              <w:tc>
                <w:tcPr>
                  <w:tcW w:w="3326" w:type="dxa"/>
                  <w:tcBorders>
                    <w:top w:val="single" w:color="auto" w:sz="4" w:space="0"/>
                    <w:left w:val="single" w:color="auto" w:sz="4" w:space="0"/>
                    <w:bottom w:val="single" w:color="auto" w:sz="4" w:space="0"/>
                    <w:right w:val="nil"/>
                  </w:tcBorders>
                  <w:vAlign w:val="center"/>
                </w:tcPr>
                <w:p>
                  <w:pPr>
                    <w:jc w:val="center"/>
                    <w:rPr>
                      <w:rFonts w:ascii="Times New Roman" w:hAnsi="Times New Roman" w:eastAsia="宋体" w:cs="宋体"/>
                      <w:bCs/>
                      <w:kern w:val="0"/>
                      <w:szCs w:val="21"/>
                    </w:rPr>
                  </w:pPr>
                  <w:r>
                    <w:rPr>
                      <w:rFonts w:hint="eastAsia" w:ascii="Times New Roman" w:hAnsi="Times New Roman" w:eastAsia="宋体" w:cs="宋体"/>
                      <w:szCs w:val="21"/>
                    </w:rPr>
                    <w:t>中等湿度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10" w:type="dxa"/>
                  <w:vMerge w:val="restart"/>
                  <w:tcBorders>
                    <w:top w:val="single" w:color="auto" w:sz="4" w:space="0"/>
                    <w:left w:val="nil"/>
                    <w:bottom w:val="single" w:color="auto" w:sz="4" w:space="0"/>
                    <w:right w:val="single" w:color="auto" w:sz="4" w:space="0"/>
                  </w:tcBorders>
                  <w:vAlign w:val="center"/>
                </w:tcPr>
                <w:p>
                  <w:pPr>
                    <w:jc w:val="center"/>
                    <w:rPr>
                      <w:rFonts w:ascii="Times New Roman" w:hAnsi="Times New Roman" w:eastAsia="宋体" w:cs="宋体"/>
                      <w:bCs/>
                      <w:kern w:val="0"/>
                      <w:szCs w:val="21"/>
                    </w:rPr>
                  </w:pPr>
                  <w:r>
                    <w:rPr>
                      <w:rFonts w:hint="eastAsia" w:ascii="Times New Roman" w:hAnsi="Times New Roman" w:eastAsia="宋体" w:cs="宋体"/>
                      <w:bCs/>
                      <w:szCs w:val="21"/>
                    </w:rPr>
                    <w:t>是否考虑地形</w:t>
                  </w:r>
                </w:p>
              </w:tc>
              <w:tc>
                <w:tcPr>
                  <w:tcW w:w="3899"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宋体"/>
                      <w:bCs/>
                      <w:kern w:val="0"/>
                      <w:szCs w:val="21"/>
                    </w:rPr>
                  </w:pPr>
                  <w:r>
                    <w:rPr>
                      <w:rFonts w:hint="eastAsia" w:ascii="Times New Roman" w:hAnsi="Times New Roman" w:eastAsia="宋体" w:cs="宋体"/>
                      <w:bCs/>
                      <w:szCs w:val="21"/>
                    </w:rPr>
                    <w:t>考虑地形</w:t>
                  </w:r>
                </w:p>
              </w:tc>
              <w:tc>
                <w:tcPr>
                  <w:tcW w:w="3326" w:type="dxa"/>
                  <w:tcBorders>
                    <w:top w:val="single" w:color="auto" w:sz="4" w:space="0"/>
                    <w:left w:val="single" w:color="auto" w:sz="4" w:space="0"/>
                    <w:bottom w:val="single" w:color="auto" w:sz="4" w:space="0"/>
                    <w:right w:val="nil"/>
                  </w:tcBorders>
                  <w:vAlign w:val="center"/>
                </w:tcPr>
                <w:p>
                  <w:pPr>
                    <w:jc w:val="center"/>
                    <w:rPr>
                      <w:rFonts w:ascii="Times New Roman" w:hAnsi="Times New Roman" w:eastAsia="宋体" w:cs="宋体"/>
                      <w:bCs/>
                      <w:kern w:val="0"/>
                      <w:szCs w:val="21"/>
                    </w:rPr>
                  </w:pPr>
                  <w:r>
                    <w:rPr>
                      <w:rFonts w:ascii="Times New Roman" w:hAnsi="Times New Roman" w:eastAsia="宋体"/>
                      <w:szCs w:val="21"/>
                    </w:rPr>
                    <w:t>□</w:t>
                  </w:r>
                  <w:r>
                    <w:rPr>
                      <w:rFonts w:hint="eastAsia" w:ascii="Times New Roman" w:hAnsi="Times New Roman" w:eastAsia="宋体"/>
                      <w:szCs w:val="21"/>
                    </w:rPr>
                    <w:t>是</w:t>
                  </w:r>
                  <w:r>
                    <w:rPr>
                      <w:rFonts w:ascii="Times New Roman" w:hAnsi="Times New Roman" w:eastAsia="宋体"/>
                      <w:szCs w:val="21"/>
                    </w:rPr>
                    <w:t xml:space="preserve">  </w:t>
                  </w:r>
                  <w:r>
                    <w:rPr>
                      <w:rFonts w:ascii="Times New Roman" w:hAnsi="Times New Roman" w:eastAsia="宋体"/>
                      <w:szCs w:val="21"/>
                    </w:rPr>
                    <w:fldChar w:fldCharType="begin"/>
                  </w:r>
                  <w:r>
                    <w:rPr>
                      <w:rFonts w:ascii="Times New Roman" w:hAnsi="Times New Roman" w:eastAsia="宋体"/>
                      <w:szCs w:val="21"/>
                    </w:rPr>
                    <w:instrText xml:space="preserve"> eq \o\ac(□,√)</w:instrText>
                  </w:r>
                  <w:r>
                    <w:rPr>
                      <w:rFonts w:ascii="Times New Roman" w:hAnsi="Times New Roman" w:eastAsia="宋体"/>
                      <w:szCs w:val="21"/>
                    </w:rPr>
                    <w:fldChar w:fldCharType="end"/>
                  </w:r>
                  <w:r>
                    <w:rPr>
                      <w:rFonts w:hint="eastAsia" w:ascii="Times New Roman" w:hAnsi="Times New Roman" w:eastAsia="宋体"/>
                      <w:szCs w:val="21"/>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09" w:type="dxa"/>
                  <w:vMerge w:val="continue"/>
                  <w:tcBorders>
                    <w:top w:val="single" w:color="auto" w:sz="4" w:space="0"/>
                    <w:left w:val="nil"/>
                    <w:bottom w:val="single" w:color="auto" w:sz="4" w:space="0"/>
                    <w:right w:val="single" w:color="auto" w:sz="4" w:space="0"/>
                  </w:tcBorders>
                  <w:vAlign w:val="center"/>
                </w:tcPr>
                <w:p>
                  <w:pPr>
                    <w:widowControl/>
                    <w:jc w:val="left"/>
                    <w:rPr>
                      <w:rFonts w:ascii="Times New Roman" w:hAnsi="Times New Roman" w:eastAsia="宋体" w:cs="宋体"/>
                      <w:bCs/>
                      <w:kern w:val="0"/>
                      <w:szCs w:val="21"/>
                    </w:rPr>
                  </w:pPr>
                </w:p>
              </w:tc>
              <w:tc>
                <w:tcPr>
                  <w:tcW w:w="3899"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宋体"/>
                      <w:bCs/>
                      <w:kern w:val="0"/>
                      <w:szCs w:val="21"/>
                    </w:rPr>
                  </w:pPr>
                  <w:r>
                    <w:rPr>
                      <w:rFonts w:hint="eastAsia" w:ascii="Times New Roman" w:hAnsi="Times New Roman" w:eastAsia="宋体" w:cs="宋体"/>
                      <w:bCs/>
                      <w:szCs w:val="21"/>
                    </w:rPr>
                    <w:t>地形数据分辨率</w:t>
                  </w:r>
                  <w:r>
                    <w:rPr>
                      <w:rFonts w:ascii="Times New Roman" w:hAnsi="Times New Roman" w:eastAsia="宋体" w:cs="宋体"/>
                      <w:bCs/>
                      <w:szCs w:val="21"/>
                    </w:rPr>
                    <w:t>/m</w:t>
                  </w:r>
                </w:p>
              </w:tc>
              <w:tc>
                <w:tcPr>
                  <w:tcW w:w="3326" w:type="dxa"/>
                  <w:tcBorders>
                    <w:top w:val="single" w:color="auto" w:sz="4" w:space="0"/>
                    <w:left w:val="single" w:color="auto" w:sz="4" w:space="0"/>
                    <w:bottom w:val="single" w:color="auto" w:sz="4" w:space="0"/>
                    <w:right w:val="nil"/>
                  </w:tcBorders>
                  <w:vAlign w:val="center"/>
                </w:tcPr>
                <w:p>
                  <w:pPr>
                    <w:jc w:val="center"/>
                    <w:rPr>
                      <w:rFonts w:ascii="Times New Roman" w:hAnsi="Times New Roman" w:eastAsia="宋体" w:cs="宋体"/>
                      <w:bCs/>
                      <w:kern w:val="0"/>
                      <w:szCs w:val="21"/>
                    </w:rPr>
                  </w:pPr>
                  <w:r>
                    <w:rPr>
                      <w:rFonts w:ascii="Times New Roman" w:hAnsi="Times New Roman" w:eastAsia="宋体" w:cs="宋体"/>
                      <w:bCs/>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10" w:type="dxa"/>
                  <w:vMerge w:val="restart"/>
                  <w:tcBorders>
                    <w:top w:val="single" w:color="auto" w:sz="4" w:space="0"/>
                    <w:left w:val="nil"/>
                    <w:bottom w:val="single" w:color="auto" w:sz="12" w:space="0"/>
                    <w:right w:val="single" w:color="auto" w:sz="4" w:space="0"/>
                  </w:tcBorders>
                  <w:vAlign w:val="center"/>
                </w:tcPr>
                <w:p>
                  <w:pPr>
                    <w:jc w:val="center"/>
                    <w:rPr>
                      <w:rFonts w:ascii="Times New Roman" w:hAnsi="Times New Roman" w:eastAsia="宋体" w:cs="宋体"/>
                      <w:bCs/>
                      <w:szCs w:val="21"/>
                    </w:rPr>
                  </w:pPr>
                  <w:r>
                    <w:rPr>
                      <w:rFonts w:hint="eastAsia" w:ascii="Times New Roman" w:hAnsi="Times New Roman" w:eastAsia="宋体" w:cs="宋体"/>
                      <w:bCs/>
                      <w:szCs w:val="21"/>
                    </w:rPr>
                    <w:t>是否考虑岸线</w:t>
                  </w:r>
                </w:p>
                <w:p>
                  <w:pPr>
                    <w:jc w:val="center"/>
                    <w:rPr>
                      <w:rFonts w:ascii="Times New Roman" w:hAnsi="Times New Roman" w:eastAsia="宋体" w:cs="宋体"/>
                      <w:bCs/>
                      <w:kern w:val="0"/>
                      <w:szCs w:val="21"/>
                    </w:rPr>
                  </w:pPr>
                  <w:r>
                    <w:rPr>
                      <w:rFonts w:hint="eastAsia" w:ascii="Times New Roman" w:hAnsi="Times New Roman" w:eastAsia="宋体" w:cs="宋体"/>
                      <w:bCs/>
                      <w:szCs w:val="21"/>
                    </w:rPr>
                    <w:t>熏烟</w:t>
                  </w:r>
                </w:p>
              </w:tc>
              <w:tc>
                <w:tcPr>
                  <w:tcW w:w="3899"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宋体"/>
                      <w:bCs/>
                      <w:kern w:val="0"/>
                      <w:szCs w:val="21"/>
                    </w:rPr>
                  </w:pPr>
                  <w:r>
                    <w:rPr>
                      <w:rFonts w:hint="eastAsia" w:ascii="Times New Roman" w:hAnsi="Times New Roman" w:eastAsia="宋体" w:cs="宋体"/>
                      <w:bCs/>
                      <w:szCs w:val="21"/>
                    </w:rPr>
                    <w:t>考虑岸线熏烟</w:t>
                  </w:r>
                </w:p>
              </w:tc>
              <w:tc>
                <w:tcPr>
                  <w:tcW w:w="3326" w:type="dxa"/>
                  <w:tcBorders>
                    <w:top w:val="single" w:color="auto" w:sz="4" w:space="0"/>
                    <w:left w:val="single" w:color="auto" w:sz="4" w:space="0"/>
                    <w:bottom w:val="single" w:color="auto" w:sz="4" w:space="0"/>
                    <w:right w:val="nil"/>
                  </w:tcBorders>
                  <w:vAlign w:val="center"/>
                </w:tcPr>
                <w:p>
                  <w:pPr>
                    <w:jc w:val="center"/>
                    <w:rPr>
                      <w:rFonts w:ascii="Times New Roman" w:hAnsi="Times New Roman" w:eastAsia="宋体" w:cs="宋体"/>
                      <w:bCs/>
                      <w:kern w:val="0"/>
                      <w:szCs w:val="21"/>
                    </w:rPr>
                  </w:pPr>
                  <w:r>
                    <w:rPr>
                      <w:rFonts w:ascii="Times New Roman" w:hAnsi="Times New Roman" w:eastAsia="宋体"/>
                      <w:szCs w:val="21"/>
                    </w:rPr>
                    <w:t>□</w:t>
                  </w:r>
                  <w:r>
                    <w:rPr>
                      <w:rFonts w:hint="eastAsia" w:ascii="Times New Roman" w:hAnsi="Times New Roman" w:eastAsia="宋体"/>
                      <w:szCs w:val="21"/>
                    </w:rPr>
                    <w:t>是</w:t>
                  </w:r>
                  <w:r>
                    <w:rPr>
                      <w:rFonts w:ascii="Times New Roman" w:hAnsi="Times New Roman" w:eastAsia="宋体"/>
                      <w:szCs w:val="21"/>
                    </w:rPr>
                    <w:t xml:space="preserve">  </w:t>
                  </w:r>
                  <w:r>
                    <w:rPr>
                      <w:rFonts w:ascii="Times New Roman" w:hAnsi="Times New Roman" w:eastAsia="宋体"/>
                      <w:szCs w:val="21"/>
                    </w:rPr>
                    <w:fldChar w:fldCharType="begin"/>
                  </w:r>
                  <w:r>
                    <w:rPr>
                      <w:rFonts w:ascii="Times New Roman" w:hAnsi="Times New Roman" w:eastAsia="宋体"/>
                      <w:szCs w:val="21"/>
                    </w:rPr>
                    <w:instrText xml:space="preserve"> eq \o\ac(□,</w:instrText>
                  </w:r>
                  <w:r>
                    <w:rPr>
                      <w:rFonts w:ascii="Times New Roman" w:hAnsi="Times New Roman" w:eastAsia="宋体"/>
                      <w:position w:val="1"/>
                      <w:sz w:val="14"/>
                      <w:szCs w:val="21"/>
                    </w:rPr>
                    <w:instrText xml:space="preserve">√</w:instrText>
                  </w:r>
                  <w:r>
                    <w:rPr>
                      <w:rFonts w:ascii="Times New Roman" w:hAnsi="Times New Roman" w:eastAsia="宋体"/>
                      <w:szCs w:val="21"/>
                    </w:rPr>
                    <w:instrText xml:space="preserve">)</w:instrText>
                  </w:r>
                  <w:r>
                    <w:rPr>
                      <w:rFonts w:ascii="Times New Roman" w:hAnsi="Times New Roman" w:eastAsia="宋体"/>
                      <w:szCs w:val="21"/>
                    </w:rPr>
                    <w:fldChar w:fldCharType="end"/>
                  </w:r>
                  <w:r>
                    <w:rPr>
                      <w:rFonts w:hint="eastAsia" w:ascii="Times New Roman" w:hAnsi="Times New Roman" w:eastAsia="宋体"/>
                      <w:szCs w:val="21"/>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09" w:type="dxa"/>
                  <w:vMerge w:val="continue"/>
                  <w:tcBorders>
                    <w:top w:val="single" w:color="auto" w:sz="4" w:space="0"/>
                    <w:left w:val="nil"/>
                    <w:bottom w:val="single" w:color="auto" w:sz="12" w:space="0"/>
                    <w:right w:val="single" w:color="auto" w:sz="4" w:space="0"/>
                  </w:tcBorders>
                  <w:vAlign w:val="center"/>
                </w:tcPr>
                <w:p>
                  <w:pPr>
                    <w:widowControl/>
                    <w:jc w:val="left"/>
                    <w:rPr>
                      <w:rFonts w:ascii="Times New Roman" w:hAnsi="Times New Roman" w:eastAsia="宋体" w:cs="宋体"/>
                      <w:bCs/>
                      <w:kern w:val="0"/>
                      <w:szCs w:val="21"/>
                    </w:rPr>
                  </w:pPr>
                </w:p>
              </w:tc>
              <w:tc>
                <w:tcPr>
                  <w:tcW w:w="3899"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宋体"/>
                      <w:bCs/>
                      <w:kern w:val="0"/>
                      <w:szCs w:val="21"/>
                    </w:rPr>
                  </w:pPr>
                  <w:r>
                    <w:rPr>
                      <w:rFonts w:hint="eastAsia" w:ascii="Times New Roman" w:hAnsi="Times New Roman" w:eastAsia="宋体" w:cs="宋体"/>
                      <w:bCs/>
                      <w:szCs w:val="21"/>
                    </w:rPr>
                    <w:t>岸线距离</w:t>
                  </w:r>
                  <w:r>
                    <w:rPr>
                      <w:rFonts w:ascii="Times New Roman" w:hAnsi="Times New Roman" w:eastAsia="宋体" w:cs="宋体"/>
                      <w:bCs/>
                      <w:szCs w:val="21"/>
                    </w:rPr>
                    <w:t>/m</w:t>
                  </w:r>
                </w:p>
              </w:tc>
              <w:tc>
                <w:tcPr>
                  <w:tcW w:w="3326" w:type="dxa"/>
                  <w:tcBorders>
                    <w:top w:val="single" w:color="auto" w:sz="4" w:space="0"/>
                    <w:left w:val="single" w:color="auto" w:sz="4" w:space="0"/>
                    <w:bottom w:val="single" w:color="auto" w:sz="4" w:space="0"/>
                    <w:right w:val="nil"/>
                  </w:tcBorders>
                  <w:vAlign w:val="center"/>
                </w:tcPr>
                <w:p>
                  <w:pPr>
                    <w:jc w:val="center"/>
                    <w:rPr>
                      <w:rFonts w:ascii="Times New Roman" w:hAnsi="Times New Roman" w:eastAsia="宋体" w:cs="宋体"/>
                      <w:bCs/>
                      <w:kern w:val="0"/>
                      <w:szCs w:val="21"/>
                    </w:rPr>
                  </w:pPr>
                  <w:r>
                    <w:rPr>
                      <w:rFonts w:ascii="Times New Roman" w:hAnsi="Times New Roman" w:eastAsia="宋体" w:cs="宋体"/>
                      <w:bCs/>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09" w:type="dxa"/>
                  <w:vMerge w:val="continue"/>
                  <w:tcBorders>
                    <w:top w:val="single" w:color="auto" w:sz="4" w:space="0"/>
                    <w:left w:val="nil"/>
                    <w:bottom w:val="single" w:color="auto" w:sz="12" w:space="0"/>
                    <w:right w:val="single" w:color="auto" w:sz="4" w:space="0"/>
                  </w:tcBorders>
                  <w:vAlign w:val="center"/>
                </w:tcPr>
                <w:p>
                  <w:pPr>
                    <w:widowControl/>
                    <w:jc w:val="left"/>
                    <w:rPr>
                      <w:rFonts w:ascii="Times New Roman" w:hAnsi="Times New Roman" w:eastAsia="宋体" w:cs="宋体"/>
                      <w:bCs/>
                      <w:kern w:val="0"/>
                      <w:szCs w:val="21"/>
                    </w:rPr>
                  </w:pPr>
                </w:p>
              </w:tc>
              <w:tc>
                <w:tcPr>
                  <w:tcW w:w="3899" w:type="dxa"/>
                  <w:tcBorders>
                    <w:top w:val="single" w:color="auto" w:sz="4" w:space="0"/>
                    <w:left w:val="single" w:color="auto" w:sz="4" w:space="0"/>
                    <w:bottom w:val="single" w:color="auto" w:sz="12" w:space="0"/>
                    <w:right w:val="single" w:color="auto" w:sz="4" w:space="0"/>
                  </w:tcBorders>
                  <w:vAlign w:val="center"/>
                </w:tcPr>
                <w:p>
                  <w:pPr>
                    <w:jc w:val="center"/>
                    <w:rPr>
                      <w:rFonts w:ascii="Times New Roman" w:hAnsi="Times New Roman" w:eastAsia="宋体" w:cs="宋体"/>
                      <w:bCs/>
                      <w:kern w:val="0"/>
                      <w:szCs w:val="21"/>
                    </w:rPr>
                  </w:pPr>
                  <w:r>
                    <w:rPr>
                      <w:rFonts w:hint="eastAsia" w:ascii="Times New Roman" w:hAnsi="Times New Roman" w:eastAsia="宋体" w:cs="宋体"/>
                      <w:bCs/>
                      <w:szCs w:val="21"/>
                    </w:rPr>
                    <w:t>岸线方向</w:t>
                  </w:r>
                  <w:r>
                    <w:rPr>
                      <w:rFonts w:ascii="Times New Roman" w:hAnsi="Times New Roman" w:eastAsia="宋体" w:cs="宋体"/>
                      <w:bCs/>
                      <w:szCs w:val="21"/>
                    </w:rPr>
                    <w:t>/°</w:t>
                  </w:r>
                </w:p>
              </w:tc>
              <w:tc>
                <w:tcPr>
                  <w:tcW w:w="3326" w:type="dxa"/>
                  <w:tcBorders>
                    <w:top w:val="single" w:color="auto" w:sz="4" w:space="0"/>
                    <w:left w:val="single" w:color="auto" w:sz="4" w:space="0"/>
                    <w:bottom w:val="single" w:color="auto" w:sz="12" w:space="0"/>
                    <w:right w:val="nil"/>
                  </w:tcBorders>
                  <w:vAlign w:val="center"/>
                </w:tcPr>
                <w:p>
                  <w:pPr>
                    <w:jc w:val="center"/>
                    <w:rPr>
                      <w:rFonts w:ascii="Times New Roman" w:hAnsi="Times New Roman" w:eastAsia="宋体" w:cs="宋体"/>
                      <w:bCs/>
                      <w:kern w:val="0"/>
                      <w:szCs w:val="21"/>
                    </w:rPr>
                  </w:pPr>
                  <w:r>
                    <w:rPr>
                      <w:rFonts w:ascii="Times New Roman" w:hAnsi="Times New Roman" w:eastAsia="宋体" w:cs="宋体"/>
                      <w:bCs/>
                      <w:szCs w:val="21"/>
                    </w:rPr>
                    <w:t>--</w:t>
                  </w:r>
                </w:p>
              </w:tc>
            </w:tr>
          </w:tbl>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jc w:val="left"/>
              <w:textAlignment w:val="auto"/>
              <w:outlineLvl w:val="9"/>
              <w:rPr>
                <w:rFonts w:hint="default" w:ascii="Times New Roman" w:hAnsi="Times New Roman" w:eastAsia="黑体" w:cs="Times New Roman"/>
                <w:b w:val="0"/>
                <w:bCs w:val="0"/>
                <w:color w:val="auto"/>
                <w:kern w:val="2"/>
                <w:sz w:val="22"/>
                <w:szCs w:val="18"/>
                <w:u w:val="none"/>
                <w:lang w:val="en-US" w:eastAsia="zh-CN" w:bidi="ar-SA"/>
              </w:rPr>
            </w:pPr>
            <w:r>
              <w:rPr>
                <w:rFonts w:hint="default" w:ascii="Times New Roman" w:hAnsi="Times New Roman" w:eastAsia="宋体" w:cs="Times New Roman"/>
                <w:b w:val="0"/>
                <w:bCs w:val="0"/>
                <w:color w:val="auto"/>
                <w:kern w:val="2"/>
                <w:sz w:val="24"/>
                <w:szCs w:val="24"/>
                <w:u w:val="none"/>
                <w:lang w:val="en-US" w:eastAsia="zh-CN" w:bidi="ar-SA"/>
              </w:rPr>
              <w:t>面源参数见</w:t>
            </w:r>
            <w:r>
              <w:rPr>
                <w:rFonts w:hint="eastAsia" w:cs="Times New Roman"/>
                <w:b w:val="0"/>
                <w:bCs w:val="0"/>
                <w:color w:val="auto"/>
                <w:kern w:val="2"/>
                <w:sz w:val="24"/>
                <w:szCs w:val="24"/>
                <w:u w:val="none"/>
                <w:lang w:val="en-US" w:eastAsia="zh-CN" w:bidi="ar-SA"/>
              </w:rPr>
              <w:t>下</w:t>
            </w:r>
            <w:r>
              <w:rPr>
                <w:rFonts w:hint="default" w:ascii="Times New Roman" w:hAnsi="Times New Roman" w:eastAsia="宋体" w:cs="Times New Roman"/>
                <w:b w:val="0"/>
                <w:bCs w:val="0"/>
                <w:color w:val="auto"/>
                <w:kern w:val="2"/>
                <w:sz w:val="24"/>
                <w:szCs w:val="24"/>
                <w:u w:val="none"/>
                <w:lang w:val="en-US" w:eastAsia="zh-CN" w:bidi="ar-SA"/>
              </w:rPr>
              <w:t>表</w:t>
            </w:r>
            <w:r>
              <w:rPr>
                <w:rFonts w:hint="eastAsia" w:cs="Times New Roman"/>
                <w:b w:val="0"/>
                <w:bCs w:val="0"/>
                <w:color w:val="auto"/>
                <w:kern w:val="2"/>
                <w:sz w:val="24"/>
                <w:szCs w:val="24"/>
                <w:u w:val="none"/>
                <w:lang w:val="en-US" w:eastAsia="zh-CN" w:bidi="ar-SA"/>
              </w:rPr>
              <w:t>：</w:t>
            </w:r>
          </w:p>
          <w:p>
            <w:pPr>
              <w:pStyle w:val="7"/>
              <w:spacing w:beforeLines="50"/>
              <w:jc w:val="center"/>
              <w:rPr>
                <w:rFonts w:hint="default" w:ascii="Times New Roman" w:hAnsi="宋体" w:cs="Times New Roman"/>
                <w:b/>
                <w:bCs w:val="0"/>
                <w:sz w:val="24"/>
                <w:szCs w:val="24"/>
                <w:lang w:val="en-US" w:eastAsia="zh-CN"/>
              </w:rPr>
            </w:pPr>
            <w:r>
              <w:rPr>
                <w:rFonts w:hint="default" w:ascii="Times New Roman" w:hAnsi="宋体" w:cs="Times New Roman"/>
                <w:b/>
                <w:bCs w:val="0"/>
                <w:sz w:val="24"/>
                <w:szCs w:val="24"/>
                <w:lang w:val="en-US" w:eastAsia="zh-CN"/>
              </w:rPr>
              <w:t>表</w:t>
            </w:r>
            <w:r>
              <w:rPr>
                <w:rFonts w:hint="eastAsia" w:ascii="Times New Roman" w:hAnsi="宋体" w:cs="Times New Roman"/>
                <w:b/>
                <w:bCs w:val="0"/>
                <w:sz w:val="24"/>
                <w:szCs w:val="24"/>
                <w:lang w:val="en-US" w:eastAsia="zh-CN"/>
              </w:rPr>
              <w:t>2</w:t>
            </w:r>
            <w:r>
              <w:rPr>
                <w:rFonts w:hint="eastAsia" w:hAnsi="宋体" w:cs="Times New Roman"/>
                <w:b/>
                <w:bCs w:val="0"/>
                <w:sz w:val="24"/>
                <w:szCs w:val="24"/>
                <w:lang w:val="en-US" w:eastAsia="zh-CN"/>
              </w:rPr>
              <w:t>8</w:t>
            </w:r>
            <w:r>
              <w:rPr>
                <w:rFonts w:hint="eastAsia" w:ascii="Times New Roman" w:hAnsi="宋体" w:cs="Times New Roman"/>
                <w:b/>
                <w:bCs w:val="0"/>
                <w:sz w:val="24"/>
                <w:szCs w:val="24"/>
                <w:lang w:val="en-US" w:eastAsia="zh-CN"/>
              </w:rPr>
              <w:t xml:space="preserve">  </w:t>
            </w:r>
            <w:r>
              <w:rPr>
                <w:rFonts w:hint="default" w:ascii="Times New Roman" w:hAnsi="宋体" w:cs="Times New Roman"/>
                <w:b/>
                <w:bCs w:val="0"/>
                <w:sz w:val="24"/>
                <w:szCs w:val="24"/>
                <w:lang w:val="en-US" w:eastAsia="zh-CN"/>
              </w:rPr>
              <w:t>面源参数表</w:t>
            </w:r>
          </w:p>
          <w:tbl>
            <w:tblPr>
              <w:tblStyle w:val="23"/>
              <w:tblW w:w="8981" w:type="dxa"/>
              <w:jc w:val="center"/>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906"/>
              <w:gridCol w:w="568"/>
              <w:gridCol w:w="1206"/>
              <w:gridCol w:w="1109"/>
              <w:gridCol w:w="586"/>
              <w:gridCol w:w="463"/>
              <w:gridCol w:w="524"/>
              <w:gridCol w:w="514"/>
              <w:gridCol w:w="773"/>
              <w:gridCol w:w="667"/>
              <w:gridCol w:w="655"/>
              <w:gridCol w:w="1010"/>
            </w:tblGrid>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906" w:type="dxa"/>
                  <w:vMerge w:val="restart"/>
                  <w:tcBorders>
                    <w:tl2br w:val="nil"/>
                    <w:tr2bl w:val="nil"/>
                  </w:tcBorders>
                  <w:noWrap w:val="0"/>
                  <w:vAlign w:val="center"/>
                </w:tcPr>
                <w:p>
                  <w:pPr>
                    <w:keepNext w:val="0"/>
                    <w:keepLines w:val="0"/>
                    <w:pageBreakBefore w:val="0"/>
                    <w:widowControl w:val="0"/>
                    <w:wordWrap/>
                    <w:topLinePunct w:val="0"/>
                    <w:bidi w:val="0"/>
                    <w:adjustRightInd/>
                    <w:snapToGrid/>
                    <w:jc w:val="center"/>
                    <w:textAlignment w:val="auto"/>
                    <w:rPr>
                      <w:rFonts w:hint="eastAsia" w:ascii="Times New Roman" w:hAnsi="Times New Roman"/>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序号</w:t>
                  </w:r>
                </w:p>
              </w:tc>
              <w:tc>
                <w:tcPr>
                  <w:tcW w:w="568" w:type="dxa"/>
                  <w:vMerge w:val="restart"/>
                  <w:tcBorders>
                    <w:tl2br w:val="nil"/>
                    <w:tr2bl w:val="nil"/>
                  </w:tcBorders>
                  <w:noWrap w:val="0"/>
                  <w:vAlign w:val="center"/>
                </w:tcPr>
                <w:p>
                  <w:pPr>
                    <w:keepNext w:val="0"/>
                    <w:keepLines w:val="0"/>
                    <w:pageBreakBefore w:val="0"/>
                    <w:widowControl w:val="0"/>
                    <w:wordWrap/>
                    <w:topLinePunct w:val="0"/>
                    <w:bidi w:val="0"/>
                    <w:adjustRightInd/>
                    <w:snapToGrid/>
                    <w:jc w:val="center"/>
                    <w:textAlignment w:val="auto"/>
                    <w:rPr>
                      <w:rFonts w:hint="eastAsia" w:ascii="Times New Roman" w:hAnsi="Times New Roman" w:eastAsia="宋体"/>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名称</w:t>
                  </w:r>
                </w:p>
              </w:tc>
              <w:tc>
                <w:tcPr>
                  <w:tcW w:w="2315" w:type="dxa"/>
                  <w:gridSpan w:val="2"/>
                  <w:tcBorders>
                    <w:tl2br w:val="nil"/>
                    <w:tr2bl w:val="nil"/>
                  </w:tcBorders>
                  <w:noWrap w:val="0"/>
                  <w:vAlign w:val="center"/>
                </w:tcPr>
                <w:p>
                  <w:pPr>
                    <w:keepNext w:val="0"/>
                    <w:keepLines w:val="0"/>
                    <w:pageBreakBefore w:val="0"/>
                    <w:widowControl w:val="0"/>
                    <w:wordWrap/>
                    <w:topLinePunct w:val="0"/>
                    <w:bidi w:val="0"/>
                    <w:adjustRightInd/>
                    <w:snapToGrid/>
                    <w:jc w:val="center"/>
                    <w:textAlignment w:val="auto"/>
                    <w:rPr>
                      <w:rFonts w:hint="eastAsia" w:ascii="Times New Roman" w:hAnsi="Times New Roman"/>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面源起点</w:t>
                  </w:r>
                </w:p>
                <w:p>
                  <w:pPr>
                    <w:keepNext w:val="0"/>
                    <w:keepLines w:val="0"/>
                    <w:pageBreakBefore w:val="0"/>
                    <w:widowControl w:val="0"/>
                    <w:wordWrap/>
                    <w:topLinePunct w:val="0"/>
                    <w:bidi w:val="0"/>
                    <w:adjustRightInd/>
                    <w:snapToGrid/>
                    <w:jc w:val="center"/>
                    <w:textAlignment w:val="auto"/>
                    <w:rPr>
                      <w:rFonts w:hint="eastAsia" w:ascii="Times New Roman" w:hAnsi="Times New Roman"/>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坐标</w:t>
                  </w:r>
                </w:p>
              </w:tc>
              <w:tc>
                <w:tcPr>
                  <w:tcW w:w="586" w:type="dxa"/>
                  <w:vMerge w:val="restart"/>
                  <w:tcBorders>
                    <w:tl2br w:val="nil"/>
                    <w:tr2bl w:val="nil"/>
                  </w:tcBorders>
                  <w:noWrap w:val="0"/>
                  <w:vAlign w:val="center"/>
                </w:tcPr>
                <w:p>
                  <w:pPr>
                    <w:keepNext w:val="0"/>
                    <w:keepLines w:val="0"/>
                    <w:pageBreakBefore w:val="0"/>
                    <w:widowControl w:val="0"/>
                    <w:wordWrap/>
                    <w:topLinePunct w:val="0"/>
                    <w:bidi w:val="0"/>
                    <w:adjustRightInd/>
                    <w:snapToGrid/>
                    <w:jc w:val="center"/>
                    <w:textAlignment w:val="auto"/>
                    <w:rPr>
                      <w:rFonts w:hint="eastAsia" w:ascii="Times New Roman" w:hAnsi="Times New Roman"/>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面源海拔高度</w:t>
                  </w:r>
                </w:p>
              </w:tc>
              <w:tc>
                <w:tcPr>
                  <w:tcW w:w="463" w:type="dxa"/>
                  <w:vMerge w:val="restart"/>
                  <w:tcBorders>
                    <w:tl2br w:val="nil"/>
                    <w:tr2bl w:val="nil"/>
                  </w:tcBorders>
                  <w:noWrap w:val="0"/>
                  <w:vAlign w:val="center"/>
                </w:tcPr>
                <w:p>
                  <w:pPr>
                    <w:keepNext w:val="0"/>
                    <w:keepLines w:val="0"/>
                    <w:pageBreakBefore w:val="0"/>
                    <w:widowControl w:val="0"/>
                    <w:wordWrap/>
                    <w:topLinePunct w:val="0"/>
                    <w:bidi w:val="0"/>
                    <w:adjustRightInd/>
                    <w:snapToGrid/>
                    <w:jc w:val="center"/>
                    <w:textAlignment w:val="auto"/>
                    <w:rPr>
                      <w:rFonts w:hint="eastAsia" w:ascii="Times New Roman" w:hAnsi="Times New Roman"/>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面源长度/m</w:t>
                  </w:r>
                </w:p>
              </w:tc>
              <w:tc>
                <w:tcPr>
                  <w:tcW w:w="524" w:type="dxa"/>
                  <w:vMerge w:val="restart"/>
                  <w:tcBorders>
                    <w:tl2br w:val="nil"/>
                    <w:tr2bl w:val="nil"/>
                  </w:tcBorders>
                  <w:noWrap w:val="0"/>
                  <w:vAlign w:val="center"/>
                </w:tcPr>
                <w:p>
                  <w:pPr>
                    <w:keepNext w:val="0"/>
                    <w:keepLines w:val="0"/>
                    <w:pageBreakBefore w:val="0"/>
                    <w:widowControl w:val="0"/>
                    <w:wordWrap/>
                    <w:topLinePunct w:val="0"/>
                    <w:bidi w:val="0"/>
                    <w:adjustRightInd/>
                    <w:snapToGrid/>
                    <w:jc w:val="center"/>
                    <w:textAlignment w:val="auto"/>
                    <w:rPr>
                      <w:rFonts w:hint="eastAsia" w:ascii="Times New Roman" w:hAnsi="Times New Roman"/>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面源宽度/m</w:t>
                  </w:r>
                </w:p>
              </w:tc>
              <w:tc>
                <w:tcPr>
                  <w:tcW w:w="514" w:type="dxa"/>
                  <w:vMerge w:val="restart"/>
                  <w:tcBorders>
                    <w:tl2br w:val="nil"/>
                    <w:tr2bl w:val="nil"/>
                  </w:tcBorders>
                  <w:noWrap w:val="0"/>
                  <w:vAlign w:val="center"/>
                </w:tcPr>
                <w:p>
                  <w:pPr>
                    <w:keepNext w:val="0"/>
                    <w:keepLines w:val="0"/>
                    <w:pageBreakBefore w:val="0"/>
                    <w:widowControl w:val="0"/>
                    <w:wordWrap/>
                    <w:topLinePunct w:val="0"/>
                    <w:bidi w:val="0"/>
                    <w:adjustRightInd/>
                    <w:snapToGrid/>
                    <w:jc w:val="center"/>
                    <w:textAlignment w:val="auto"/>
                    <w:rPr>
                      <w:rFonts w:hint="eastAsia" w:ascii="Times New Roman" w:hAnsi="Times New Roman"/>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与正北向夹角/°</w:t>
                  </w:r>
                </w:p>
              </w:tc>
              <w:tc>
                <w:tcPr>
                  <w:tcW w:w="773" w:type="dxa"/>
                  <w:vMerge w:val="restart"/>
                  <w:tcBorders>
                    <w:tl2br w:val="nil"/>
                    <w:tr2bl w:val="nil"/>
                  </w:tcBorders>
                  <w:noWrap w:val="0"/>
                  <w:vAlign w:val="center"/>
                </w:tcPr>
                <w:p>
                  <w:pPr>
                    <w:keepNext w:val="0"/>
                    <w:keepLines w:val="0"/>
                    <w:pageBreakBefore w:val="0"/>
                    <w:widowControl w:val="0"/>
                    <w:wordWrap/>
                    <w:topLinePunct w:val="0"/>
                    <w:bidi w:val="0"/>
                    <w:adjustRightInd/>
                    <w:snapToGrid/>
                    <w:jc w:val="center"/>
                    <w:textAlignment w:val="auto"/>
                    <w:rPr>
                      <w:rFonts w:hint="eastAsia" w:ascii="Times New Roman" w:hAnsi="Times New Roman"/>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面源有效排放高度/m</w:t>
                  </w:r>
                </w:p>
              </w:tc>
              <w:tc>
                <w:tcPr>
                  <w:tcW w:w="667" w:type="dxa"/>
                  <w:vMerge w:val="restart"/>
                  <w:tcBorders>
                    <w:tl2br w:val="nil"/>
                    <w:tr2bl w:val="nil"/>
                  </w:tcBorders>
                  <w:noWrap w:val="0"/>
                  <w:vAlign w:val="center"/>
                </w:tcPr>
                <w:p>
                  <w:pPr>
                    <w:keepNext w:val="0"/>
                    <w:keepLines w:val="0"/>
                    <w:pageBreakBefore w:val="0"/>
                    <w:widowControl w:val="0"/>
                    <w:wordWrap/>
                    <w:topLinePunct w:val="0"/>
                    <w:bidi w:val="0"/>
                    <w:adjustRightInd/>
                    <w:snapToGrid/>
                    <w:jc w:val="center"/>
                    <w:textAlignment w:val="auto"/>
                    <w:rPr>
                      <w:rFonts w:hint="eastAsia" w:ascii="Times New Roman" w:hAnsi="Times New Roman"/>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年排放小时数（h）</w:t>
                  </w:r>
                </w:p>
              </w:tc>
              <w:tc>
                <w:tcPr>
                  <w:tcW w:w="655" w:type="dxa"/>
                  <w:vMerge w:val="restart"/>
                  <w:tcBorders>
                    <w:tl2br w:val="nil"/>
                    <w:tr2bl w:val="nil"/>
                  </w:tcBorders>
                  <w:noWrap w:val="0"/>
                  <w:vAlign w:val="center"/>
                </w:tcPr>
                <w:p>
                  <w:pPr>
                    <w:keepNext w:val="0"/>
                    <w:keepLines w:val="0"/>
                    <w:pageBreakBefore w:val="0"/>
                    <w:widowControl w:val="0"/>
                    <w:wordWrap/>
                    <w:topLinePunct w:val="0"/>
                    <w:bidi w:val="0"/>
                    <w:adjustRightInd/>
                    <w:snapToGrid/>
                    <w:jc w:val="center"/>
                    <w:textAlignment w:val="auto"/>
                    <w:rPr>
                      <w:rFonts w:hint="eastAsia" w:ascii="Times New Roman" w:hAnsi="Times New Roman"/>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排放工况</w:t>
                  </w:r>
                </w:p>
              </w:tc>
              <w:tc>
                <w:tcPr>
                  <w:tcW w:w="1010" w:type="dxa"/>
                  <w:vMerge w:val="restart"/>
                  <w:tcBorders>
                    <w:tl2br w:val="nil"/>
                    <w:tr2bl w:val="nil"/>
                  </w:tcBorders>
                  <w:noWrap w:val="0"/>
                  <w:vAlign w:val="center"/>
                </w:tcPr>
                <w:p>
                  <w:pPr>
                    <w:keepNext w:val="0"/>
                    <w:keepLines w:val="0"/>
                    <w:pageBreakBefore w:val="0"/>
                    <w:widowControl w:val="0"/>
                    <w:wordWrap/>
                    <w:topLinePunct w:val="0"/>
                    <w:bidi w:val="0"/>
                    <w:adjustRightInd/>
                    <w:snapToGrid/>
                    <w:jc w:val="center"/>
                    <w:textAlignment w:val="auto"/>
                    <w:rPr>
                      <w:rFonts w:hint="eastAsia" w:ascii="Times New Roman" w:hAnsi="Times New Roman"/>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污染物排放速率/（</w:t>
                  </w:r>
                  <w:r>
                    <w:rPr>
                      <w:rFonts w:hint="eastAsia"/>
                      <w:b w:val="0"/>
                      <w:bCs w:val="0"/>
                      <w:color w:val="auto"/>
                      <w:sz w:val="21"/>
                      <w:szCs w:val="21"/>
                      <w:u w:val="none"/>
                      <w:lang w:val="en-US" w:eastAsia="zh-CN"/>
                    </w:rPr>
                    <w:t>kg/h</w:t>
                  </w:r>
                  <w:r>
                    <w:rPr>
                      <w:rFonts w:hint="eastAsia" w:ascii="Times New Roman" w:hAnsi="Times New Roman"/>
                      <w:b w:val="0"/>
                      <w:bCs w:val="0"/>
                      <w:color w:val="auto"/>
                      <w:sz w:val="21"/>
                      <w:szCs w:val="21"/>
                      <w:u w:val="none"/>
                      <w:lang w:val="en-US" w:eastAsia="zh-CN"/>
                    </w:rPr>
                    <w:t>）</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906" w:type="dxa"/>
                  <w:vMerge w:val="continue"/>
                  <w:tcBorders>
                    <w:tl2br w:val="nil"/>
                    <w:tr2bl w:val="nil"/>
                  </w:tcBorders>
                  <w:noWrap w:val="0"/>
                  <w:vAlign w:val="center"/>
                </w:tcPr>
                <w:p>
                  <w:pPr>
                    <w:keepNext w:val="0"/>
                    <w:keepLines w:val="0"/>
                    <w:pageBreakBefore w:val="0"/>
                    <w:widowControl w:val="0"/>
                    <w:wordWrap/>
                    <w:topLinePunct w:val="0"/>
                    <w:bidi w:val="0"/>
                    <w:adjustRightInd/>
                    <w:snapToGrid/>
                    <w:jc w:val="center"/>
                    <w:textAlignment w:val="auto"/>
                    <w:rPr>
                      <w:sz w:val="21"/>
                      <w:szCs w:val="21"/>
                    </w:rPr>
                  </w:pPr>
                </w:p>
              </w:tc>
              <w:tc>
                <w:tcPr>
                  <w:tcW w:w="568" w:type="dxa"/>
                  <w:vMerge w:val="continue"/>
                  <w:tcBorders>
                    <w:tl2br w:val="nil"/>
                    <w:tr2bl w:val="nil"/>
                  </w:tcBorders>
                  <w:noWrap w:val="0"/>
                  <w:vAlign w:val="center"/>
                </w:tcPr>
                <w:p>
                  <w:pPr>
                    <w:keepNext w:val="0"/>
                    <w:keepLines w:val="0"/>
                    <w:pageBreakBefore w:val="0"/>
                    <w:widowControl w:val="0"/>
                    <w:wordWrap/>
                    <w:topLinePunct w:val="0"/>
                    <w:bidi w:val="0"/>
                    <w:adjustRightInd/>
                    <w:snapToGrid/>
                    <w:jc w:val="center"/>
                    <w:textAlignment w:val="auto"/>
                    <w:rPr>
                      <w:sz w:val="21"/>
                      <w:szCs w:val="21"/>
                    </w:rPr>
                  </w:pPr>
                </w:p>
              </w:tc>
              <w:tc>
                <w:tcPr>
                  <w:tcW w:w="1206" w:type="dxa"/>
                  <w:vMerge w:val="restart"/>
                  <w:tcBorders>
                    <w:tl2br w:val="nil"/>
                    <w:tr2bl w:val="nil"/>
                  </w:tcBorders>
                  <w:noWrap w:val="0"/>
                  <w:vAlign w:val="center"/>
                </w:tcPr>
                <w:p>
                  <w:pPr>
                    <w:keepNext w:val="0"/>
                    <w:keepLines w:val="0"/>
                    <w:pageBreakBefore w:val="0"/>
                    <w:widowControl w:val="0"/>
                    <w:wordWrap/>
                    <w:topLinePunct w:val="0"/>
                    <w:bidi w:val="0"/>
                    <w:adjustRightInd/>
                    <w:snapToGrid/>
                    <w:jc w:val="center"/>
                    <w:textAlignment w:val="auto"/>
                    <w:rPr>
                      <w:sz w:val="21"/>
                      <w:szCs w:val="21"/>
                    </w:rPr>
                  </w:pPr>
                  <w:r>
                    <w:rPr>
                      <w:rFonts w:hint="eastAsia" w:ascii="Times New Roman" w:hAnsi="Times New Roman"/>
                      <w:b w:val="0"/>
                      <w:bCs w:val="0"/>
                      <w:color w:val="auto"/>
                      <w:sz w:val="21"/>
                      <w:szCs w:val="21"/>
                      <w:u w:val="none"/>
                      <w:lang w:val="en-US" w:eastAsia="zh-CN"/>
                    </w:rPr>
                    <w:t>纬度</w:t>
                  </w:r>
                </w:p>
              </w:tc>
              <w:tc>
                <w:tcPr>
                  <w:tcW w:w="1109" w:type="dxa"/>
                  <w:vMerge w:val="restart"/>
                  <w:tcBorders>
                    <w:tl2br w:val="nil"/>
                    <w:tr2bl w:val="nil"/>
                  </w:tcBorders>
                  <w:noWrap w:val="0"/>
                  <w:vAlign w:val="center"/>
                </w:tcPr>
                <w:p>
                  <w:pPr>
                    <w:keepNext w:val="0"/>
                    <w:keepLines w:val="0"/>
                    <w:pageBreakBefore w:val="0"/>
                    <w:widowControl w:val="0"/>
                    <w:wordWrap/>
                    <w:topLinePunct w:val="0"/>
                    <w:bidi w:val="0"/>
                    <w:adjustRightInd/>
                    <w:snapToGrid/>
                    <w:jc w:val="center"/>
                    <w:textAlignment w:val="auto"/>
                    <w:rPr>
                      <w:sz w:val="21"/>
                      <w:szCs w:val="21"/>
                    </w:rPr>
                  </w:pPr>
                  <w:r>
                    <w:rPr>
                      <w:rFonts w:hint="eastAsia" w:ascii="Times New Roman" w:hAnsi="Times New Roman"/>
                      <w:b w:val="0"/>
                      <w:bCs w:val="0"/>
                      <w:color w:val="auto"/>
                      <w:sz w:val="21"/>
                      <w:szCs w:val="21"/>
                      <w:u w:val="none"/>
                      <w:lang w:val="en-US" w:eastAsia="zh-CN"/>
                    </w:rPr>
                    <w:t>经度</w:t>
                  </w:r>
                </w:p>
              </w:tc>
              <w:tc>
                <w:tcPr>
                  <w:tcW w:w="586" w:type="dxa"/>
                  <w:vMerge w:val="continue"/>
                  <w:tcBorders>
                    <w:tl2br w:val="nil"/>
                    <w:tr2bl w:val="nil"/>
                  </w:tcBorders>
                  <w:noWrap w:val="0"/>
                  <w:vAlign w:val="center"/>
                </w:tcPr>
                <w:p>
                  <w:pPr>
                    <w:keepNext w:val="0"/>
                    <w:keepLines w:val="0"/>
                    <w:pageBreakBefore w:val="0"/>
                    <w:widowControl w:val="0"/>
                    <w:wordWrap/>
                    <w:topLinePunct w:val="0"/>
                    <w:bidi w:val="0"/>
                    <w:adjustRightInd/>
                    <w:snapToGrid/>
                    <w:jc w:val="center"/>
                    <w:textAlignment w:val="auto"/>
                    <w:rPr>
                      <w:sz w:val="21"/>
                      <w:szCs w:val="21"/>
                    </w:rPr>
                  </w:pPr>
                </w:p>
              </w:tc>
              <w:tc>
                <w:tcPr>
                  <w:tcW w:w="463" w:type="dxa"/>
                  <w:vMerge w:val="continue"/>
                  <w:tcBorders>
                    <w:tl2br w:val="nil"/>
                    <w:tr2bl w:val="nil"/>
                  </w:tcBorders>
                  <w:noWrap w:val="0"/>
                  <w:vAlign w:val="center"/>
                </w:tcPr>
                <w:p>
                  <w:pPr>
                    <w:keepNext w:val="0"/>
                    <w:keepLines w:val="0"/>
                    <w:pageBreakBefore w:val="0"/>
                    <w:widowControl w:val="0"/>
                    <w:wordWrap/>
                    <w:topLinePunct w:val="0"/>
                    <w:bidi w:val="0"/>
                    <w:adjustRightInd/>
                    <w:snapToGrid/>
                    <w:jc w:val="center"/>
                    <w:textAlignment w:val="auto"/>
                    <w:rPr>
                      <w:sz w:val="21"/>
                      <w:szCs w:val="21"/>
                    </w:rPr>
                  </w:pPr>
                </w:p>
              </w:tc>
              <w:tc>
                <w:tcPr>
                  <w:tcW w:w="524" w:type="dxa"/>
                  <w:vMerge w:val="continue"/>
                  <w:tcBorders>
                    <w:tl2br w:val="nil"/>
                    <w:tr2bl w:val="nil"/>
                  </w:tcBorders>
                  <w:noWrap w:val="0"/>
                  <w:vAlign w:val="center"/>
                </w:tcPr>
                <w:p>
                  <w:pPr>
                    <w:keepNext w:val="0"/>
                    <w:keepLines w:val="0"/>
                    <w:pageBreakBefore w:val="0"/>
                    <w:widowControl w:val="0"/>
                    <w:wordWrap/>
                    <w:topLinePunct w:val="0"/>
                    <w:bidi w:val="0"/>
                    <w:adjustRightInd/>
                    <w:snapToGrid/>
                    <w:jc w:val="center"/>
                    <w:textAlignment w:val="auto"/>
                    <w:rPr>
                      <w:sz w:val="21"/>
                      <w:szCs w:val="21"/>
                    </w:rPr>
                  </w:pPr>
                </w:p>
              </w:tc>
              <w:tc>
                <w:tcPr>
                  <w:tcW w:w="514" w:type="dxa"/>
                  <w:vMerge w:val="continue"/>
                  <w:tcBorders>
                    <w:tl2br w:val="nil"/>
                    <w:tr2bl w:val="nil"/>
                  </w:tcBorders>
                  <w:noWrap w:val="0"/>
                  <w:vAlign w:val="center"/>
                </w:tcPr>
                <w:p>
                  <w:pPr>
                    <w:keepNext w:val="0"/>
                    <w:keepLines w:val="0"/>
                    <w:pageBreakBefore w:val="0"/>
                    <w:widowControl w:val="0"/>
                    <w:wordWrap/>
                    <w:topLinePunct w:val="0"/>
                    <w:bidi w:val="0"/>
                    <w:adjustRightInd/>
                    <w:snapToGrid/>
                    <w:jc w:val="center"/>
                    <w:textAlignment w:val="auto"/>
                    <w:rPr>
                      <w:sz w:val="21"/>
                      <w:szCs w:val="21"/>
                    </w:rPr>
                  </w:pPr>
                </w:p>
              </w:tc>
              <w:tc>
                <w:tcPr>
                  <w:tcW w:w="773" w:type="dxa"/>
                  <w:vMerge w:val="continue"/>
                  <w:tcBorders>
                    <w:tl2br w:val="nil"/>
                    <w:tr2bl w:val="nil"/>
                  </w:tcBorders>
                  <w:noWrap w:val="0"/>
                  <w:vAlign w:val="center"/>
                </w:tcPr>
                <w:p>
                  <w:pPr>
                    <w:keepNext w:val="0"/>
                    <w:keepLines w:val="0"/>
                    <w:pageBreakBefore w:val="0"/>
                    <w:widowControl w:val="0"/>
                    <w:wordWrap/>
                    <w:topLinePunct w:val="0"/>
                    <w:bidi w:val="0"/>
                    <w:adjustRightInd/>
                    <w:snapToGrid/>
                    <w:jc w:val="center"/>
                    <w:textAlignment w:val="auto"/>
                    <w:rPr>
                      <w:sz w:val="21"/>
                      <w:szCs w:val="21"/>
                    </w:rPr>
                  </w:pPr>
                </w:p>
              </w:tc>
              <w:tc>
                <w:tcPr>
                  <w:tcW w:w="667" w:type="dxa"/>
                  <w:vMerge w:val="continue"/>
                  <w:tcBorders>
                    <w:tl2br w:val="nil"/>
                    <w:tr2bl w:val="nil"/>
                  </w:tcBorders>
                  <w:noWrap w:val="0"/>
                  <w:vAlign w:val="center"/>
                </w:tcPr>
                <w:p>
                  <w:pPr>
                    <w:keepNext w:val="0"/>
                    <w:keepLines w:val="0"/>
                    <w:pageBreakBefore w:val="0"/>
                    <w:widowControl w:val="0"/>
                    <w:wordWrap/>
                    <w:topLinePunct w:val="0"/>
                    <w:bidi w:val="0"/>
                    <w:adjustRightInd/>
                    <w:snapToGrid/>
                    <w:jc w:val="center"/>
                    <w:textAlignment w:val="auto"/>
                    <w:rPr>
                      <w:sz w:val="21"/>
                      <w:szCs w:val="21"/>
                    </w:rPr>
                  </w:pPr>
                </w:p>
              </w:tc>
              <w:tc>
                <w:tcPr>
                  <w:tcW w:w="655" w:type="dxa"/>
                  <w:vMerge w:val="continue"/>
                  <w:tcBorders>
                    <w:tl2br w:val="nil"/>
                    <w:tr2bl w:val="nil"/>
                  </w:tcBorders>
                  <w:noWrap w:val="0"/>
                  <w:vAlign w:val="center"/>
                </w:tcPr>
                <w:p>
                  <w:pPr>
                    <w:keepNext w:val="0"/>
                    <w:keepLines w:val="0"/>
                    <w:pageBreakBefore w:val="0"/>
                    <w:widowControl w:val="0"/>
                    <w:wordWrap/>
                    <w:topLinePunct w:val="0"/>
                    <w:bidi w:val="0"/>
                    <w:adjustRightInd/>
                    <w:snapToGrid/>
                    <w:jc w:val="center"/>
                    <w:textAlignment w:val="auto"/>
                    <w:rPr>
                      <w:sz w:val="21"/>
                      <w:szCs w:val="21"/>
                    </w:rPr>
                  </w:pPr>
                </w:p>
              </w:tc>
              <w:tc>
                <w:tcPr>
                  <w:tcW w:w="1010" w:type="dxa"/>
                  <w:vMerge w:val="continue"/>
                  <w:tcBorders>
                    <w:tl2br w:val="nil"/>
                    <w:tr2bl w:val="nil"/>
                  </w:tcBorders>
                  <w:noWrap w:val="0"/>
                  <w:vAlign w:val="center"/>
                </w:tcPr>
                <w:p>
                  <w:pPr>
                    <w:keepNext w:val="0"/>
                    <w:keepLines w:val="0"/>
                    <w:pageBreakBefore w:val="0"/>
                    <w:widowControl w:val="0"/>
                    <w:wordWrap/>
                    <w:topLinePunct w:val="0"/>
                    <w:bidi w:val="0"/>
                    <w:adjustRightInd/>
                    <w:snapToGrid/>
                    <w:jc w:val="center"/>
                    <w:textAlignment w:val="auto"/>
                    <w:rPr>
                      <w:sz w:val="21"/>
                      <w:szCs w:val="21"/>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906" w:type="dxa"/>
                  <w:vMerge w:val="continue"/>
                  <w:tcBorders>
                    <w:tl2br w:val="nil"/>
                    <w:tr2bl w:val="nil"/>
                  </w:tcBorders>
                  <w:noWrap w:val="0"/>
                  <w:vAlign w:val="center"/>
                </w:tcPr>
                <w:p>
                  <w:pPr>
                    <w:keepNext w:val="0"/>
                    <w:keepLines w:val="0"/>
                    <w:pageBreakBefore w:val="0"/>
                    <w:widowControl w:val="0"/>
                    <w:wordWrap/>
                    <w:topLinePunct w:val="0"/>
                    <w:bidi w:val="0"/>
                    <w:adjustRightInd/>
                    <w:snapToGrid/>
                    <w:jc w:val="center"/>
                    <w:textAlignment w:val="auto"/>
                    <w:rPr>
                      <w:sz w:val="21"/>
                      <w:szCs w:val="21"/>
                    </w:rPr>
                  </w:pPr>
                </w:p>
              </w:tc>
              <w:tc>
                <w:tcPr>
                  <w:tcW w:w="568" w:type="dxa"/>
                  <w:vMerge w:val="continue"/>
                  <w:tcBorders>
                    <w:tl2br w:val="nil"/>
                    <w:tr2bl w:val="nil"/>
                  </w:tcBorders>
                  <w:noWrap w:val="0"/>
                  <w:vAlign w:val="center"/>
                </w:tcPr>
                <w:p>
                  <w:pPr>
                    <w:keepNext w:val="0"/>
                    <w:keepLines w:val="0"/>
                    <w:pageBreakBefore w:val="0"/>
                    <w:widowControl w:val="0"/>
                    <w:wordWrap/>
                    <w:topLinePunct w:val="0"/>
                    <w:bidi w:val="0"/>
                    <w:adjustRightInd/>
                    <w:snapToGrid/>
                    <w:jc w:val="center"/>
                    <w:textAlignment w:val="auto"/>
                    <w:rPr>
                      <w:sz w:val="21"/>
                      <w:szCs w:val="21"/>
                    </w:rPr>
                  </w:pPr>
                </w:p>
              </w:tc>
              <w:tc>
                <w:tcPr>
                  <w:tcW w:w="1206" w:type="dxa"/>
                  <w:vMerge w:val="continue"/>
                  <w:tcBorders>
                    <w:tl2br w:val="nil"/>
                    <w:tr2bl w:val="nil"/>
                  </w:tcBorders>
                  <w:noWrap w:val="0"/>
                  <w:vAlign w:val="center"/>
                </w:tcPr>
                <w:p>
                  <w:pPr>
                    <w:keepNext w:val="0"/>
                    <w:keepLines w:val="0"/>
                    <w:pageBreakBefore w:val="0"/>
                    <w:widowControl w:val="0"/>
                    <w:wordWrap/>
                    <w:topLinePunct w:val="0"/>
                    <w:bidi w:val="0"/>
                    <w:adjustRightInd/>
                    <w:snapToGrid/>
                    <w:jc w:val="both"/>
                    <w:textAlignment w:val="auto"/>
                    <w:rPr>
                      <w:rFonts w:hint="eastAsia" w:ascii="Times New Roman" w:hAnsi="Times New Roman"/>
                      <w:b w:val="0"/>
                      <w:bCs w:val="0"/>
                      <w:color w:val="auto"/>
                      <w:sz w:val="21"/>
                      <w:szCs w:val="21"/>
                      <w:u w:val="none"/>
                      <w:lang w:val="en-US" w:eastAsia="zh-CN"/>
                    </w:rPr>
                  </w:pPr>
                </w:p>
              </w:tc>
              <w:tc>
                <w:tcPr>
                  <w:tcW w:w="1109" w:type="dxa"/>
                  <w:vMerge w:val="continue"/>
                  <w:tcBorders>
                    <w:tl2br w:val="nil"/>
                    <w:tr2bl w:val="nil"/>
                  </w:tcBorders>
                  <w:noWrap w:val="0"/>
                  <w:vAlign w:val="center"/>
                </w:tcPr>
                <w:p>
                  <w:pPr>
                    <w:keepNext w:val="0"/>
                    <w:keepLines w:val="0"/>
                    <w:pageBreakBefore w:val="0"/>
                    <w:widowControl w:val="0"/>
                    <w:wordWrap/>
                    <w:topLinePunct w:val="0"/>
                    <w:bidi w:val="0"/>
                    <w:adjustRightInd/>
                    <w:snapToGrid/>
                    <w:jc w:val="center"/>
                    <w:textAlignment w:val="auto"/>
                    <w:rPr>
                      <w:rFonts w:hint="eastAsia" w:ascii="Times New Roman" w:hAnsi="Times New Roman"/>
                      <w:b w:val="0"/>
                      <w:bCs w:val="0"/>
                      <w:color w:val="auto"/>
                      <w:sz w:val="21"/>
                      <w:szCs w:val="21"/>
                      <w:u w:val="none"/>
                      <w:lang w:val="en-US" w:eastAsia="zh-CN"/>
                    </w:rPr>
                  </w:pPr>
                </w:p>
              </w:tc>
              <w:tc>
                <w:tcPr>
                  <w:tcW w:w="586" w:type="dxa"/>
                  <w:vMerge w:val="continue"/>
                  <w:tcBorders>
                    <w:tl2br w:val="nil"/>
                    <w:tr2bl w:val="nil"/>
                  </w:tcBorders>
                  <w:noWrap w:val="0"/>
                  <w:vAlign w:val="center"/>
                </w:tcPr>
                <w:p>
                  <w:pPr>
                    <w:keepNext w:val="0"/>
                    <w:keepLines w:val="0"/>
                    <w:pageBreakBefore w:val="0"/>
                    <w:widowControl w:val="0"/>
                    <w:wordWrap/>
                    <w:topLinePunct w:val="0"/>
                    <w:bidi w:val="0"/>
                    <w:adjustRightInd/>
                    <w:snapToGrid/>
                    <w:jc w:val="center"/>
                    <w:textAlignment w:val="auto"/>
                    <w:rPr>
                      <w:sz w:val="21"/>
                      <w:szCs w:val="21"/>
                    </w:rPr>
                  </w:pPr>
                </w:p>
              </w:tc>
              <w:tc>
                <w:tcPr>
                  <w:tcW w:w="463" w:type="dxa"/>
                  <w:vMerge w:val="continue"/>
                  <w:tcBorders>
                    <w:tl2br w:val="nil"/>
                    <w:tr2bl w:val="nil"/>
                  </w:tcBorders>
                  <w:noWrap w:val="0"/>
                  <w:vAlign w:val="center"/>
                </w:tcPr>
                <w:p>
                  <w:pPr>
                    <w:keepNext w:val="0"/>
                    <w:keepLines w:val="0"/>
                    <w:pageBreakBefore w:val="0"/>
                    <w:widowControl w:val="0"/>
                    <w:wordWrap/>
                    <w:topLinePunct w:val="0"/>
                    <w:bidi w:val="0"/>
                    <w:adjustRightInd/>
                    <w:snapToGrid/>
                    <w:jc w:val="center"/>
                    <w:textAlignment w:val="auto"/>
                    <w:rPr>
                      <w:sz w:val="21"/>
                      <w:szCs w:val="21"/>
                    </w:rPr>
                  </w:pPr>
                </w:p>
              </w:tc>
              <w:tc>
                <w:tcPr>
                  <w:tcW w:w="524" w:type="dxa"/>
                  <w:vMerge w:val="continue"/>
                  <w:tcBorders>
                    <w:tl2br w:val="nil"/>
                    <w:tr2bl w:val="nil"/>
                  </w:tcBorders>
                  <w:noWrap w:val="0"/>
                  <w:vAlign w:val="center"/>
                </w:tcPr>
                <w:p>
                  <w:pPr>
                    <w:keepNext w:val="0"/>
                    <w:keepLines w:val="0"/>
                    <w:pageBreakBefore w:val="0"/>
                    <w:widowControl w:val="0"/>
                    <w:wordWrap/>
                    <w:topLinePunct w:val="0"/>
                    <w:bidi w:val="0"/>
                    <w:adjustRightInd/>
                    <w:snapToGrid/>
                    <w:jc w:val="center"/>
                    <w:textAlignment w:val="auto"/>
                    <w:rPr>
                      <w:sz w:val="21"/>
                      <w:szCs w:val="21"/>
                    </w:rPr>
                  </w:pPr>
                </w:p>
              </w:tc>
              <w:tc>
                <w:tcPr>
                  <w:tcW w:w="514" w:type="dxa"/>
                  <w:vMerge w:val="continue"/>
                  <w:tcBorders>
                    <w:tl2br w:val="nil"/>
                    <w:tr2bl w:val="nil"/>
                  </w:tcBorders>
                  <w:noWrap w:val="0"/>
                  <w:vAlign w:val="center"/>
                </w:tcPr>
                <w:p>
                  <w:pPr>
                    <w:keepNext w:val="0"/>
                    <w:keepLines w:val="0"/>
                    <w:pageBreakBefore w:val="0"/>
                    <w:widowControl w:val="0"/>
                    <w:wordWrap/>
                    <w:topLinePunct w:val="0"/>
                    <w:bidi w:val="0"/>
                    <w:adjustRightInd/>
                    <w:snapToGrid/>
                    <w:jc w:val="center"/>
                    <w:textAlignment w:val="auto"/>
                    <w:rPr>
                      <w:sz w:val="21"/>
                      <w:szCs w:val="21"/>
                    </w:rPr>
                  </w:pPr>
                </w:p>
              </w:tc>
              <w:tc>
                <w:tcPr>
                  <w:tcW w:w="773" w:type="dxa"/>
                  <w:vMerge w:val="continue"/>
                  <w:tcBorders>
                    <w:tl2br w:val="nil"/>
                    <w:tr2bl w:val="nil"/>
                  </w:tcBorders>
                  <w:noWrap w:val="0"/>
                  <w:vAlign w:val="center"/>
                </w:tcPr>
                <w:p>
                  <w:pPr>
                    <w:keepNext w:val="0"/>
                    <w:keepLines w:val="0"/>
                    <w:pageBreakBefore w:val="0"/>
                    <w:widowControl w:val="0"/>
                    <w:wordWrap/>
                    <w:topLinePunct w:val="0"/>
                    <w:bidi w:val="0"/>
                    <w:adjustRightInd/>
                    <w:snapToGrid/>
                    <w:jc w:val="center"/>
                    <w:textAlignment w:val="auto"/>
                    <w:rPr>
                      <w:sz w:val="21"/>
                      <w:szCs w:val="21"/>
                    </w:rPr>
                  </w:pPr>
                </w:p>
              </w:tc>
              <w:tc>
                <w:tcPr>
                  <w:tcW w:w="667" w:type="dxa"/>
                  <w:vMerge w:val="continue"/>
                  <w:tcBorders>
                    <w:tl2br w:val="nil"/>
                    <w:tr2bl w:val="nil"/>
                  </w:tcBorders>
                  <w:noWrap w:val="0"/>
                  <w:vAlign w:val="center"/>
                </w:tcPr>
                <w:p>
                  <w:pPr>
                    <w:keepNext w:val="0"/>
                    <w:keepLines w:val="0"/>
                    <w:pageBreakBefore w:val="0"/>
                    <w:widowControl w:val="0"/>
                    <w:wordWrap/>
                    <w:topLinePunct w:val="0"/>
                    <w:bidi w:val="0"/>
                    <w:adjustRightInd/>
                    <w:snapToGrid/>
                    <w:jc w:val="center"/>
                    <w:textAlignment w:val="auto"/>
                    <w:rPr>
                      <w:sz w:val="21"/>
                      <w:szCs w:val="21"/>
                    </w:rPr>
                  </w:pPr>
                </w:p>
              </w:tc>
              <w:tc>
                <w:tcPr>
                  <w:tcW w:w="655" w:type="dxa"/>
                  <w:vMerge w:val="continue"/>
                  <w:tcBorders>
                    <w:tl2br w:val="nil"/>
                    <w:tr2bl w:val="nil"/>
                  </w:tcBorders>
                  <w:noWrap w:val="0"/>
                  <w:vAlign w:val="center"/>
                </w:tcPr>
                <w:p>
                  <w:pPr>
                    <w:keepNext w:val="0"/>
                    <w:keepLines w:val="0"/>
                    <w:pageBreakBefore w:val="0"/>
                    <w:widowControl w:val="0"/>
                    <w:wordWrap/>
                    <w:topLinePunct w:val="0"/>
                    <w:bidi w:val="0"/>
                    <w:adjustRightInd/>
                    <w:snapToGrid/>
                    <w:jc w:val="center"/>
                    <w:textAlignment w:val="auto"/>
                    <w:rPr>
                      <w:sz w:val="21"/>
                      <w:szCs w:val="21"/>
                    </w:rPr>
                  </w:pPr>
                </w:p>
              </w:tc>
              <w:tc>
                <w:tcPr>
                  <w:tcW w:w="1010" w:type="dxa"/>
                  <w:tcBorders>
                    <w:tl2br w:val="nil"/>
                    <w:tr2bl w:val="nil"/>
                  </w:tcBorders>
                  <w:noWrap w:val="0"/>
                  <w:vAlign w:val="center"/>
                </w:tcPr>
                <w:p>
                  <w:pPr>
                    <w:keepNext w:val="0"/>
                    <w:keepLines w:val="0"/>
                    <w:pageBreakBefore w:val="0"/>
                    <w:widowControl w:val="0"/>
                    <w:wordWrap/>
                    <w:topLinePunct w:val="0"/>
                    <w:bidi w:val="0"/>
                    <w:adjustRightInd/>
                    <w:snapToGrid/>
                    <w:jc w:val="center"/>
                    <w:textAlignment w:val="auto"/>
                    <w:rPr>
                      <w:rFonts w:hint="default" w:eastAsia="宋体"/>
                      <w:sz w:val="21"/>
                      <w:szCs w:val="21"/>
                      <w:lang w:val="en-US" w:eastAsia="zh-CN"/>
                    </w:rPr>
                  </w:pPr>
                  <w:r>
                    <w:rPr>
                      <w:rFonts w:hint="eastAsia"/>
                      <w:sz w:val="21"/>
                      <w:szCs w:val="21"/>
                      <w:lang w:val="en-US" w:eastAsia="zh-CN"/>
                    </w:rPr>
                    <w:t>TSP</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906" w:type="dxa"/>
                  <w:tcBorders>
                    <w:tl2br w:val="nil"/>
                    <w:tr2bl w:val="nil"/>
                  </w:tcBorders>
                  <w:noWrap w:val="0"/>
                  <w:vAlign w:val="center"/>
                </w:tcPr>
                <w:p>
                  <w:pPr>
                    <w:keepNext w:val="0"/>
                    <w:keepLines w:val="0"/>
                    <w:pageBreakBefore w:val="0"/>
                    <w:widowControl w:val="0"/>
                    <w:wordWrap/>
                    <w:topLinePunct w:val="0"/>
                    <w:bidi w:val="0"/>
                    <w:adjustRightInd/>
                    <w:snapToGrid/>
                    <w:jc w:val="center"/>
                    <w:textAlignment w:val="auto"/>
                    <w:rPr>
                      <w:rFonts w:hint="eastAsia"/>
                      <w:b w:val="0"/>
                      <w:bCs w:val="0"/>
                      <w:color w:val="auto"/>
                      <w:sz w:val="21"/>
                      <w:szCs w:val="21"/>
                      <w:u w:val="none"/>
                      <w:lang w:val="en-US" w:eastAsia="zh-CN"/>
                    </w:rPr>
                  </w:pPr>
                  <w:r>
                    <w:rPr>
                      <w:rFonts w:hint="eastAsia"/>
                      <w:b w:val="0"/>
                      <w:bCs w:val="0"/>
                      <w:color w:val="auto"/>
                      <w:sz w:val="21"/>
                      <w:szCs w:val="21"/>
                      <w:u w:val="none"/>
                      <w:lang w:val="en-US" w:eastAsia="zh-CN"/>
                    </w:rPr>
                    <w:t>生产车间</w:t>
                  </w:r>
                </w:p>
              </w:tc>
              <w:tc>
                <w:tcPr>
                  <w:tcW w:w="568" w:type="dxa"/>
                  <w:tcBorders>
                    <w:tl2br w:val="nil"/>
                    <w:tr2bl w:val="nil"/>
                  </w:tcBorders>
                  <w:noWrap w:val="0"/>
                  <w:vAlign w:val="center"/>
                </w:tcPr>
                <w:p>
                  <w:pPr>
                    <w:keepNext w:val="0"/>
                    <w:keepLines w:val="0"/>
                    <w:pageBreakBefore w:val="0"/>
                    <w:widowControl w:val="0"/>
                    <w:wordWrap/>
                    <w:topLinePunct w:val="0"/>
                    <w:bidi w:val="0"/>
                    <w:adjustRightInd/>
                    <w:snapToGrid/>
                    <w:jc w:val="center"/>
                    <w:textAlignment w:val="auto"/>
                    <w:rPr>
                      <w:rFonts w:hint="eastAsia" w:ascii="Times New Roman" w:hAnsi="Times New Roman"/>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颗粒物</w:t>
                  </w:r>
                </w:p>
              </w:tc>
              <w:tc>
                <w:tcPr>
                  <w:tcW w:w="1206" w:type="dxa"/>
                  <w:tcBorders>
                    <w:tl2br w:val="nil"/>
                    <w:tr2bl w:val="nil"/>
                  </w:tcBorders>
                  <w:noWrap w:val="0"/>
                  <w:vAlign w:val="center"/>
                </w:tcPr>
                <w:p>
                  <w:pPr>
                    <w:keepNext w:val="0"/>
                    <w:keepLines w:val="0"/>
                    <w:pageBreakBefore w:val="0"/>
                    <w:widowControl w:val="0"/>
                    <w:wordWrap/>
                    <w:topLinePunct w:val="0"/>
                    <w:bidi w:val="0"/>
                    <w:adjustRightInd/>
                    <w:snapToGrid/>
                    <w:jc w:val="center"/>
                    <w:textAlignment w:val="auto"/>
                    <w:rPr>
                      <w:rFonts w:hint="default" w:ascii="Times New Roman" w:hAnsi="Times New Roman" w:eastAsia="宋体"/>
                      <w:b w:val="0"/>
                      <w:bCs w:val="0"/>
                      <w:color w:val="auto"/>
                      <w:sz w:val="21"/>
                      <w:szCs w:val="21"/>
                      <w:u w:val="none"/>
                      <w:lang w:val="en-US" w:eastAsia="zh-CN"/>
                    </w:rPr>
                  </w:pPr>
                  <w:r>
                    <w:rPr>
                      <w:rFonts w:hint="eastAsia" w:cs="Times New Roman"/>
                      <w:sz w:val="21"/>
                      <w:szCs w:val="21"/>
                      <w:lang w:val="en-US" w:eastAsia="zh-CN"/>
                    </w:rPr>
                    <w:t>113.210008</w:t>
                  </w:r>
                </w:p>
              </w:tc>
              <w:tc>
                <w:tcPr>
                  <w:tcW w:w="1109" w:type="dxa"/>
                  <w:tcBorders>
                    <w:tl2br w:val="nil"/>
                    <w:tr2bl w:val="nil"/>
                  </w:tcBorders>
                  <w:noWrap w:val="0"/>
                  <w:vAlign w:val="center"/>
                </w:tcPr>
                <w:p>
                  <w:pPr>
                    <w:keepNext w:val="0"/>
                    <w:keepLines w:val="0"/>
                    <w:pageBreakBefore w:val="0"/>
                    <w:widowControl w:val="0"/>
                    <w:wordWrap/>
                    <w:topLinePunct w:val="0"/>
                    <w:bidi w:val="0"/>
                    <w:adjustRightInd/>
                    <w:snapToGrid/>
                    <w:jc w:val="center"/>
                    <w:textAlignment w:val="auto"/>
                    <w:rPr>
                      <w:rFonts w:hint="default" w:ascii="Times New Roman" w:hAnsi="Times New Roman" w:eastAsia="宋体"/>
                      <w:b w:val="0"/>
                      <w:bCs w:val="0"/>
                      <w:color w:val="auto"/>
                      <w:sz w:val="21"/>
                      <w:szCs w:val="21"/>
                      <w:u w:val="none"/>
                      <w:lang w:val="en-US" w:eastAsia="zh-CN"/>
                    </w:rPr>
                  </w:pPr>
                  <w:r>
                    <w:rPr>
                      <w:rFonts w:hint="eastAsia" w:cs="Times New Roman"/>
                      <w:sz w:val="21"/>
                      <w:szCs w:val="21"/>
                      <w:lang w:val="en-US" w:eastAsia="zh-CN"/>
                    </w:rPr>
                    <w:t>33.444371</w:t>
                  </w:r>
                </w:p>
              </w:tc>
              <w:tc>
                <w:tcPr>
                  <w:tcW w:w="586" w:type="dxa"/>
                  <w:tcBorders>
                    <w:tl2br w:val="nil"/>
                    <w:tr2bl w:val="nil"/>
                  </w:tcBorders>
                  <w:noWrap w:val="0"/>
                  <w:vAlign w:val="center"/>
                </w:tcPr>
                <w:p>
                  <w:pPr>
                    <w:keepNext w:val="0"/>
                    <w:keepLines w:val="0"/>
                    <w:pageBreakBefore w:val="0"/>
                    <w:widowControl w:val="0"/>
                    <w:wordWrap/>
                    <w:topLinePunct w:val="0"/>
                    <w:bidi w:val="0"/>
                    <w:adjustRightInd/>
                    <w:snapToGrid/>
                    <w:jc w:val="center"/>
                    <w:textAlignment w:val="auto"/>
                    <w:rPr>
                      <w:rFonts w:hint="default" w:ascii="Times New Roman" w:hAnsi="Times New Roman"/>
                      <w:b w:val="0"/>
                      <w:bCs w:val="0"/>
                      <w:color w:val="auto"/>
                      <w:sz w:val="21"/>
                      <w:szCs w:val="21"/>
                      <w:u w:val="none"/>
                      <w:lang w:val="en-US" w:eastAsia="zh-CN"/>
                    </w:rPr>
                  </w:pPr>
                  <w:r>
                    <w:rPr>
                      <w:rFonts w:hint="eastAsia"/>
                      <w:b w:val="0"/>
                      <w:bCs w:val="0"/>
                      <w:color w:val="auto"/>
                      <w:sz w:val="21"/>
                      <w:szCs w:val="21"/>
                      <w:u w:val="none"/>
                      <w:lang w:val="en-US" w:eastAsia="zh-CN"/>
                    </w:rPr>
                    <w:t>88</w:t>
                  </w:r>
                </w:p>
              </w:tc>
              <w:tc>
                <w:tcPr>
                  <w:tcW w:w="463" w:type="dxa"/>
                  <w:tcBorders>
                    <w:tl2br w:val="nil"/>
                    <w:tr2bl w:val="nil"/>
                  </w:tcBorders>
                  <w:noWrap w:val="0"/>
                  <w:vAlign w:val="center"/>
                </w:tcPr>
                <w:p>
                  <w:pPr>
                    <w:keepNext w:val="0"/>
                    <w:keepLines w:val="0"/>
                    <w:pageBreakBefore w:val="0"/>
                    <w:widowControl w:val="0"/>
                    <w:wordWrap/>
                    <w:topLinePunct w:val="0"/>
                    <w:bidi w:val="0"/>
                    <w:adjustRightInd/>
                    <w:snapToGrid/>
                    <w:jc w:val="center"/>
                    <w:textAlignment w:val="auto"/>
                    <w:rPr>
                      <w:rFonts w:hint="default" w:ascii="Times New Roman" w:hAnsi="Times New Roman"/>
                      <w:b w:val="0"/>
                      <w:bCs w:val="0"/>
                      <w:color w:val="auto"/>
                      <w:sz w:val="21"/>
                      <w:szCs w:val="21"/>
                      <w:u w:val="none"/>
                      <w:lang w:val="en-US" w:eastAsia="zh-CN"/>
                    </w:rPr>
                  </w:pPr>
                  <w:r>
                    <w:rPr>
                      <w:rFonts w:hint="eastAsia"/>
                      <w:b w:val="0"/>
                      <w:bCs w:val="0"/>
                      <w:color w:val="auto"/>
                      <w:sz w:val="21"/>
                      <w:szCs w:val="21"/>
                      <w:u w:val="none"/>
                      <w:lang w:val="en-US" w:eastAsia="zh-CN"/>
                    </w:rPr>
                    <w:t>20</w:t>
                  </w:r>
                </w:p>
              </w:tc>
              <w:tc>
                <w:tcPr>
                  <w:tcW w:w="524" w:type="dxa"/>
                  <w:tcBorders>
                    <w:tl2br w:val="nil"/>
                    <w:tr2bl w:val="nil"/>
                  </w:tcBorders>
                  <w:noWrap w:val="0"/>
                  <w:vAlign w:val="center"/>
                </w:tcPr>
                <w:p>
                  <w:pPr>
                    <w:keepNext w:val="0"/>
                    <w:keepLines w:val="0"/>
                    <w:pageBreakBefore w:val="0"/>
                    <w:widowControl w:val="0"/>
                    <w:wordWrap/>
                    <w:topLinePunct w:val="0"/>
                    <w:bidi w:val="0"/>
                    <w:adjustRightInd/>
                    <w:snapToGrid/>
                    <w:jc w:val="center"/>
                    <w:textAlignment w:val="auto"/>
                    <w:rPr>
                      <w:rFonts w:hint="default" w:ascii="Times New Roman" w:hAnsi="Times New Roman"/>
                      <w:b w:val="0"/>
                      <w:bCs w:val="0"/>
                      <w:color w:val="auto"/>
                      <w:sz w:val="21"/>
                      <w:szCs w:val="21"/>
                      <w:u w:val="none"/>
                      <w:lang w:val="en-US" w:eastAsia="zh-CN"/>
                    </w:rPr>
                  </w:pPr>
                  <w:r>
                    <w:rPr>
                      <w:rFonts w:hint="eastAsia"/>
                      <w:b w:val="0"/>
                      <w:bCs w:val="0"/>
                      <w:color w:val="auto"/>
                      <w:sz w:val="21"/>
                      <w:szCs w:val="21"/>
                      <w:u w:val="none"/>
                      <w:lang w:val="en-US" w:eastAsia="zh-CN"/>
                    </w:rPr>
                    <w:t>20</w:t>
                  </w:r>
                </w:p>
              </w:tc>
              <w:tc>
                <w:tcPr>
                  <w:tcW w:w="514" w:type="dxa"/>
                  <w:tcBorders>
                    <w:tl2br w:val="nil"/>
                    <w:tr2bl w:val="nil"/>
                  </w:tcBorders>
                  <w:noWrap w:val="0"/>
                  <w:vAlign w:val="center"/>
                </w:tcPr>
                <w:p>
                  <w:pPr>
                    <w:keepNext w:val="0"/>
                    <w:keepLines w:val="0"/>
                    <w:pageBreakBefore w:val="0"/>
                    <w:widowControl w:val="0"/>
                    <w:wordWrap/>
                    <w:topLinePunct w:val="0"/>
                    <w:bidi w:val="0"/>
                    <w:adjustRightInd/>
                    <w:snapToGrid/>
                    <w:jc w:val="center"/>
                    <w:textAlignment w:val="auto"/>
                    <w:rPr>
                      <w:rFonts w:hint="default" w:ascii="Times New Roman" w:hAnsi="Times New Roman"/>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0</w:t>
                  </w:r>
                </w:p>
              </w:tc>
              <w:tc>
                <w:tcPr>
                  <w:tcW w:w="773" w:type="dxa"/>
                  <w:tcBorders>
                    <w:tl2br w:val="nil"/>
                    <w:tr2bl w:val="nil"/>
                  </w:tcBorders>
                  <w:noWrap w:val="0"/>
                  <w:vAlign w:val="center"/>
                </w:tcPr>
                <w:p>
                  <w:pPr>
                    <w:keepNext w:val="0"/>
                    <w:keepLines w:val="0"/>
                    <w:pageBreakBefore w:val="0"/>
                    <w:widowControl w:val="0"/>
                    <w:wordWrap/>
                    <w:topLinePunct w:val="0"/>
                    <w:bidi w:val="0"/>
                    <w:adjustRightInd/>
                    <w:snapToGrid/>
                    <w:jc w:val="center"/>
                    <w:textAlignment w:val="auto"/>
                    <w:rPr>
                      <w:rFonts w:hint="default" w:ascii="Times New Roman" w:hAnsi="Times New Roman"/>
                      <w:b w:val="0"/>
                      <w:bCs w:val="0"/>
                      <w:color w:val="auto"/>
                      <w:sz w:val="21"/>
                      <w:szCs w:val="21"/>
                      <w:u w:val="none"/>
                      <w:lang w:val="en-US" w:eastAsia="zh-CN"/>
                    </w:rPr>
                  </w:pPr>
                  <w:r>
                    <w:rPr>
                      <w:rFonts w:hint="eastAsia"/>
                      <w:b w:val="0"/>
                      <w:bCs w:val="0"/>
                      <w:color w:val="auto"/>
                      <w:sz w:val="21"/>
                      <w:szCs w:val="21"/>
                      <w:u w:val="none"/>
                      <w:lang w:val="en-US" w:eastAsia="zh-CN"/>
                    </w:rPr>
                    <w:t>10</w:t>
                  </w:r>
                </w:p>
              </w:tc>
              <w:tc>
                <w:tcPr>
                  <w:tcW w:w="667" w:type="dxa"/>
                  <w:tcBorders>
                    <w:tl2br w:val="nil"/>
                    <w:tr2bl w:val="nil"/>
                  </w:tcBorders>
                  <w:noWrap w:val="0"/>
                  <w:vAlign w:val="center"/>
                </w:tcPr>
                <w:p>
                  <w:pPr>
                    <w:pStyle w:val="3"/>
                    <w:keepNext w:val="0"/>
                    <w:keepLines w:val="0"/>
                    <w:pageBreakBefore w:val="0"/>
                    <w:widowControl w:val="0"/>
                    <w:wordWrap/>
                    <w:topLinePunct w:val="0"/>
                    <w:bidi w:val="0"/>
                    <w:adjustRightInd/>
                    <w:snapToGrid/>
                    <w:jc w:val="center"/>
                    <w:textAlignment w:val="auto"/>
                    <w:rPr>
                      <w:rFonts w:hint="default" w:ascii="Times New Roman" w:hAnsi="Times New Roman"/>
                      <w:b w:val="0"/>
                      <w:bCs w:val="0"/>
                      <w:color w:val="auto"/>
                      <w:sz w:val="21"/>
                      <w:szCs w:val="21"/>
                      <w:u w:val="none"/>
                      <w:lang w:val="en-US" w:eastAsia="zh-CN"/>
                    </w:rPr>
                  </w:pPr>
                  <w:r>
                    <w:rPr>
                      <w:rFonts w:hint="eastAsia" w:ascii="Times New Roman" w:hAnsi="Times New Roman"/>
                      <w:kern w:val="2"/>
                      <w:sz w:val="21"/>
                      <w:szCs w:val="21"/>
                      <w:lang w:val="en-US" w:eastAsia="zh-CN"/>
                    </w:rPr>
                    <w:t>2400</w:t>
                  </w:r>
                </w:p>
              </w:tc>
              <w:tc>
                <w:tcPr>
                  <w:tcW w:w="655" w:type="dxa"/>
                  <w:tcBorders>
                    <w:tl2br w:val="nil"/>
                    <w:tr2bl w:val="nil"/>
                  </w:tcBorders>
                  <w:noWrap w:val="0"/>
                  <w:vAlign w:val="center"/>
                </w:tcPr>
                <w:p>
                  <w:pPr>
                    <w:keepNext w:val="0"/>
                    <w:keepLines w:val="0"/>
                    <w:pageBreakBefore w:val="0"/>
                    <w:widowControl w:val="0"/>
                    <w:wordWrap/>
                    <w:topLinePunct w:val="0"/>
                    <w:bidi w:val="0"/>
                    <w:adjustRightInd/>
                    <w:snapToGrid/>
                    <w:jc w:val="center"/>
                    <w:textAlignment w:val="auto"/>
                    <w:rPr>
                      <w:rFonts w:hint="eastAsia" w:ascii="Times New Roman" w:hAnsi="Times New Roman"/>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正常排放</w:t>
                  </w:r>
                </w:p>
              </w:tc>
              <w:tc>
                <w:tcPr>
                  <w:tcW w:w="1010" w:type="dxa"/>
                  <w:tcBorders>
                    <w:tl2br w:val="nil"/>
                    <w:tr2bl w:val="nil"/>
                  </w:tcBorders>
                  <w:noWrap w:val="0"/>
                  <w:vAlign w:val="center"/>
                </w:tcPr>
                <w:p>
                  <w:pPr>
                    <w:keepNext w:val="0"/>
                    <w:keepLines w:val="0"/>
                    <w:pageBreakBefore w:val="0"/>
                    <w:widowControl w:val="0"/>
                    <w:wordWrap/>
                    <w:topLinePunct w:val="0"/>
                    <w:bidi w:val="0"/>
                    <w:adjustRightInd/>
                    <w:snapToGrid/>
                    <w:jc w:val="center"/>
                    <w:textAlignment w:val="auto"/>
                    <w:rPr>
                      <w:rFonts w:hint="default" w:ascii="Times New Roman" w:hAnsi="Times New Roman"/>
                      <w:b w:val="0"/>
                      <w:bCs w:val="0"/>
                      <w:color w:val="auto"/>
                      <w:sz w:val="21"/>
                      <w:szCs w:val="21"/>
                      <w:u w:val="none"/>
                      <w:lang w:val="en-US" w:eastAsia="zh-CN"/>
                    </w:rPr>
                  </w:pPr>
                  <w:r>
                    <w:rPr>
                      <w:rFonts w:hint="eastAsia"/>
                      <w:b w:val="0"/>
                      <w:bCs w:val="0"/>
                      <w:color w:val="auto"/>
                      <w:sz w:val="21"/>
                      <w:szCs w:val="21"/>
                      <w:u w:val="none"/>
                      <w:lang w:val="en-US" w:eastAsia="zh-CN"/>
                    </w:rPr>
                    <w:t>0.0556</w:t>
                  </w:r>
                </w:p>
              </w:tc>
            </w:tr>
          </w:tbl>
          <w:p>
            <w:pPr>
              <w:spacing w:line="520" w:lineRule="exact"/>
              <w:ind w:firstLine="480" w:firstLineChars="200"/>
              <w:rPr>
                <w:rFonts w:ascii="Times New Roman" w:hAnsi="Times New Roman" w:eastAsia="宋体"/>
                <w:bCs/>
                <w:sz w:val="24"/>
              </w:rPr>
            </w:pPr>
            <w:r>
              <w:rPr>
                <w:rFonts w:ascii="Times New Roman" w:hAnsi="Times New Roman" w:eastAsia="宋体"/>
                <w:bCs/>
                <w:sz w:val="24"/>
              </w:rPr>
              <w:t>B</w:t>
            </w:r>
            <w:r>
              <w:rPr>
                <w:rFonts w:hint="eastAsia" w:ascii="Times New Roman" w:hAnsi="Times New Roman" w:eastAsia="宋体"/>
                <w:bCs/>
                <w:sz w:val="24"/>
              </w:rPr>
              <w:t>、估算模式计算结果</w:t>
            </w:r>
          </w:p>
          <w:p>
            <w:pPr>
              <w:pStyle w:val="20"/>
              <w:adjustRightInd w:val="0"/>
              <w:spacing w:before="0" w:beforeAutospacing="0" w:after="0" w:afterAutospacing="0" w:line="360" w:lineRule="auto"/>
              <w:ind w:firstLine="470" w:firstLineChars="196"/>
              <w:rPr>
                <w:rFonts w:ascii="Times New Roman" w:hAnsi="Times New Roman" w:eastAsia="宋体"/>
                <w:b/>
                <w:bCs/>
                <w:color w:val="000000" w:themeColor="text1"/>
                <w:kern w:val="2"/>
              </w:rPr>
            </w:pPr>
            <w:r>
              <w:rPr>
                <w:rFonts w:ascii="Times New Roman" w:hAnsi="Times New Roman" w:eastAsia="宋体"/>
                <w:color w:val="000000" w:themeColor="text1"/>
                <w:szCs w:val="24"/>
              </w:rPr>
              <w:t>根据《环境影响评价技术导则——大气环境》(HJ2.2-2018)，采用估算模式计算项目污染物最大落地浓度及浓度占标率等。各污染因子的最大占标率和最大预测结果见</w:t>
            </w:r>
            <w:r>
              <w:rPr>
                <w:rFonts w:hint="eastAsia" w:ascii="Times New Roman" w:hAnsi="Times New Roman" w:eastAsia="宋体"/>
                <w:color w:val="000000" w:themeColor="text1"/>
                <w:szCs w:val="24"/>
              </w:rPr>
              <w:t>下</w:t>
            </w:r>
            <w:r>
              <w:rPr>
                <w:rFonts w:ascii="Times New Roman" w:hAnsi="Times New Roman" w:eastAsia="宋体"/>
                <w:color w:val="000000" w:themeColor="text1"/>
                <w:szCs w:val="24"/>
              </w:rPr>
              <w:t>表</w:t>
            </w:r>
            <w:r>
              <w:rPr>
                <w:rFonts w:ascii="Times New Roman" w:hAnsi="Times New Roman" w:eastAsia="宋体"/>
                <w:bCs/>
                <w:color w:val="000000" w:themeColor="text1"/>
                <w:szCs w:val="24"/>
              </w:rPr>
              <w:t>。</w:t>
            </w:r>
          </w:p>
          <w:p>
            <w:pPr>
              <w:pStyle w:val="7"/>
              <w:spacing w:beforeLines="50"/>
              <w:jc w:val="center"/>
              <w:rPr>
                <w:rFonts w:hint="default" w:ascii="Times New Roman" w:hAnsi="宋体" w:cs="Times New Roman"/>
                <w:b/>
                <w:bCs w:val="0"/>
                <w:sz w:val="24"/>
                <w:szCs w:val="24"/>
                <w:lang w:val="zh-CN" w:eastAsia="zh-CN"/>
              </w:rPr>
            </w:pPr>
            <w:r>
              <w:rPr>
                <w:rFonts w:hint="eastAsia" w:ascii="Times New Roman" w:hAnsi="宋体" w:cs="Times New Roman"/>
                <w:b/>
                <w:bCs w:val="0"/>
                <w:sz w:val="24"/>
                <w:szCs w:val="24"/>
                <w:lang w:val="zh-CN" w:eastAsia="zh-CN"/>
              </w:rPr>
              <w:t>表</w:t>
            </w:r>
            <w:r>
              <w:rPr>
                <w:rFonts w:hint="eastAsia" w:ascii="Times New Roman" w:hAnsi="宋体" w:cs="Times New Roman"/>
                <w:b/>
                <w:bCs w:val="0"/>
                <w:sz w:val="24"/>
                <w:szCs w:val="24"/>
                <w:lang w:val="en-US" w:eastAsia="zh-CN"/>
              </w:rPr>
              <w:t>2</w:t>
            </w:r>
            <w:r>
              <w:rPr>
                <w:rFonts w:hint="eastAsia" w:hAnsi="宋体" w:cs="Times New Roman"/>
                <w:b/>
                <w:bCs w:val="0"/>
                <w:sz w:val="24"/>
                <w:szCs w:val="24"/>
                <w:lang w:val="en-US" w:eastAsia="zh-CN"/>
              </w:rPr>
              <w:t>9</w:t>
            </w:r>
            <w:r>
              <w:rPr>
                <w:rFonts w:hint="eastAsia" w:ascii="Times New Roman" w:hAnsi="宋体" w:cs="Times New Roman"/>
                <w:b/>
                <w:bCs w:val="0"/>
                <w:sz w:val="24"/>
                <w:szCs w:val="24"/>
                <w:lang w:val="zh-CN" w:eastAsia="zh-CN"/>
              </w:rPr>
              <w:t xml:space="preserve">  无组织排放预测结果表</w:t>
            </w:r>
          </w:p>
          <w:tbl>
            <w:tblPr>
              <w:tblStyle w:val="23"/>
              <w:tblW w:w="4943" w:type="pct"/>
              <w:jc w:val="center"/>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Layout w:type="fixed"/>
              <w:tblCellMar>
                <w:top w:w="0" w:type="dxa"/>
                <w:left w:w="108" w:type="dxa"/>
                <w:bottom w:w="0" w:type="dxa"/>
                <w:right w:w="108" w:type="dxa"/>
              </w:tblCellMar>
            </w:tblPr>
            <w:tblGrid>
              <w:gridCol w:w="3084"/>
              <w:gridCol w:w="2798"/>
              <w:gridCol w:w="3055"/>
            </w:tblGrid>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cantSplit/>
                <w:trHeight w:val="23" w:hRule="atLeast"/>
                <w:jc w:val="center"/>
              </w:trPr>
              <w:tc>
                <w:tcPr>
                  <w:tcW w:w="1725" w:type="pct"/>
                  <w:vMerge w:val="restart"/>
                  <w:tcBorders>
                    <w:top w:val="single" w:color="000000" w:sz="12" w:space="0"/>
                    <w:left w:val="nil"/>
                    <w:bottom w:val="single" w:color="000000" w:sz="2" w:space="0"/>
                    <w:right w:val="single" w:color="000000" w:sz="2" w:space="0"/>
                  </w:tcBorders>
                  <w:vAlign w:val="center"/>
                </w:tcPr>
                <w:p>
                  <w:pPr>
                    <w:pStyle w:val="75"/>
                    <w:rPr>
                      <w:rFonts w:ascii="Times New Roman" w:hAnsi="Times New Roman" w:eastAsia="宋体" w:cs="Calibri"/>
                      <w:kern w:val="0"/>
                      <w:szCs w:val="21"/>
                    </w:rPr>
                  </w:pPr>
                  <w:r>
                    <w:rPr>
                      <w:rFonts w:hint="eastAsia" w:ascii="Times New Roman" w:hAnsi="Times New Roman" w:eastAsia="宋体" w:cs="Calibri"/>
                      <w:szCs w:val="21"/>
                    </w:rPr>
                    <w:t>距源中心下风向距离</w:t>
                  </w:r>
                  <w:r>
                    <w:rPr>
                      <w:rFonts w:ascii="Times New Roman" w:hAnsi="Times New Roman" w:eastAsia="宋体" w:cs="Calibri"/>
                      <w:szCs w:val="21"/>
                    </w:rPr>
                    <w:t>D</w:t>
                  </w:r>
                  <w:r>
                    <w:rPr>
                      <w:rFonts w:hint="eastAsia" w:ascii="Times New Roman" w:hAnsi="Times New Roman" w:eastAsia="宋体" w:cs="Calibri"/>
                      <w:szCs w:val="21"/>
                    </w:rPr>
                    <w:t>（</w:t>
                  </w:r>
                  <w:r>
                    <w:rPr>
                      <w:rFonts w:ascii="Times New Roman" w:hAnsi="Times New Roman" w:eastAsia="宋体" w:cs="Calibri"/>
                      <w:szCs w:val="21"/>
                    </w:rPr>
                    <w:t>m</w:t>
                  </w:r>
                  <w:r>
                    <w:rPr>
                      <w:rFonts w:hint="eastAsia" w:ascii="Times New Roman" w:hAnsi="Times New Roman" w:eastAsia="宋体" w:cs="Calibri"/>
                      <w:szCs w:val="21"/>
                    </w:rPr>
                    <w:t>）</w:t>
                  </w:r>
                </w:p>
              </w:tc>
              <w:tc>
                <w:tcPr>
                  <w:tcW w:w="3274" w:type="pct"/>
                  <w:gridSpan w:val="2"/>
                  <w:tcBorders>
                    <w:top w:val="single" w:color="000000" w:sz="12" w:space="0"/>
                    <w:left w:val="single" w:color="000000" w:sz="2" w:space="0"/>
                    <w:bottom w:val="single" w:color="000000" w:sz="2" w:space="0"/>
                    <w:right w:val="nil"/>
                  </w:tcBorders>
                  <w:vAlign w:val="center"/>
                </w:tcPr>
                <w:p>
                  <w:pPr>
                    <w:jc w:val="center"/>
                    <w:rPr>
                      <w:rFonts w:ascii="Times New Roman" w:hAnsi="Times New Roman" w:eastAsia="宋体" w:cs="Calibri"/>
                      <w:kern w:val="0"/>
                      <w:szCs w:val="21"/>
                    </w:rPr>
                  </w:pPr>
                  <w:r>
                    <w:rPr>
                      <w:rFonts w:ascii="Times New Roman" w:hAnsi="Times New Roman" w:eastAsia="宋体"/>
                      <w:color w:val="000000"/>
                      <w:szCs w:val="21"/>
                    </w:rPr>
                    <w:t>PM</w:t>
                  </w:r>
                  <w:r>
                    <w:rPr>
                      <w:rFonts w:ascii="Times New Roman" w:hAnsi="Times New Roman" w:eastAsia="宋体"/>
                      <w:color w:val="000000"/>
                      <w:szCs w:val="21"/>
                      <w:vertAlign w:val="subscript"/>
                    </w:rPr>
                    <w:t>10</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cantSplit/>
                <w:trHeight w:val="23" w:hRule="atLeast"/>
                <w:jc w:val="center"/>
              </w:trPr>
              <w:tc>
                <w:tcPr>
                  <w:tcW w:w="1725" w:type="pct"/>
                  <w:vMerge w:val="continue"/>
                  <w:tcBorders>
                    <w:top w:val="single" w:color="000000" w:sz="12" w:space="0"/>
                    <w:left w:val="nil"/>
                    <w:bottom w:val="single" w:color="000000" w:sz="2" w:space="0"/>
                    <w:right w:val="single" w:color="000000" w:sz="2" w:space="0"/>
                  </w:tcBorders>
                  <w:vAlign w:val="center"/>
                </w:tcPr>
                <w:p>
                  <w:pPr>
                    <w:widowControl/>
                    <w:jc w:val="center"/>
                    <w:rPr>
                      <w:rFonts w:ascii="Times New Roman" w:hAnsi="Times New Roman" w:eastAsia="宋体" w:cs="Calibri"/>
                      <w:iCs/>
                      <w:color w:val="000000"/>
                      <w:kern w:val="0"/>
                      <w:szCs w:val="21"/>
                    </w:rPr>
                  </w:pPr>
                </w:p>
              </w:tc>
              <w:tc>
                <w:tcPr>
                  <w:tcW w:w="1565" w:type="pct"/>
                  <w:tcBorders>
                    <w:top w:val="single" w:color="000000" w:sz="2" w:space="0"/>
                    <w:left w:val="single" w:color="000000" w:sz="2" w:space="0"/>
                    <w:bottom w:val="single" w:color="000000" w:sz="2" w:space="0"/>
                    <w:right w:val="single" w:color="auto" w:sz="4" w:space="0"/>
                  </w:tcBorders>
                  <w:vAlign w:val="center"/>
                </w:tcPr>
                <w:p>
                  <w:pPr>
                    <w:jc w:val="center"/>
                    <w:rPr>
                      <w:rFonts w:ascii="Times New Roman" w:hAnsi="Times New Roman" w:eastAsia="宋体"/>
                      <w:color w:val="000000"/>
                      <w:szCs w:val="21"/>
                    </w:rPr>
                  </w:pPr>
                  <w:r>
                    <w:rPr>
                      <w:rFonts w:hint="eastAsia" w:ascii="Times New Roman" w:hAnsi="Times New Roman" w:eastAsia="宋体"/>
                      <w:color w:val="000000"/>
                      <w:szCs w:val="21"/>
                    </w:rPr>
                    <w:t>下风向预测浓度</w:t>
                  </w:r>
                  <w:r>
                    <w:rPr>
                      <w:rFonts w:ascii="Times New Roman" w:hAnsi="Times New Roman" w:eastAsia="宋体"/>
                      <w:color w:val="000000"/>
                      <w:szCs w:val="21"/>
                    </w:rPr>
                    <w:t>C</w:t>
                  </w:r>
                  <w:r>
                    <w:rPr>
                      <w:rFonts w:ascii="Times New Roman" w:hAnsi="Times New Roman" w:eastAsia="宋体"/>
                      <w:color w:val="000000"/>
                      <w:szCs w:val="21"/>
                      <w:vertAlign w:val="subscript"/>
                    </w:rPr>
                    <w:t>i1</w:t>
                  </w:r>
                  <w:r>
                    <w:rPr>
                      <w:rFonts w:hint="eastAsia" w:ascii="Times New Roman" w:hAnsi="Times New Roman" w:eastAsia="宋体"/>
                      <w:color w:val="000000"/>
                      <w:szCs w:val="21"/>
                    </w:rPr>
                    <w:t>（</w:t>
                  </w:r>
                  <w:r>
                    <w:rPr>
                      <w:rFonts w:ascii="Times New Roman" w:hAnsi="Times New Roman" w:eastAsia="宋体"/>
                      <w:color w:val="000000"/>
                      <w:szCs w:val="21"/>
                    </w:rPr>
                    <w:t>μg/m</w:t>
                  </w:r>
                  <w:r>
                    <w:rPr>
                      <w:rFonts w:ascii="Times New Roman" w:hAnsi="Times New Roman" w:eastAsia="宋体"/>
                      <w:color w:val="000000"/>
                      <w:szCs w:val="21"/>
                      <w:vertAlign w:val="superscript"/>
                    </w:rPr>
                    <w:t>3</w:t>
                  </w:r>
                  <w:r>
                    <w:rPr>
                      <w:rFonts w:hint="eastAsia" w:ascii="Times New Roman" w:hAnsi="Times New Roman" w:eastAsia="宋体"/>
                      <w:color w:val="000000"/>
                      <w:szCs w:val="21"/>
                    </w:rPr>
                    <w:t>）</w:t>
                  </w:r>
                </w:p>
              </w:tc>
              <w:tc>
                <w:tcPr>
                  <w:tcW w:w="1708" w:type="pct"/>
                  <w:tcBorders>
                    <w:top w:val="single" w:color="000000" w:sz="2" w:space="0"/>
                    <w:left w:val="single" w:color="auto" w:sz="4" w:space="0"/>
                    <w:bottom w:val="single" w:color="000000" w:sz="2" w:space="0"/>
                    <w:right w:val="nil"/>
                  </w:tcBorders>
                  <w:vAlign w:val="center"/>
                </w:tcPr>
                <w:p>
                  <w:pPr>
                    <w:jc w:val="center"/>
                    <w:rPr>
                      <w:rFonts w:ascii="Times New Roman" w:hAnsi="Times New Roman" w:eastAsia="宋体"/>
                      <w:color w:val="000000"/>
                      <w:szCs w:val="21"/>
                    </w:rPr>
                  </w:pPr>
                  <w:r>
                    <w:rPr>
                      <w:rFonts w:hint="eastAsia" w:ascii="Times New Roman" w:hAnsi="Times New Roman" w:eastAsia="宋体"/>
                      <w:color w:val="000000"/>
                      <w:szCs w:val="21"/>
                    </w:rPr>
                    <w:t>占标率（</w:t>
                  </w:r>
                  <w:r>
                    <w:rPr>
                      <w:rFonts w:ascii="Times New Roman" w:hAnsi="Times New Roman" w:eastAsia="宋体"/>
                      <w:color w:val="000000"/>
                      <w:szCs w:val="21"/>
                    </w:rPr>
                    <w:t>%</w:t>
                  </w:r>
                  <w:r>
                    <w:rPr>
                      <w:rFonts w:hint="eastAsia" w:ascii="Times New Roman" w:hAnsi="Times New Roman" w:eastAsia="宋体"/>
                      <w:color w:val="000000"/>
                      <w:szCs w:val="21"/>
                    </w:rPr>
                    <w:t>）</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cantSplit/>
                <w:trHeight w:val="23" w:hRule="atLeast"/>
                <w:jc w:val="center"/>
              </w:trPr>
              <w:tc>
                <w:tcPr>
                  <w:tcW w:w="1725" w:type="pct"/>
                  <w:tcBorders>
                    <w:top w:val="single" w:color="000000" w:sz="2" w:space="0"/>
                    <w:left w:val="nil"/>
                    <w:bottom w:val="single" w:color="000000" w:sz="2" w:space="0"/>
                    <w:right w:val="single" w:color="000000" w:sz="2" w:space="0"/>
                  </w:tcBorders>
                  <w:vAlign w:val="center"/>
                </w:tcPr>
                <w:p>
                  <w:pPr>
                    <w:jc w:val="center"/>
                    <w:rPr>
                      <w:rFonts w:hint="default" w:ascii="Times New Roman" w:hAnsi="Times New Roman" w:eastAsia="宋体"/>
                      <w:szCs w:val="21"/>
                      <w:lang w:val="en-US" w:eastAsia="zh-CN"/>
                    </w:rPr>
                  </w:pPr>
                  <w:r>
                    <w:rPr>
                      <w:rFonts w:hint="eastAsia" w:ascii="Times New Roman" w:hAnsi="Times New Roman" w:eastAsia="宋体"/>
                      <w:szCs w:val="21"/>
                      <w:lang w:val="en-US" w:eastAsia="zh-CN"/>
                    </w:rPr>
                    <w:t>10</w:t>
                  </w:r>
                </w:p>
              </w:tc>
              <w:tc>
                <w:tcPr>
                  <w:tcW w:w="1565" w:type="pct"/>
                  <w:tcBorders>
                    <w:top w:val="single" w:color="000000" w:sz="2" w:space="0"/>
                    <w:left w:val="single" w:color="000000" w:sz="2" w:space="0"/>
                    <w:bottom w:val="single" w:color="000000" w:sz="2" w:space="0"/>
                    <w:right w:val="single" w:color="auto" w:sz="4" w:space="0"/>
                  </w:tcBorders>
                  <w:vAlign w:val="center"/>
                </w:tcPr>
                <w:p>
                  <w:pPr>
                    <w:jc w:val="center"/>
                    <w:rPr>
                      <w:rFonts w:ascii="Times New Roman" w:hAnsi="Times New Roman" w:eastAsia="宋体"/>
                      <w:szCs w:val="21"/>
                    </w:rPr>
                  </w:pPr>
                  <w:r>
                    <w:rPr>
                      <w:rFonts w:hint="eastAsia"/>
                    </w:rPr>
                    <w:t>6.499E-6</w:t>
                  </w:r>
                </w:p>
              </w:tc>
              <w:tc>
                <w:tcPr>
                  <w:tcW w:w="1708" w:type="pct"/>
                  <w:tcBorders>
                    <w:top w:val="single" w:color="000000" w:sz="2" w:space="0"/>
                    <w:left w:val="single" w:color="auto" w:sz="4" w:space="0"/>
                    <w:bottom w:val="single" w:color="000000" w:sz="2" w:space="0"/>
                    <w:right w:val="nil"/>
                  </w:tcBorders>
                  <w:vAlign w:val="center"/>
                </w:tcPr>
                <w:p>
                  <w:pPr>
                    <w:jc w:val="center"/>
                    <w:rPr>
                      <w:rFonts w:ascii="Times New Roman" w:hAnsi="Times New Roman" w:eastAsia="宋体"/>
                      <w:szCs w:val="21"/>
                    </w:rPr>
                  </w:pPr>
                  <w:r>
                    <w:rPr>
                      <w:rFonts w:hint="eastAsia"/>
                    </w:rPr>
                    <w:t>0.00</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cantSplit/>
                <w:trHeight w:val="23" w:hRule="atLeast"/>
                <w:jc w:val="center"/>
              </w:trPr>
              <w:tc>
                <w:tcPr>
                  <w:tcW w:w="1725" w:type="pct"/>
                  <w:tcBorders>
                    <w:top w:val="single" w:color="000000" w:sz="2" w:space="0"/>
                    <w:left w:val="nil"/>
                    <w:bottom w:val="single" w:color="000000" w:sz="2" w:space="0"/>
                    <w:right w:val="single" w:color="000000" w:sz="2" w:space="0"/>
                  </w:tcBorders>
                  <w:vAlign w:val="center"/>
                </w:tcPr>
                <w:p>
                  <w:pPr>
                    <w:jc w:val="center"/>
                    <w:rPr>
                      <w:rFonts w:hint="default" w:ascii="Times New Roman" w:hAnsi="Times New Roman" w:eastAsia="宋体"/>
                      <w:szCs w:val="21"/>
                      <w:lang w:val="en-US" w:eastAsia="zh-CN"/>
                    </w:rPr>
                  </w:pPr>
                  <w:r>
                    <w:rPr>
                      <w:rFonts w:hint="eastAsia" w:ascii="Times New Roman" w:hAnsi="Times New Roman" w:eastAsia="宋体"/>
                      <w:szCs w:val="21"/>
                      <w:lang w:val="en-US" w:eastAsia="zh-CN"/>
                    </w:rPr>
                    <w:t>97</w:t>
                  </w:r>
                </w:p>
              </w:tc>
              <w:tc>
                <w:tcPr>
                  <w:tcW w:w="1565" w:type="pct"/>
                  <w:tcBorders>
                    <w:top w:val="single" w:color="000000" w:sz="2" w:space="0"/>
                    <w:left w:val="single" w:color="000000" w:sz="2" w:space="0"/>
                    <w:bottom w:val="single" w:color="000000" w:sz="2" w:space="0"/>
                    <w:right w:val="single" w:color="auto" w:sz="4" w:space="0"/>
                  </w:tcBorders>
                  <w:vAlign w:val="center"/>
                </w:tcPr>
                <w:p>
                  <w:pPr>
                    <w:jc w:val="center"/>
                    <w:rPr>
                      <w:rFonts w:ascii="Times New Roman" w:hAnsi="Times New Roman" w:eastAsia="宋体"/>
                      <w:szCs w:val="21"/>
                    </w:rPr>
                  </w:pPr>
                  <w:r>
                    <w:rPr>
                      <w:rFonts w:hint="eastAsia"/>
                    </w:rPr>
                    <w:t>0.001425</w:t>
                  </w:r>
                </w:p>
              </w:tc>
              <w:tc>
                <w:tcPr>
                  <w:tcW w:w="1708" w:type="pct"/>
                  <w:tcBorders>
                    <w:top w:val="single" w:color="000000" w:sz="2" w:space="0"/>
                    <w:left w:val="single" w:color="auto" w:sz="4" w:space="0"/>
                    <w:bottom w:val="single" w:color="000000" w:sz="2" w:space="0"/>
                    <w:right w:val="nil"/>
                  </w:tcBorders>
                  <w:vAlign w:val="center"/>
                </w:tcPr>
                <w:p>
                  <w:pPr>
                    <w:jc w:val="center"/>
                    <w:rPr>
                      <w:rFonts w:ascii="Times New Roman" w:hAnsi="Times New Roman" w:eastAsia="宋体"/>
                      <w:iCs w:val="0"/>
                      <w:color w:val="auto"/>
                      <w:szCs w:val="21"/>
                    </w:rPr>
                  </w:pPr>
                  <w:r>
                    <w:rPr>
                      <w:rFonts w:hint="eastAsia"/>
                    </w:rPr>
                    <w:t>0.32</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cantSplit/>
                <w:trHeight w:val="23" w:hRule="atLeast"/>
                <w:jc w:val="center"/>
              </w:trPr>
              <w:tc>
                <w:tcPr>
                  <w:tcW w:w="1725" w:type="pct"/>
                  <w:tcBorders>
                    <w:top w:val="single" w:color="000000" w:sz="2" w:space="0"/>
                    <w:left w:val="nil"/>
                    <w:bottom w:val="single" w:color="000000" w:sz="2" w:space="0"/>
                    <w:right w:val="single" w:color="000000" w:sz="2" w:space="0"/>
                  </w:tcBorders>
                  <w:vAlign w:val="center"/>
                </w:tcPr>
                <w:p>
                  <w:pPr>
                    <w:jc w:val="center"/>
                    <w:rPr>
                      <w:rFonts w:hint="default" w:ascii="Times New Roman" w:hAnsi="Times New Roman" w:eastAsia="宋体"/>
                      <w:szCs w:val="21"/>
                      <w:lang w:val="en-US" w:eastAsia="zh-CN"/>
                    </w:rPr>
                  </w:pPr>
                  <w:r>
                    <w:rPr>
                      <w:rFonts w:hint="eastAsia" w:ascii="Times New Roman" w:hAnsi="Times New Roman" w:eastAsia="宋体"/>
                      <w:szCs w:val="21"/>
                      <w:lang w:val="en-US" w:eastAsia="zh-CN"/>
                    </w:rPr>
                    <w:t>100（最大落地浓度）</w:t>
                  </w:r>
                </w:p>
              </w:tc>
              <w:tc>
                <w:tcPr>
                  <w:tcW w:w="1565" w:type="pct"/>
                  <w:tcBorders>
                    <w:top w:val="single" w:color="000000" w:sz="2" w:space="0"/>
                    <w:left w:val="single" w:color="000000" w:sz="2" w:space="0"/>
                    <w:bottom w:val="single" w:color="000000" w:sz="2" w:space="0"/>
                    <w:right w:val="single" w:color="auto" w:sz="4" w:space="0"/>
                  </w:tcBorders>
                  <w:vAlign w:val="center"/>
                </w:tcPr>
                <w:p>
                  <w:pPr>
                    <w:jc w:val="center"/>
                    <w:rPr>
                      <w:rFonts w:ascii="Times New Roman" w:hAnsi="Times New Roman" w:eastAsia="宋体"/>
                      <w:szCs w:val="21"/>
                    </w:rPr>
                  </w:pPr>
                  <w:r>
                    <w:rPr>
                      <w:rFonts w:hint="eastAsia"/>
                    </w:rPr>
                    <w:t>0.001423</w:t>
                  </w:r>
                </w:p>
              </w:tc>
              <w:tc>
                <w:tcPr>
                  <w:tcW w:w="1708" w:type="pct"/>
                  <w:tcBorders>
                    <w:top w:val="single" w:color="000000" w:sz="2" w:space="0"/>
                    <w:left w:val="single" w:color="auto" w:sz="4" w:space="0"/>
                    <w:bottom w:val="single" w:color="000000" w:sz="2" w:space="0"/>
                    <w:right w:val="nil"/>
                  </w:tcBorders>
                  <w:vAlign w:val="center"/>
                </w:tcPr>
                <w:p>
                  <w:pPr>
                    <w:jc w:val="center"/>
                    <w:rPr>
                      <w:rFonts w:ascii="Times New Roman" w:hAnsi="Times New Roman" w:eastAsia="宋体"/>
                      <w:szCs w:val="21"/>
                    </w:rPr>
                  </w:pPr>
                  <w:r>
                    <w:rPr>
                      <w:rFonts w:hint="eastAsia"/>
                    </w:rPr>
                    <w:t>0.32</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cantSplit/>
                <w:trHeight w:val="23" w:hRule="atLeast"/>
                <w:jc w:val="center"/>
              </w:trPr>
              <w:tc>
                <w:tcPr>
                  <w:tcW w:w="1725" w:type="pct"/>
                  <w:tcBorders>
                    <w:top w:val="single" w:color="000000" w:sz="2" w:space="0"/>
                    <w:left w:val="nil"/>
                    <w:bottom w:val="single" w:color="000000" w:sz="2" w:space="0"/>
                    <w:right w:val="single" w:color="000000" w:sz="2" w:space="0"/>
                  </w:tcBorders>
                  <w:vAlign w:val="center"/>
                </w:tcPr>
                <w:p>
                  <w:pPr>
                    <w:jc w:val="center"/>
                    <w:rPr>
                      <w:rFonts w:ascii="Times New Roman" w:hAnsi="Times New Roman" w:eastAsia="宋体"/>
                      <w:szCs w:val="21"/>
                    </w:rPr>
                  </w:pPr>
                  <w:r>
                    <w:rPr>
                      <w:rFonts w:hint="eastAsia"/>
                    </w:rPr>
                    <w:t>200</w:t>
                  </w:r>
                </w:p>
              </w:tc>
              <w:tc>
                <w:tcPr>
                  <w:tcW w:w="1565" w:type="pct"/>
                  <w:tcBorders>
                    <w:top w:val="single" w:color="000000" w:sz="2" w:space="0"/>
                    <w:left w:val="single" w:color="000000" w:sz="2" w:space="0"/>
                    <w:bottom w:val="single" w:color="000000" w:sz="2" w:space="0"/>
                    <w:right w:val="single" w:color="auto" w:sz="4" w:space="0"/>
                  </w:tcBorders>
                  <w:vAlign w:val="center"/>
                </w:tcPr>
                <w:p>
                  <w:pPr>
                    <w:jc w:val="center"/>
                    <w:rPr>
                      <w:rFonts w:ascii="Times New Roman" w:hAnsi="Times New Roman" w:eastAsia="宋体"/>
                      <w:szCs w:val="21"/>
                    </w:rPr>
                  </w:pPr>
                  <w:r>
                    <w:rPr>
                      <w:rFonts w:hint="eastAsia"/>
                    </w:rPr>
                    <w:t>0.001248</w:t>
                  </w:r>
                </w:p>
              </w:tc>
              <w:tc>
                <w:tcPr>
                  <w:tcW w:w="1708" w:type="pct"/>
                  <w:tcBorders>
                    <w:top w:val="single" w:color="000000" w:sz="2" w:space="0"/>
                    <w:left w:val="single" w:color="auto" w:sz="4" w:space="0"/>
                    <w:bottom w:val="single" w:color="000000" w:sz="2" w:space="0"/>
                    <w:right w:val="nil"/>
                  </w:tcBorders>
                  <w:vAlign w:val="center"/>
                </w:tcPr>
                <w:p>
                  <w:pPr>
                    <w:jc w:val="center"/>
                    <w:rPr>
                      <w:rFonts w:ascii="Times New Roman" w:hAnsi="Times New Roman" w:eastAsia="宋体"/>
                      <w:szCs w:val="21"/>
                    </w:rPr>
                  </w:pPr>
                  <w:r>
                    <w:rPr>
                      <w:rFonts w:hint="eastAsia"/>
                    </w:rPr>
                    <w:t>0.28</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cantSplit/>
                <w:trHeight w:val="23" w:hRule="atLeast"/>
                <w:jc w:val="center"/>
              </w:trPr>
              <w:tc>
                <w:tcPr>
                  <w:tcW w:w="1725" w:type="pct"/>
                  <w:tcBorders>
                    <w:top w:val="single" w:color="000000" w:sz="2" w:space="0"/>
                    <w:left w:val="nil"/>
                    <w:bottom w:val="single" w:color="000000" w:sz="2" w:space="0"/>
                    <w:right w:val="single" w:color="000000" w:sz="2" w:space="0"/>
                  </w:tcBorders>
                  <w:vAlign w:val="center"/>
                </w:tcPr>
                <w:p>
                  <w:pPr>
                    <w:jc w:val="center"/>
                    <w:rPr>
                      <w:rFonts w:ascii="Times New Roman" w:hAnsi="Times New Roman" w:eastAsia="宋体"/>
                      <w:szCs w:val="21"/>
                    </w:rPr>
                  </w:pPr>
                  <w:r>
                    <w:rPr>
                      <w:rFonts w:hint="eastAsia"/>
                    </w:rPr>
                    <w:t>300</w:t>
                  </w:r>
                </w:p>
              </w:tc>
              <w:tc>
                <w:tcPr>
                  <w:tcW w:w="1565" w:type="pct"/>
                  <w:tcBorders>
                    <w:top w:val="single" w:color="000000" w:sz="2" w:space="0"/>
                    <w:left w:val="single" w:color="000000" w:sz="2" w:space="0"/>
                    <w:bottom w:val="single" w:color="000000" w:sz="2" w:space="0"/>
                    <w:right w:val="single" w:color="auto" w:sz="4" w:space="0"/>
                  </w:tcBorders>
                  <w:vAlign w:val="center"/>
                </w:tcPr>
                <w:p>
                  <w:pPr>
                    <w:jc w:val="center"/>
                    <w:rPr>
                      <w:rFonts w:ascii="Times New Roman" w:hAnsi="Times New Roman" w:eastAsia="宋体"/>
                      <w:szCs w:val="21"/>
                    </w:rPr>
                  </w:pPr>
                  <w:r>
                    <w:rPr>
                      <w:rFonts w:hint="eastAsia"/>
                    </w:rPr>
                    <w:t>0.001163</w:t>
                  </w:r>
                </w:p>
              </w:tc>
              <w:tc>
                <w:tcPr>
                  <w:tcW w:w="1708" w:type="pct"/>
                  <w:tcBorders>
                    <w:top w:val="single" w:color="000000" w:sz="2" w:space="0"/>
                    <w:left w:val="single" w:color="auto" w:sz="4" w:space="0"/>
                    <w:bottom w:val="single" w:color="000000" w:sz="2" w:space="0"/>
                    <w:right w:val="nil"/>
                  </w:tcBorders>
                  <w:vAlign w:val="center"/>
                </w:tcPr>
                <w:p>
                  <w:pPr>
                    <w:jc w:val="center"/>
                    <w:rPr>
                      <w:rFonts w:ascii="Times New Roman" w:hAnsi="Times New Roman" w:eastAsia="宋体"/>
                      <w:szCs w:val="21"/>
                    </w:rPr>
                  </w:pPr>
                  <w:r>
                    <w:rPr>
                      <w:rFonts w:hint="eastAsia"/>
                    </w:rPr>
                    <w:t>0.26</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cantSplit/>
                <w:trHeight w:val="23" w:hRule="atLeast"/>
                <w:jc w:val="center"/>
              </w:trPr>
              <w:tc>
                <w:tcPr>
                  <w:tcW w:w="1725" w:type="pct"/>
                  <w:tcBorders>
                    <w:top w:val="single" w:color="000000" w:sz="2" w:space="0"/>
                    <w:left w:val="nil"/>
                    <w:bottom w:val="single" w:color="000000" w:sz="2" w:space="0"/>
                    <w:right w:val="single" w:color="000000" w:sz="2" w:space="0"/>
                  </w:tcBorders>
                  <w:vAlign w:val="center"/>
                </w:tcPr>
                <w:p>
                  <w:pPr>
                    <w:jc w:val="center"/>
                    <w:rPr>
                      <w:rFonts w:ascii="Times New Roman" w:hAnsi="Times New Roman" w:eastAsia="宋体"/>
                      <w:szCs w:val="21"/>
                    </w:rPr>
                  </w:pPr>
                  <w:r>
                    <w:rPr>
                      <w:rFonts w:hint="eastAsia"/>
                    </w:rPr>
                    <w:t>400</w:t>
                  </w:r>
                </w:p>
              </w:tc>
              <w:tc>
                <w:tcPr>
                  <w:tcW w:w="1565" w:type="pct"/>
                  <w:tcBorders>
                    <w:top w:val="single" w:color="000000" w:sz="2" w:space="0"/>
                    <w:left w:val="single" w:color="000000" w:sz="2" w:space="0"/>
                    <w:bottom w:val="single" w:color="000000" w:sz="2" w:space="0"/>
                    <w:right w:val="single" w:color="auto" w:sz="4" w:space="0"/>
                  </w:tcBorders>
                  <w:vAlign w:val="center"/>
                </w:tcPr>
                <w:p>
                  <w:pPr>
                    <w:jc w:val="center"/>
                    <w:rPr>
                      <w:rFonts w:ascii="Times New Roman" w:hAnsi="Times New Roman" w:eastAsia="宋体"/>
                      <w:szCs w:val="21"/>
                    </w:rPr>
                  </w:pPr>
                  <w:r>
                    <w:rPr>
                      <w:rFonts w:hint="eastAsia"/>
                    </w:rPr>
                    <w:t>0.001166</w:t>
                  </w:r>
                </w:p>
              </w:tc>
              <w:tc>
                <w:tcPr>
                  <w:tcW w:w="1708" w:type="pct"/>
                  <w:tcBorders>
                    <w:top w:val="single" w:color="000000" w:sz="2" w:space="0"/>
                    <w:left w:val="single" w:color="auto" w:sz="4" w:space="0"/>
                    <w:bottom w:val="single" w:color="000000" w:sz="2" w:space="0"/>
                    <w:right w:val="nil"/>
                  </w:tcBorders>
                  <w:vAlign w:val="center"/>
                </w:tcPr>
                <w:p>
                  <w:pPr>
                    <w:jc w:val="center"/>
                    <w:rPr>
                      <w:rFonts w:ascii="Times New Roman" w:hAnsi="Times New Roman" w:eastAsia="宋体"/>
                      <w:szCs w:val="21"/>
                    </w:rPr>
                  </w:pPr>
                  <w:r>
                    <w:rPr>
                      <w:rFonts w:hint="eastAsia"/>
                    </w:rPr>
                    <w:t>0.26</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cantSplit/>
                <w:trHeight w:val="23" w:hRule="atLeast"/>
                <w:jc w:val="center"/>
              </w:trPr>
              <w:tc>
                <w:tcPr>
                  <w:tcW w:w="1725" w:type="pct"/>
                  <w:tcBorders>
                    <w:top w:val="single" w:color="000000" w:sz="2" w:space="0"/>
                    <w:left w:val="nil"/>
                    <w:bottom w:val="single" w:color="000000" w:sz="2" w:space="0"/>
                    <w:right w:val="single" w:color="000000" w:sz="2" w:space="0"/>
                  </w:tcBorders>
                  <w:vAlign w:val="center"/>
                </w:tcPr>
                <w:p>
                  <w:pPr>
                    <w:jc w:val="center"/>
                    <w:rPr>
                      <w:rFonts w:ascii="Times New Roman" w:hAnsi="Times New Roman" w:eastAsia="宋体"/>
                      <w:szCs w:val="21"/>
                    </w:rPr>
                  </w:pPr>
                  <w:r>
                    <w:rPr>
                      <w:rFonts w:hint="eastAsia"/>
                    </w:rPr>
                    <w:t>500</w:t>
                  </w:r>
                </w:p>
              </w:tc>
              <w:tc>
                <w:tcPr>
                  <w:tcW w:w="1565" w:type="pct"/>
                  <w:tcBorders>
                    <w:top w:val="single" w:color="000000" w:sz="2" w:space="0"/>
                    <w:left w:val="single" w:color="000000" w:sz="2" w:space="0"/>
                    <w:bottom w:val="single" w:color="000000" w:sz="2" w:space="0"/>
                    <w:right w:val="single" w:color="auto" w:sz="4" w:space="0"/>
                  </w:tcBorders>
                  <w:vAlign w:val="center"/>
                </w:tcPr>
                <w:p>
                  <w:pPr>
                    <w:jc w:val="center"/>
                    <w:rPr>
                      <w:rFonts w:ascii="Times New Roman" w:hAnsi="Times New Roman" w:eastAsia="宋体"/>
                      <w:szCs w:val="21"/>
                    </w:rPr>
                  </w:pPr>
                  <w:r>
                    <w:rPr>
                      <w:rFonts w:hint="eastAsia"/>
                    </w:rPr>
                    <w:t>0.001081</w:t>
                  </w:r>
                </w:p>
              </w:tc>
              <w:tc>
                <w:tcPr>
                  <w:tcW w:w="1708" w:type="pct"/>
                  <w:tcBorders>
                    <w:top w:val="single" w:color="000000" w:sz="2" w:space="0"/>
                    <w:left w:val="single" w:color="auto" w:sz="4" w:space="0"/>
                    <w:bottom w:val="single" w:color="000000" w:sz="2" w:space="0"/>
                    <w:right w:val="nil"/>
                  </w:tcBorders>
                  <w:vAlign w:val="center"/>
                </w:tcPr>
                <w:p>
                  <w:pPr>
                    <w:jc w:val="center"/>
                    <w:rPr>
                      <w:rFonts w:ascii="Times New Roman" w:hAnsi="Times New Roman" w:eastAsia="宋体"/>
                      <w:szCs w:val="21"/>
                    </w:rPr>
                  </w:pPr>
                  <w:r>
                    <w:rPr>
                      <w:rFonts w:hint="eastAsia"/>
                    </w:rPr>
                    <w:t>0.24</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cantSplit/>
                <w:trHeight w:val="23" w:hRule="atLeast"/>
                <w:jc w:val="center"/>
              </w:trPr>
              <w:tc>
                <w:tcPr>
                  <w:tcW w:w="1725" w:type="pct"/>
                  <w:tcBorders>
                    <w:top w:val="single" w:color="000000" w:sz="2" w:space="0"/>
                    <w:left w:val="nil"/>
                    <w:bottom w:val="single" w:color="000000" w:sz="2" w:space="0"/>
                    <w:right w:val="single" w:color="000000" w:sz="2" w:space="0"/>
                  </w:tcBorders>
                  <w:vAlign w:val="center"/>
                </w:tcPr>
                <w:p>
                  <w:pPr>
                    <w:jc w:val="center"/>
                    <w:rPr>
                      <w:rFonts w:ascii="Times New Roman" w:hAnsi="Times New Roman" w:eastAsia="宋体"/>
                      <w:szCs w:val="21"/>
                    </w:rPr>
                  </w:pPr>
                  <w:r>
                    <w:rPr>
                      <w:rFonts w:hint="eastAsia"/>
                    </w:rPr>
                    <w:t>600</w:t>
                  </w:r>
                </w:p>
              </w:tc>
              <w:tc>
                <w:tcPr>
                  <w:tcW w:w="1565" w:type="pct"/>
                  <w:tcBorders>
                    <w:top w:val="single" w:color="000000" w:sz="2" w:space="0"/>
                    <w:left w:val="single" w:color="000000" w:sz="2" w:space="0"/>
                    <w:bottom w:val="single" w:color="000000" w:sz="2" w:space="0"/>
                    <w:right w:val="single" w:color="auto" w:sz="4" w:space="0"/>
                  </w:tcBorders>
                  <w:vAlign w:val="center"/>
                </w:tcPr>
                <w:p>
                  <w:pPr>
                    <w:jc w:val="center"/>
                    <w:rPr>
                      <w:rFonts w:ascii="Times New Roman" w:hAnsi="Times New Roman" w:eastAsia="宋体"/>
                      <w:szCs w:val="21"/>
                    </w:rPr>
                  </w:pPr>
                  <w:r>
                    <w:rPr>
                      <w:rFonts w:hint="eastAsia"/>
                    </w:rPr>
                    <w:t>0.0009488</w:t>
                  </w:r>
                </w:p>
              </w:tc>
              <w:tc>
                <w:tcPr>
                  <w:tcW w:w="1708" w:type="pct"/>
                  <w:tcBorders>
                    <w:top w:val="single" w:color="000000" w:sz="2" w:space="0"/>
                    <w:left w:val="single" w:color="auto" w:sz="4" w:space="0"/>
                    <w:bottom w:val="single" w:color="000000" w:sz="2" w:space="0"/>
                    <w:right w:val="nil"/>
                  </w:tcBorders>
                  <w:vAlign w:val="center"/>
                </w:tcPr>
                <w:p>
                  <w:pPr>
                    <w:jc w:val="center"/>
                    <w:rPr>
                      <w:rFonts w:ascii="Times New Roman" w:hAnsi="Times New Roman" w:eastAsia="宋体"/>
                      <w:szCs w:val="21"/>
                    </w:rPr>
                  </w:pPr>
                  <w:r>
                    <w:rPr>
                      <w:rFonts w:hint="eastAsia"/>
                    </w:rPr>
                    <w:t>0.21</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cantSplit/>
                <w:trHeight w:val="23" w:hRule="atLeast"/>
                <w:jc w:val="center"/>
              </w:trPr>
              <w:tc>
                <w:tcPr>
                  <w:tcW w:w="1725" w:type="pct"/>
                  <w:tcBorders>
                    <w:top w:val="single" w:color="000000" w:sz="2" w:space="0"/>
                    <w:left w:val="nil"/>
                    <w:bottom w:val="single" w:color="000000" w:sz="2" w:space="0"/>
                    <w:right w:val="single" w:color="000000" w:sz="2" w:space="0"/>
                  </w:tcBorders>
                  <w:vAlign w:val="center"/>
                </w:tcPr>
                <w:p>
                  <w:pPr>
                    <w:jc w:val="center"/>
                    <w:rPr>
                      <w:rFonts w:ascii="Times New Roman" w:hAnsi="Times New Roman" w:eastAsia="宋体"/>
                      <w:szCs w:val="21"/>
                    </w:rPr>
                  </w:pPr>
                  <w:r>
                    <w:rPr>
                      <w:rFonts w:hint="eastAsia"/>
                    </w:rPr>
                    <w:t>700</w:t>
                  </w:r>
                </w:p>
              </w:tc>
              <w:tc>
                <w:tcPr>
                  <w:tcW w:w="1565" w:type="pct"/>
                  <w:tcBorders>
                    <w:top w:val="single" w:color="000000" w:sz="2" w:space="0"/>
                    <w:left w:val="single" w:color="000000" w:sz="2" w:space="0"/>
                    <w:bottom w:val="single" w:color="000000" w:sz="2" w:space="0"/>
                    <w:right w:val="single" w:color="auto" w:sz="4" w:space="0"/>
                  </w:tcBorders>
                  <w:vAlign w:val="center"/>
                </w:tcPr>
                <w:p>
                  <w:pPr>
                    <w:jc w:val="center"/>
                    <w:rPr>
                      <w:rFonts w:ascii="Times New Roman" w:hAnsi="Times New Roman" w:eastAsia="宋体"/>
                      <w:szCs w:val="21"/>
                    </w:rPr>
                  </w:pPr>
                  <w:r>
                    <w:rPr>
                      <w:rFonts w:hint="eastAsia"/>
                    </w:rPr>
                    <w:t>0.0008214</w:t>
                  </w:r>
                </w:p>
              </w:tc>
              <w:tc>
                <w:tcPr>
                  <w:tcW w:w="1708" w:type="pct"/>
                  <w:tcBorders>
                    <w:top w:val="single" w:color="000000" w:sz="2" w:space="0"/>
                    <w:left w:val="single" w:color="auto" w:sz="4" w:space="0"/>
                    <w:bottom w:val="single" w:color="000000" w:sz="2" w:space="0"/>
                    <w:right w:val="nil"/>
                  </w:tcBorders>
                  <w:vAlign w:val="center"/>
                </w:tcPr>
                <w:p>
                  <w:pPr>
                    <w:jc w:val="center"/>
                    <w:rPr>
                      <w:rFonts w:ascii="Times New Roman" w:hAnsi="Times New Roman" w:eastAsia="宋体"/>
                      <w:szCs w:val="21"/>
                    </w:rPr>
                  </w:pPr>
                  <w:r>
                    <w:rPr>
                      <w:rFonts w:hint="eastAsia"/>
                    </w:rPr>
                    <w:t>0.18</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cantSplit/>
                <w:trHeight w:val="23" w:hRule="atLeast"/>
                <w:jc w:val="center"/>
              </w:trPr>
              <w:tc>
                <w:tcPr>
                  <w:tcW w:w="1725" w:type="pct"/>
                  <w:tcBorders>
                    <w:top w:val="single" w:color="000000" w:sz="2" w:space="0"/>
                    <w:left w:val="nil"/>
                    <w:bottom w:val="single" w:color="000000" w:sz="2" w:space="0"/>
                    <w:right w:val="single" w:color="000000" w:sz="2" w:space="0"/>
                  </w:tcBorders>
                  <w:vAlign w:val="center"/>
                </w:tcPr>
                <w:p>
                  <w:pPr>
                    <w:jc w:val="center"/>
                    <w:rPr>
                      <w:rFonts w:ascii="Times New Roman" w:hAnsi="Times New Roman" w:eastAsia="宋体"/>
                      <w:szCs w:val="21"/>
                    </w:rPr>
                  </w:pPr>
                  <w:r>
                    <w:rPr>
                      <w:rFonts w:hint="eastAsia"/>
                    </w:rPr>
                    <w:t>800</w:t>
                  </w:r>
                </w:p>
              </w:tc>
              <w:tc>
                <w:tcPr>
                  <w:tcW w:w="1565" w:type="pct"/>
                  <w:tcBorders>
                    <w:top w:val="single" w:color="000000" w:sz="2" w:space="0"/>
                    <w:left w:val="single" w:color="000000" w:sz="2" w:space="0"/>
                    <w:bottom w:val="single" w:color="000000" w:sz="2" w:space="0"/>
                    <w:right w:val="single" w:color="auto" w:sz="4" w:space="0"/>
                  </w:tcBorders>
                  <w:vAlign w:val="center"/>
                </w:tcPr>
                <w:p>
                  <w:pPr>
                    <w:jc w:val="center"/>
                    <w:rPr>
                      <w:rFonts w:ascii="Times New Roman" w:hAnsi="Times New Roman" w:eastAsia="宋体"/>
                      <w:szCs w:val="21"/>
                    </w:rPr>
                  </w:pPr>
                  <w:r>
                    <w:rPr>
                      <w:rFonts w:hint="eastAsia"/>
                    </w:rPr>
                    <w:t>0.0007122</w:t>
                  </w:r>
                </w:p>
              </w:tc>
              <w:tc>
                <w:tcPr>
                  <w:tcW w:w="1708" w:type="pct"/>
                  <w:tcBorders>
                    <w:top w:val="single" w:color="000000" w:sz="2" w:space="0"/>
                    <w:left w:val="single" w:color="auto" w:sz="4" w:space="0"/>
                    <w:bottom w:val="single" w:color="000000" w:sz="2" w:space="0"/>
                    <w:right w:val="nil"/>
                  </w:tcBorders>
                  <w:vAlign w:val="center"/>
                </w:tcPr>
                <w:p>
                  <w:pPr>
                    <w:jc w:val="center"/>
                    <w:rPr>
                      <w:rFonts w:ascii="Times New Roman" w:hAnsi="Times New Roman" w:eastAsia="宋体"/>
                      <w:szCs w:val="21"/>
                    </w:rPr>
                  </w:pPr>
                  <w:r>
                    <w:rPr>
                      <w:rFonts w:hint="eastAsia"/>
                    </w:rPr>
                    <w:t>0.16</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cantSplit/>
                <w:trHeight w:val="23" w:hRule="atLeast"/>
                <w:jc w:val="center"/>
              </w:trPr>
              <w:tc>
                <w:tcPr>
                  <w:tcW w:w="1725" w:type="pct"/>
                  <w:tcBorders>
                    <w:top w:val="single" w:color="000000" w:sz="2" w:space="0"/>
                    <w:left w:val="nil"/>
                    <w:bottom w:val="single" w:color="000000" w:sz="2" w:space="0"/>
                    <w:right w:val="single" w:color="000000" w:sz="2" w:space="0"/>
                  </w:tcBorders>
                  <w:vAlign w:val="center"/>
                </w:tcPr>
                <w:p>
                  <w:pPr>
                    <w:jc w:val="center"/>
                    <w:rPr>
                      <w:rFonts w:ascii="Times New Roman" w:hAnsi="Times New Roman" w:eastAsia="宋体"/>
                      <w:szCs w:val="21"/>
                    </w:rPr>
                  </w:pPr>
                  <w:r>
                    <w:rPr>
                      <w:rFonts w:hint="eastAsia"/>
                    </w:rPr>
                    <w:t>900</w:t>
                  </w:r>
                </w:p>
              </w:tc>
              <w:tc>
                <w:tcPr>
                  <w:tcW w:w="1565" w:type="pct"/>
                  <w:tcBorders>
                    <w:top w:val="single" w:color="000000" w:sz="2" w:space="0"/>
                    <w:left w:val="single" w:color="000000" w:sz="2" w:space="0"/>
                    <w:bottom w:val="single" w:color="000000" w:sz="2" w:space="0"/>
                    <w:right w:val="single" w:color="auto" w:sz="4" w:space="0"/>
                  </w:tcBorders>
                  <w:vAlign w:val="center"/>
                </w:tcPr>
                <w:p>
                  <w:pPr>
                    <w:jc w:val="center"/>
                    <w:rPr>
                      <w:rFonts w:ascii="Times New Roman" w:hAnsi="Times New Roman" w:eastAsia="宋体"/>
                      <w:szCs w:val="21"/>
                    </w:rPr>
                  </w:pPr>
                  <w:r>
                    <w:rPr>
                      <w:rFonts w:hint="eastAsia"/>
                    </w:rPr>
                    <w:t>0.0006217</w:t>
                  </w:r>
                </w:p>
              </w:tc>
              <w:tc>
                <w:tcPr>
                  <w:tcW w:w="1708" w:type="pct"/>
                  <w:tcBorders>
                    <w:top w:val="single" w:color="000000" w:sz="2" w:space="0"/>
                    <w:left w:val="single" w:color="auto" w:sz="4" w:space="0"/>
                    <w:bottom w:val="single" w:color="000000" w:sz="2" w:space="0"/>
                    <w:right w:val="nil"/>
                  </w:tcBorders>
                  <w:vAlign w:val="center"/>
                </w:tcPr>
                <w:p>
                  <w:pPr>
                    <w:jc w:val="center"/>
                    <w:rPr>
                      <w:rFonts w:ascii="Times New Roman" w:hAnsi="Times New Roman" w:eastAsia="宋体"/>
                      <w:szCs w:val="21"/>
                    </w:rPr>
                  </w:pPr>
                  <w:r>
                    <w:rPr>
                      <w:rFonts w:hint="eastAsia"/>
                    </w:rPr>
                    <w:t>0.14</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cantSplit/>
                <w:trHeight w:val="23" w:hRule="atLeast"/>
                <w:jc w:val="center"/>
              </w:trPr>
              <w:tc>
                <w:tcPr>
                  <w:tcW w:w="1725" w:type="pct"/>
                  <w:tcBorders>
                    <w:top w:val="single" w:color="000000" w:sz="2" w:space="0"/>
                    <w:left w:val="nil"/>
                    <w:bottom w:val="single" w:color="000000" w:sz="2" w:space="0"/>
                    <w:right w:val="single" w:color="000000" w:sz="2" w:space="0"/>
                  </w:tcBorders>
                  <w:vAlign w:val="center"/>
                </w:tcPr>
                <w:p>
                  <w:pPr>
                    <w:jc w:val="center"/>
                    <w:rPr>
                      <w:rFonts w:ascii="Times New Roman" w:hAnsi="Times New Roman" w:eastAsia="宋体"/>
                      <w:szCs w:val="21"/>
                    </w:rPr>
                  </w:pPr>
                  <w:r>
                    <w:rPr>
                      <w:rFonts w:hint="eastAsia"/>
                    </w:rPr>
                    <w:t>1000</w:t>
                  </w:r>
                </w:p>
              </w:tc>
              <w:tc>
                <w:tcPr>
                  <w:tcW w:w="1565" w:type="pct"/>
                  <w:tcBorders>
                    <w:top w:val="single" w:color="000000" w:sz="2" w:space="0"/>
                    <w:left w:val="single" w:color="000000" w:sz="2" w:space="0"/>
                    <w:bottom w:val="single" w:color="000000" w:sz="2" w:space="0"/>
                    <w:right w:val="single" w:color="auto" w:sz="4" w:space="0"/>
                  </w:tcBorders>
                  <w:vAlign w:val="center"/>
                </w:tcPr>
                <w:p>
                  <w:pPr>
                    <w:jc w:val="center"/>
                    <w:rPr>
                      <w:rFonts w:ascii="Times New Roman" w:hAnsi="Times New Roman" w:eastAsia="宋体"/>
                      <w:szCs w:val="21"/>
                    </w:rPr>
                  </w:pPr>
                  <w:r>
                    <w:rPr>
                      <w:rFonts w:hint="eastAsia"/>
                    </w:rPr>
                    <w:t>0.000547</w:t>
                  </w:r>
                </w:p>
              </w:tc>
              <w:tc>
                <w:tcPr>
                  <w:tcW w:w="1708" w:type="pct"/>
                  <w:tcBorders>
                    <w:top w:val="single" w:color="000000" w:sz="2" w:space="0"/>
                    <w:left w:val="single" w:color="auto" w:sz="4" w:space="0"/>
                    <w:bottom w:val="single" w:color="000000" w:sz="2" w:space="0"/>
                    <w:right w:val="nil"/>
                  </w:tcBorders>
                  <w:vAlign w:val="center"/>
                </w:tcPr>
                <w:p>
                  <w:pPr>
                    <w:jc w:val="center"/>
                    <w:rPr>
                      <w:rFonts w:ascii="Times New Roman" w:hAnsi="Times New Roman" w:eastAsia="宋体"/>
                      <w:szCs w:val="21"/>
                    </w:rPr>
                  </w:pPr>
                  <w:r>
                    <w:rPr>
                      <w:rFonts w:hint="eastAsia"/>
                    </w:rPr>
                    <w:t>0.12</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cantSplit/>
                <w:trHeight w:val="23" w:hRule="atLeast"/>
                <w:jc w:val="center"/>
              </w:trPr>
              <w:tc>
                <w:tcPr>
                  <w:tcW w:w="1725" w:type="pct"/>
                  <w:tcBorders>
                    <w:top w:val="single" w:color="000000" w:sz="2" w:space="0"/>
                    <w:left w:val="nil"/>
                    <w:bottom w:val="single" w:color="000000" w:sz="2" w:space="0"/>
                    <w:right w:val="single" w:color="000000" w:sz="2" w:space="0"/>
                  </w:tcBorders>
                  <w:vAlign w:val="center"/>
                </w:tcPr>
                <w:p>
                  <w:pPr>
                    <w:jc w:val="center"/>
                    <w:rPr>
                      <w:rFonts w:ascii="Times New Roman" w:hAnsi="Times New Roman" w:eastAsia="宋体"/>
                      <w:szCs w:val="21"/>
                    </w:rPr>
                  </w:pPr>
                  <w:r>
                    <w:rPr>
                      <w:rFonts w:hint="eastAsia"/>
                    </w:rPr>
                    <w:t>1100</w:t>
                  </w:r>
                </w:p>
              </w:tc>
              <w:tc>
                <w:tcPr>
                  <w:tcW w:w="1565" w:type="pct"/>
                  <w:tcBorders>
                    <w:top w:val="single" w:color="000000" w:sz="2" w:space="0"/>
                    <w:left w:val="single" w:color="000000" w:sz="2" w:space="0"/>
                    <w:bottom w:val="single" w:color="000000" w:sz="2" w:space="0"/>
                    <w:right w:val="single" w:color="auto" w:sz="4" w:space="0"/>
                  </w:tcBorders>
                  <w:vAlign w:val="center"/>
                </w:tcPr>
                <w:p>
                  <w:pPr>
                    <w:jc w:val="center"/>
                    <w:rPr>
                      <w:rFonts w:ascii="Times New Roman" w:hAnsi="Times New Roman" w:eastAsia="宋体"/>
                      <w:szCs w:val="21"/>
                    </w:rPr>
                  </w:pPr>
                  <w:r>
                    <w:rPr>
                      <w:rFonts w:hint="eastAsia"/>
                    </w:rPr>
                    <w:t>0.0004863</w:t>
                  </w:r>
                </w:p>
              </w:tc>
              <w:tc>
                <w:tcPr>
                  <w:tcW w:w="1708" w:type="pct"/>
                  <w:tcBorders>
                    <w:top w:val="single" w:color="000000" w:sz="2" w:space="0"/>
                    <w:left w:val="single" w:color="auto" w:sz="4" w:space="0"/>
                    <w:bottom w:val="single" w:color="000000" w:sz="2" w:space="0"/>
                    <w:right w:val="nil"/>
                  </w:tcBorders>
                  <w:vAlign w:val="center"/>
                </w:tcPr>
                <w:p>
                  <w:pPr>
                    <w:jc w:val="center"/>
                    <w:rPr>
                      <w:rFonts w:ascii="Times New Roman" w:hAnsi="Times New Roman" w:eastAsia="宋体"/>
                      <w:szCs w:val="21"/>
                    </w:rPr>
                  </w:pPr>
                  <w:r>
                    <w:rPr>
                      <w:rFonts w:hint="eastAsia"/>
                    </w:rPr>
                    <w:t>0.11</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cantSplit/>
                <w:trHeight w:val="23" w:hRule="atLeast"/>
                <w:jc w:val="center"/>
              </w:trPr>
              <w:tc>
                <w:tcPr>
                  <w:tcW w:w="1725" w:type="pct"/>
                  <w:tcBorders>
                    <w:top w:val="single" w:color="000000" w:sz="2" w:space="0"/>
                    <w:left w:val="nil"/>
                    <w:bottom w:val="single" w:color="000000" w:sz="2" w:space="0"/>
                    <w:right w:val="single" w:color="000000" w:sz="2" w:space="0"/>
                  </w:tcBorders>
                  <w:vAlign w:val="center"/>
                </w:tcPr>
                <w:p>
                  <w:pPr>
                    <w:jc w:val="center"/>
                    <w:rPr>
                      <w:rFonts w:ascii="Times New Roman" w:hAnsi="Times New Roman" w:eastAsia="宋体"/>
                      <w:szCs w:val="21"/>
                    </w:rPr>
                  </w:pPr>
                  <w:r>
                    <w:rPr>
                      <w:rFonts w:hint="eastAsia"/>
                    </w:rPr>
                    <w:t>1200</w:t>
                  </w:r>
                </w:p>
              </w:tc>
              <w:tc>
                <w:tcPr>
                  <w:tcW w:w="1565" w:type="pct"/>
                  <w:tcBorders>
                    <w:top w:val="single" w:color="000000" w:sz="2" w:space="0"/>
                    <w:left w:val="single" w:color="000000" w:sz="2" w:space="0"/>
                    <w:bottom w:val="single" w:color="000000" w:sz="2" w:space="0"/>
                    <w:right w:val="single" w:color="auto" w:sz="4" w:space="0"/>
                  </w:tcBorders>
                  <w:vAlign w:val="center"/>
                </w:tcPr>
                <w:p>
                  <w:pPr>
                    <w:jc w:val="center"/>
                    <w:rPr>
                      <w:rFonts w:ascii="Times New Roman" w:hAnsi="Times New Roman" w:eastAsia="宋体"/>
                      <w:szCs w:val="21"/>
                    </w:rPr>
                  </w:pPr>
                  <w:r>
                    <w:rPr>
                      <w:rFonts w:hint="eastAsia"/>
                    </w:rPr>
                    <w:t>0.0004355</w:t>
                  </w:r>
                </w:p>
              </w:tc>
              <w:tc>
                <w:tcPr>
                  <w:tcW w:w="1708" w:type="pct"/>
                  <w:tcBorders>
                    <w:top w:val="single" w:color="000000" w:sz="2" w:space="0"/>
                    <w:left w:val="single" w:color="auto" w:sz="4" w:space="0"/>
                    <w:bottom w:val="single" w:color="000000" w:sz="2" w:space="0"/>
                    <w:right w:val="nil"/>
                  </w:tcBorders>
                  <w:vAlign w:val="center"/>
                </w:tcPr>
                <w:p>
                  <w:pPr>
                    <w:jc w:val="center"/>
                    <w:rPr>
                      <w:rFonts w:ascii="Times New Roman" w:hAnsi="Times New Roman" w:eastAsia="宋体"/>
                      <w:szCs w:val="21"/>
                    </w:rPr>
                  </w:pPr>
                  <w:r>
                    <w:rPr>
                      <w:rFonts w:hint="eastAsia"/>
                    </w:rPr>
                    <w:t>0.10</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cantSplit/>
                <w:trHeight w:val="23" w:hRule="atLeast"/>
                <w:jc w:val="center"/>
              </w:trPr>
              <w:tc>
                <w:tcPr>
                  <w:tcW w:w="1725" w:type="pct"/>
                  <w:tcBorders>
                    <w:top w:val="single" w:color="000000" w:sz="2" w:space="0"/>
                    <w:left w:val="nil"/>
                    <w:bottom w:val="single" w:color="000000" w:sz="2" w:space="0"/>
                    <w:right w:val="single" w:color="000000" w:sz="2" w:space="0"/>
                  </w:tcBorders>
                  <w:vAlign w:val="center"/>
                </w:tcPr>
                <w:p>
                  <w:pPr>
                    <w:jc w:val="center"/>
                    <w:rPr>
                      <w:rFonts w:ascii="Times New Roman" w:hAnsi="Times New Roman" w:eastAsia="宋体"/>
                      <w:szCs w:val="21"/>
                    </w:rPr>
                  </w:pPr>
                  <w:r>
                    <w:rPr>
                      <w:rFonts w:hint="eastAsia"/>
                    </w:rPr>
                    <w:t>1300</w:t>
                  </w:r>
                </w:p>
              </w:tc>
              <w:tc>
                <w:tcPr>
                  <w:tcW w:w="1565" w:type="pct"/>
                  <w:tcBorders>
                    <w:top w:val="single" w:color="000000" w:sz="2" w:space="0"/>
                    <w:left w:val="single" w:color="000000" w:sz="2" w:space="0"/>
                    <w:bottom w:val="single" w:color="000000" w:sz="2" w:space="0"/>
                    <w:right w:val="single" w:color="auto" w:sz="4" w:space="0"/>
                  </w:tcBorders>
                  <w:vAlign w:val="center"/>
                </w:tcPr>
                <w:p>
                  <w:pPr>
                    <w:jc w:val="center"/>
                    <w:rPr>
                      <w:rFonts w:ascii="Times New Roman" w:hAnsi="Times New Roman" w:eastAsia="宋体"/>
                      <w:szCs w:val="21"/>
                    </w:rPr>
                  </w:pPr>
                  <w:r>
                    <w:rPr>
                      <w:rFonts w:hint="eastAsia"/>
                    </w:rPr>
                    <w:t>0.0003927</w:t>
                  </w:r>
                </w:p>
              </w:tc>
              <w:tc>
                <w:tcPr>
                  <w:tcW w:w="1708" w:type="pct"/>
                  <w:tcBorders>
                    <w:top w:val="single" w:color="000000" w:sz="2" w:space="0"/>
                    <w:left w:val="single" w:color="auto" w:sz="4" w:space="0"/>
                    <w:bottom w:val="single" w:color="000000" w:sz="2" w:space="0"/>
                    <w:right w:val="nil"/>
                  </w:tcBorders>
                  <w:vAlign w:val="center"/>
                </w:tcPr>
                <w:p>
                  <w:pPr>
                    <w:jc w:val="center"/>
                    <w:rPr>
                      <w:rFonts w:ascii="Times New Roman" w:hAnsi="Times New Roman" w:eastAsia="宋体"/>
                      <w:szCs w:val="21"/>
                    </w:rPr>
                  </w:pPr>
                  <w:r>
                    <w:rPr>
                      <w:rFonts w:hint="eastAsia"/>
                    </w:rPr>
                    <w:t>0.09</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cantSplit/>
                <w:trHeight w:val="23" w:hRule="atLeast"/>
                <w:jc w:val="center"/>
              </w:trPr>
              <w:tc>
                <w:tcPr>
                  <w:tcW w:w="1725" w:type="pct"/>
                  <w:tcBorders>
                    <w:top w:val="single" w:color="000000" w:sz="2" w:space="0"/>
                    <w:left w:val="nil"/>
                    <w:bottom w:val="single" w:color="000000" w:sz="2" w:space="0"/>
                    <w:right w:val="single" w:color="000000" w:sz="2" w:space="0"/>
                  </w:tcBorders>
                  <w:vAlign w:val="center"/>
                </w:tcPr>
                <w:p>
                  <w:pPr>
                    <w:jc w:val="center"/>
                    <w:rPr>
                      <w:rFonts w:ascii="Times New Roman" w:hAnsi="Times New Roman" w:eastAsia="宋体"/>
                      <w:szCs w:val="21"/>
                    </w:rPr>
                  </w:pPr>
                  <w:r>
                    <w:rPr>
                      <w:rFonts w:hint="eastAsia"/>
                    </w:rPr>
                    <w:t>1400</w:t>
                  </w:r>
                </w:p>
              </w:tc>
              <w:tc>
                <w:tcPr>
                  <w:tcW w:w="1565" w:type="pct"/>
                  <w:tcBorders>
                    <w:top w:val="single" w:color="000000" w:sz="2" w:space="0"/>
                    <w:left w:val="single" w:color="000000" w:sz="2" w:space="0"/>
                    <w:bottom w:val="single" w:color="000000" w:sz="2" w:space="0"/>
                    <w:right w:val="single" w:color="auto" w:sz="4" w:space="0"/>
                  </w:tcBorders>
                  <w:vAlign w:val="center"/>
                </w:tcPr>
                <w:p>
                  <w:pPr>
                    <w:jc w:val="center"/>
                    <w:rPr>
                      <w:rFonts w:ascii="Times New Roman" w:hAnsi="Times New Roman" w:eastAsia="宋体"/>
                      <w:szCs w:val="21"/>
                    </w:rPr>
                  </w:pPr>
                  <w:r>
                    <w:rPr>
                      <w:rFonts w:hint="eastAsia"/>
                    </w:rPr>
                    <w:t>0.0003563</w:t>
                  </w:r>
                </w:p>
              </w:tc>
              <w:tc>
                <w:tcPr>
                  <w:tcW w:w="1708" w:type="pct"/>
                  <w:tcBorders>
                    <w:top w:val="single" w:color="000000" w:sz="2" w:space="0"/>
                    <w:left w:val="single" w:color="auto" w:sz="4" w:space="0"/>
                    <w:bottom w:val="single" w:color="000000" w:sz="2" w:space="0"/>
                    <w:right w:val="nil"/>
                  </w:tcBorders>
                  <w:vAlign w:val="center"/>
                </w:tcPr>
                <w:p>
                  <w:pPr>
                    <w:jc w:val="center"/>
                    <w:rPr>
                      <w:rFonts w:ascii="Times New Roman" w:hAnsi="Times New Roman" w:eastAsia="宋体"/>
                      <w:szCs w:val="21"/>
                    </w:rPr>
                  </w:pPr>
                  <w:r>
                    <w:rPr>
                      <w:rFonts w:hint="eastAsia"/>
                    </w:rPr>
                    <w:t>0.08</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cantSplit/>
                <w:trHeight w:val="23" w:hRule="atLeast"/>
                <w:jc w:val="center"/>
              </w:trPr>
              <w:tc>
                <w:tcPr>
                  <w:tcW w:w="1725" w:type="pct"/>
                  <w:tcBorders>
                    <w:top w:val="single" w:color="000000" w:sz="2" w:space="0"/>
                    <w:left w:val="nil"/>
                    <w:bottom w:val="single" w:color="000000" w:sz="2" w:space="0"/>
                    <w:right w:val="single" w:color="000000" w:sz="2" w:space="0"/>
                  </w:tcBorders>
                  <w:vAlign w:val="center"/>
                </w:tcPr>
                <w:p>
                  <w:pPr>
                    <w:jc w:val="center"/>
                    <w:rPr>
                      <w:rFonts w:ascii="Times New Roman" w:hAnsi="Times New Roman" w:eastAsia="宋体"/>
                      <w:szCs w:val="21"/>
                    </w:rPr>
                  </w:pPr>
                  <w:r>
                    <w:rPr>
                      <w:rFonts w:hint="eastAsia"/>
                    </w:rPr>
                    <w:t>1500</w:t>
                  </w:r>
                </w:p>
              </w:tc>
              <w:tc>
                <w:tcPr>
                  <w:tcW w:w="1565" w:type="pct"/>
                  <w:tcBorders>
                    <w:top w:val="single" w:color="000000" w:sz="2" w:space="0"/>
                    <w:left w:val="single" w:color="000000" w:sz="2" w:space="0"/>
                    <w:bottom w:val="single" w:color="000000" w:sz="2" w:space="0"/>
                    <w:right w:val="single" w:color="auto" w:sz="4" w:space="0"/>
                  </w:tcBorders>
                  <w:vAlign w:val="center"/>
                </w:tcPr>
                <w:p>
                  <w:pPr>
                    <w:jc w:val="center"/>
                    <w:rPr>
                      <w:rFonts w:ascii="Times New Roman" w:hAnsi="Times New Roman" w:eastAsia="宋体"/>
                      <w:szCs w:val="21"/>
                    </w:rPr>
                  </w:pPr>
                  <w:r>
                    <w:rPr>
                      <w:rFonts w:hint="eastAsia"/>
                    </w:rPr>
                    <w:t>0.000325</w:t>
                  </w:r>
                </w:p>
              </w:tc>
              <w:tc>
                <w:tcPr>
                  <w:tcW w:w="1708" w:type="pct"/>
                  <w:tcBorders>
                    <w:top w:val="single" w:color="000000" w:sz="2" w:space="0"/>
                    <w:left w:val="single" w:color="auto" w:sz="4" w:space="0"/>
                    <w:bottom w:val="single" w:color="000000" w:sz="2" w:space="0"/>
                    <w:right w:val="nil"/>
                  </w:tcBorders>
                  <w:vAlign w:val="center"/>
                </w:tcPr>
                <w:p>
                  <w:pPr>
                    <w:jc w:val="center"/>
                    <w:rPr>
                      <w:rFonts w:ascii="Times New Roman" w:hAnsi="Times New Roman" w:eastAsia="宋体"/>
                      <w:szCs w:val="21"/>
                    </w:rPr>
                  </w:pPr>
                  <w:r>
                    <w:rPr>
                      <w:rFonts w:hint="eastAsia"/>
                    </w:rPr>
                    <w:t>0.07</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cantSplit/>
                <w:trHeight w:val="23" w:hRule="atLeast"/>
                <w:jc w:val="center"/>
              </w:trPr>
              <w:tc>
                <w:tcPr>
                  <w:tcW w:w="1725" w:type="pct"/>
                  <w:tcBorders>
                    <w:top w:val="single" w:color="000000" w:sz="2" w:space="0"/>
                    <w:left w:val="nil"/>
                    <w:bottom w:val="single" w:color="000000" w:sz="2" w:space="0"/>
                    <w:right w:val="single" w:color="000000" w:sz="2" w:space="0"/>
                  </w:tcBorders>
                  <w:vAlign w:val="center"/>
                </w:tcPr>
                <w:p>
                  <w:pPr>
                    <w:jc w:val="center"/>
                    <w:rPr>
                      <w:rFonts w:ascii="Times New Roman" w:hAnsi="Times New Roman" w:eastAsia="宋体"/>
                      <w:szCs w:val="21"/>
                    </w:rPr>
                  </w:pPr>
                  <w:r>
                    <w:rPr>
                      <w:rFonts w:hint="eastAsia"/>
                    </w:rPr>
                    <w:t>1600</w:t>
                  </w:r>
                </w:p>
              </w:tc>
              <w:tc>
                <w:tcPr>
                  <w:tcW w:w="1565" w:type="pct"/>
                  <w:tcBorders>
                    <w:top w:val="single" w:color="000000" w:sz="2" w:space="0"/>
                    <w:left w:val="single" w:color="000000" w:sz="2" w:space="0"/>
                    <w:bottom w:val="single" w:color="000000" w:sz="2" w:space="0"/>
                    <w:right w:val="single" w:color="auto" w:sz="4" w:space="0"/>
                  </w:tcBorders>
                  <w:vAlign w:val="center"/>
                </w:tcPr>
                <w:p>
                  <w:pPr>
                    <w:jc w:val="center"/>
                    <w:rPr>
                      <w:rFonts w:ascii="Times New Roman" w:hAnsi="Times New Roman" w:eastAsia="宋体"/>
                      <w:szCs w:val="21"/>
                    </w:rPr>
                  </w:pPr>
                  <w:r>
                    <w:rPr>
                      <w:rFonts w:hint="eastAsia"/>
                    </w:rPr>
                    <w:t>0.0002978</w:t>
                  </w:r>
                </w:p>
              </w:tc>
              <w:tc>
                <w:tcPr>
                  <w:tcW w:w="1708" w:type="pct"/>
                  <w:tcBorders>
                    <w:top w:val="single" w:color="000000" w:sz="2" w:space="0"/>
                    <w:left w:val="single" w:color="auto" w:sz="4" w:space="0"/>
                    <w:bottom w:val="single" w:color="000000" w:sz="2" w:space="0"/>
                    <w:right w:val="nil"/>
                  </w:tcBorders>
                  <w:vAlign w:val="center"/>
                </w:tcPr>
                <w:p>
                  <w:pPr>
                    <w:jc w:val="center"/>
                    <w:rPr>
                      <w:rFonts w:ascii="Times New Roman" w:hAnsi="Times New Roman" w:eastAsia="宋体"/>
                      <w:szCs w:val="21"/>
                    </w:rPr>
                  </w:pPr>
                  <w:r>
                    <w:rPr>
                      <w:rFonts w:hint="eastAsia"/>
                    </w:rPr>
                    <w:t>0.07</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cantSplit/>
                <w:trHeight w:val="23" w:hRule="atLeast"/>
                <w:jc w:val="center"/>
              </w:trPr>
              <w:tc>
                <w:tcPr>
                  <w:tcW w:w="1725" w:type="pct"/>
                  <w:tcBorders>
                    <w:top w:val="single" w:color="000000" w:sz="2" w:space="0"/>
                    <w:left w:val="nil"/>
                    <w:bottom w:val="single" w:color="000000" w:sz="2" w:space="0"/>
                    <w:right w:val="single" w:color="000000" w:sz="2" w:space="0"/>
                  </w:tcBorders>
                  <w:vAlign w:val="center"/>
                </w:tcPr>
                <w:p>
                  <w:pPr>
                    <w:jc w:val="center"/>
                    <w:rPr>
                      <w:rFonts w:ascii="Times New Roman" w:hAnsi="Times New Roman" w:eastAsia="宋体"/>
                      <w:szCs w:val="21"/>
                    </w:rPr>
                  </w:pPr>
                  <w:r>
                    <w:rPr>
                      <w:rFonts w:hint="eastAsia"/>
                    </w:rPr>
                    <w:t>1700</w:t>
                  </w:r>
                </w:p>
              </w:tc>
              <w:tc>
                <w:tcPr>
                  <w:tcW w:w="1565" w:type="pct"/>
                  <w:tcBorders>
                    <w:top w:val="single" w:color="000000" w:sz="2" w:space="0"/>
                    <w:left w:val="single" w:color="000000" w:sz="2" w:space="0"/>
                    <w:bottom w:val="single" w:color="000000" w:sz="2" w:space="0"/>
                    <w:right w:val="single" w:color="auto" w:sz="4" w:space="0"/>
                  </w:tcBorders>
                  <w:vAlign w:val="center"/>
                </w:tcPr>
                <w:p>
                  <w:pPr>
                    <w:jc w:val="center"/>
                    <w:rPr>
                      <w:rFonts w:ascii="Times New Roman" w:hAnsi="Times New Roman" w:eastAsia="宋体"/>
                      <w:szCs w:val="21"/>
                    </w:rPr>
                  </w:pPr>
                  <w:r>
                    <w:rPr>
                      <w:rFonts w:hint="eastAsia"/>
                    </w:rPr>
                    <w:t>0.0002741</w:t>
                  </w:r>
                </w:p>
              </w:tc>
              <w:tc>
                <w:tcPr>
                  <w:tcW w:w="1708" w:type="pct"/>
                  <w:tcBorders>
                    <w:top w:val="single" w:color="000000" w:sz="2" w:space="0"/>
                    <w:left w:val="single" w:color="auto" w:sz="4" w:space="0"/>
                    <w:bottom w:val="single" w:color="000000" w:sz="2" w:space="0"/>
                    <w:right w:val="nil"/>
                  </w:tcBorders>
                  <w:vAlign w:val="center"/>
                </w:tcPr>
                <w:p>
                  <w:pPr>
                    <w:jc w:val="center"/>
                    <w:rPr>
                      <w:rFonts w:ascii="Times New Roman" w:hAnsi="Times New Roman" w:eastAsia="宋体"/>
                      <w:szCs w:val="21"/>
                    </w:rPr>
                  </w:pPr>
                  <w:r>
                    <w:rPr>
                      <w:rFonts w:hint="eastAsia"/>
                    </w:rPr>
                    <w:t>0.06</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cantSplit/>
                <w:trHeight w:val="23" w:hRule="atLeast"/>
                <w:jc w:val="center"/>
              </w:trPr>
              <w:tc>
                <w:tcPr>
                  <w:tcW w:w="1725" w:type="pct"/>
                  <w:tcBorders>
                    <w:top w:val="single" w:color="000000" w:sz="2" w:space="0"/>
                    <w:left w:val="nil"/>
                    <w:bottom w:val="single" w:color="000000" w:sz="2" w:space="0"/>
                    <w:right w:val="single" w:color="000000" w:sz="2" w:space="0"/>
                  </w:tcBorders>
                  <w:vAlign w:val="center"/>
                </w:tcPr>
                <w:p>
                  <w:pPr>
                    <w:jc w:val="center"/>
                    <w:rPr>
                      <w:rFonts w:ascii="Times New Roman" w:hAnsi="Times New Roman" w:eastAsia="宋体"/>
                      <w:szCs w:val="21"/>
                    </w:rPr>
                  </w:pPr>
                  <w:r>
                    <w:rPr>
                      <w:rFonts w:hint="eastAsia"/>
                    </w:rPr>
                    <w:t>1800</w:t>
                  </w:r>
                </w:p>
              </w:tc>
              <w:tc>
                <w:tcPr>
                  <w:tcW w:w="1565" w:type="pct"/>
                  <w:tcBorders>
                    <w:top w:val="single" w:color="000000" w:sz="2" w:space="0"/>
                    <w:left w:val="single" w:color="000000" w:sz="2" w:space="0"/>
                    <w:bottom w:val="single" w:color="000000" w:sz="2" w:space="0"/>
                    <w:right w:val="single" w:color="auto" w:sz="4" w:space="0"/>
                  </w:tcBorders>
                  <w:vAlign w:val="center"/>
                </w:tcPr>
                <w:p>
                  <w:pPr>
                    <w:jc w:val="center"/>
                    <w:rPr>
                      <w:rFonts w:ascii="Times New Roman" w:hAnsi="Times New Roman" w:eastAsia="宋体"/>
                      <w:szCs w:val="21"/>
                    </w:rPr>
                  </w:pPr>
                  <w:r>
                    <w:rPr>
                      <w:rFonts w:hint="eastAsia"/>
                    </w:rPr>
                    <w:t>0.0002533</w:t>
                  </w:r>
                </w:p>
              </w:tc>
              <w:tc>
                <w:tcPr>
                  <w:tcW w:w="1708" w:type="pct"/>
                  <w:tcBorders>
                    <w:top w:val="single" w:color="000000" w:sz="2" w:space="0"/>
                    <w:left w:val="single" w:color="auto" w:sz="4" w:space="0"/>
                    <w:bottom w:val="single" w:color="000000" w:sz="2" w:space="0"/>
                    <w:right w:val="nil"/>
                  </w:tcBorders>
                  <w:vAlign w:val="center"/>
                </w:tcPr>
                <w:p>
                  <w:pPr>
                    <w:jc w:val="center"/>
                    <w:rPr>
                      <w:rFonts w:ascii="Times New Roman" w:hAnsi="Times New Roman" w:eastAsia="宋体"/>
                      <w:szCs w:val="21"/>
                    </w:rPr>
                  </w:pPr>
                  <w:r>
                    <w:rPr>
                      <w:rFonts w:hint="eastAsia"/>
                    </w:rPr>
                    <w:t>0.06</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cantSplit/>
                <w:trHeight w:val="23" w:hRule="atLeast"/>
                <w:jc w:val="center"/>
              </w:trPr>
              <w:tc>
                <w:tcPr>
                  <w:tcW w:w="1725" w:type="pct"/>
                  <w:tcBorders>
                    <w:top w:val="single" w:color="000000" w:sz="2" w:space="0"/>
                    <w:left w:val="nil"/>
                    <w:bottom w:val="single" w:color="000000" w:sz="2" w:space="0"/>
                    <w:right w:val="single" w:color="000000" w:sz="2" w:space="0"/>
                  </w:tcBorders>
                  <w:vAlign w:val="center"/>
                </w:tcPr>
                <w:p>
                  <w:pPr>
                    <w:jc w:val="center"/>
                    <w:rPr>
                      <w:rFonts w:ascii="Times New Roman" w:hAnsi="Times New Roman" w:eastAsia="宋体"/>
                      <w:szCs w:val="21"/>
                    </w:rPr>
                  </w:pPr>
                  <w:r>
                    <w:rPr>
                      <w:rFonts w:hint="eastAsia"/>
                    </w:rPr>
                    <w:t>1900</w:t>
                  </w:r>
                </w:p>
              </w:tc>
              <w:tc>
                <w:tcPr>
                  <w:tcW w:w="1565" w:type="pct"/>
                  <w:tcBorders>
                    <w:top w:val="single" w:color="000000" w:sz="2" w:space="0"/>
                    <w:left w:val="single" w:color="000000" w:sz="2" w:space="0"/>
                    <w:bottom w:val="single" w:color="000000" w:sz="2" w:space="0"/>
                    <w:right w:val="single" w:color="auto" w:sz="4" w:space="0"/>
                  </w:tcBorders>
                  <w:vAlign w:val="center"/>
                </w:tcPr>
                <w:p>
                  <w:pPr>
                    <w:jc w:val="center"/>
                    <w:rPr>
                      <w:rFonts w:ascii="Times New Roman" w:hAnsi="Times New Roman" w:eastAsia="宋体"/>
                      <w:szCs w:val="21"/>
                    </w:rPr>
                  </w:pPr>
                  <w:r>
                    <w:rPr>
                      <w:rFonts w:hint="eastAsia"/>
                    </w:rPr>
                    <w:t>0.000235</w:t>
                  </w:r>
                </w:p>
              </w:tc>
              <w:tc>
                <w:tcPr>
                  <w:tcW w:w="1708" w:type="pct"/>
                  <w:tcBorders>
                    <w:top w:val="single" w:color="000000" w:sz="2" w:space="0"/>
                    <w:left w:val="single" w:color="auto" w:sz="4" w:space="0"/>
                    <w:bottom w:val="single" w:color="000000" w:sz="2" w:space="0"/>
                    <w:right w:val="nil"/>
                  </w:tcBorders>
                  <w:vAlign w:val="center"/>
                </w:tcPr>
                <w:p>
                  <w:pPr>
                    <w:jc w:val="center"/>
                    <w:rPr>
                      <w:rFonts w:ascii="Times New Roman" w:hAnsi="Times New Roman" w:eastAsia="宋体"/>
                      <w:szCs w:val="21"/>
                    </w:rPr>
                  </w:pPr>
                  <w:r>
                    <w:rPr>
                      <w:rFonts w:hint="eastAsia"/>
                    </w:rPr>
                    <w:t>0.05</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cantSplit/>
                <w:trHeight w:val="23" w:hRule="atLeast"/>
                <w:jc w:val="center"/>
              </w:trPr>
              <w:tc>
                <w:tcPr>
                  <w:tcW w:w="1725" w:type="pct"/>
                  <w:tcBorders>
                    <w:top w:val="single" w:color="000000" w:sz="2" w:space="0"/>
                    <w:left w:val="nil"/>
                    <w:bottom w:val="single" w:color="000000" w:sz="2" w:space="0"/>
                    <w:right w:val="single" w:color="000000" w:sz="2" w:space="0"/>
                  </w:tcBorders>
                  <w:vAlign w:val="center"/>
                </w:tcPr>
                <w:p>
                  <w:pPr>
                    <w:jc w:val="center"/>
                    <w:rPr>
                      <w:rFonts w:ascii="Times New Roman" w:hAnsi="Times New Roman" w:eastAsia="宋体"/>
                      <w:szCs w:val="21"/>
                    </w:rPr>
                  </w:pPr>
                  <w:r>
                    <w:rPr>
                      <w:rFonts w:hint="eastAsia"/>
                    </w:rPr>
                    <w:t>2000</w:t>
                  </w:r>
                </w:p>
              </w:tc>
              <w:tc>
                <w:tcPr>
                  <w:tcW w:w="1565" w:type="pct"/>
                  <w:tcBorders>
                    <w:top w:val="single" w:color="000000" w:sz="2" w:space="0"/>
                    <w:left w:val="single" w:color="000000" w:sz="2" w:space="0"/>
                    <w:bottom w:val="single" w:color="000000" w:sz="2" w:space="0"/>
                    <w:right w:val="single" w:color="auto" w:sz="4" w:space="0"/>
                  </w:tcBorders>
                  <w:vAlign w:val="center"/>
                </w:tcPr>
                <w:p>
                  <w:pPr>
                    <w:jc w:val="center"/>
                    <w:rPr>
                      <w:rFonts w:ascii="Times New Roman" w:hAnsi="Times New Roman" w:eastAsia="宋体"/>
                      <w:szCs w:val="21"/>
                    </w:rPr>
                  </w:pPr>
                  <w:r>
                    <w:rPr>
                      <w:rFonts w:hint="eastAsia"/>
                    </w:rPr>
                    <w:t>0.0002187</w:t>
                  </w:r>
                </w:p>
              </w:tc>
              <w:tc>
                <w:tcPr>
                  <w:tcW w:w="1708" w:type="pct"/>
                  <w:tcBorders>
                    <w:top w:val="single" w:color="000000" w:sz="2" w:space="0"/>
                    <w:left w:val="single" w:color="auto" w:sz="4" w:space="0"/>
                    <w:bottom w:val="single" w:color="000000" w:sz="2" w:space="0"/>
                    <w:right w:val="nil"/>
                  </w:tcBorders>
                  <w:vAlign w:val="center"/>
                </w:tcPr>
                <w:p>
                  <w:pPr>
                    <w:jc w:val="center"/>
                    <w:rPr>
                      <w:rFonts w:ascii="Times New Roman" w:hAnsi="Times New Roman" w:eastAsia="宋体"/>
                      <w:szCs w:val="21"/>
                    </w:rPr>
                  </w:pPr>
                  <w:r>
                    <w:rPr>
                      <w:rFonts w:hint="eastAsia"/>
                    </w:rPr>
                    <w:t>0.05</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cantSplit/>
                <w:trHeight w:val="23" w:hRule="atLeast"/>
                <w:jc w:val="center"/>
              </w:trPr>
              <w:tc>
                <w:tcPr>
                  <w:tcW w:w="1725" w:type="pct"/>
                  <w:tcBorders>
                    <w:top w:val="single" w:color="000000" w:sz="2" w:space="0"/>
                    <w:left w:val="nil"/>
                    <w:bottom w:val="single" w:color="000000" w:sz="2" w:space="0"/>
                    <w:right w:val="single" w:color="000000" w:sz="2" w:space="0"/>
                  </w:tcBorders>
                  <w:vAlign w:val="center"/>
                </w:tcPr>
                <w:p>
                  <w:pPr>
                    <w:jc w:val="center"/>
                    <w:rPr>
                      <w:rFonts w:ascii="Times New Roman" w:hAnsi="Times New Roman" w:eastAsia="宋体"/>
                      <w:szCs w:val="21"/>
                    </w:rPr>
                  </w:pPr>
                  <w:r>
                    <w:rPr>
                      <w:rFonts w:hint="eastAsia"/>
                    </w:rPr>
                    <w:t>2100</w:t>
                  </w:r>
                </w:p>
              </w:tc>
              <w:tc>
                <w:tcPr>
                  <w:tcW w:w="1565" w:type="pct"/>
                  <w:tcBorders>
                    <w:top w:val="single" w:color="000000" w:sz="2" w:space="0"/>
                    <w:left w:val="single" w:color="000000" w:sz="2" w:space="0"/>
                    <w:bottom w:val="single" w:color="000000" w:sz="2" w:space="0"/>
                    <w:right w:val="single" w:color="auto" w:sz="4" w:space="0"/>
                  </w:tcBorders>
                  <w:vAlign w:val="center"/>
                </w:tcPr>
                <w:p>
                  <w:pPr>
                    <w:jc w:val="center"/>
                    <w:rPr>
                      <w:rFonts w:hint="eastAsia"/>
                    </w:rPr>
                  </w:pPr>
                  <w:r>
                    <w:rPr>
                      <w:rFonts w:hint="eastAsia"/>
                    </w:rPr>
                    <w:t>0.0002049</w:t>
                  </w:r>
                </w:p>
              </w:tc>
              <w:tc>
                <w:tcPr>
                  <w:tcW w:w="1708" w:type="pct"/>
                  <w:tcBorders>
                    <w:top w:val="single" w:color="000000" w:sz="2" w:space="0"/>
                    <w:left w:val="single" w:color="auto" w:sz="4" w:space="0"/>
                    <w:bottom w:val="single" w:color="000000" w:sz="2" w:space="0"/>
                    <w:right w:val="nil"/>
                  </w:tcBorders>
                  <w:vAlign w:val="center"/>
                </w:tcPr>
                <w:p>
                  <w:pPr>
                    <w:jc w:val="center"/>
                    <w:rPr>
                      <w:rFonts w:hint="eastAsia"/>
                    </w:rPr>
                  </w:pPr>
                  <w:r>
                    <w:rPr>
                      <w:rFonts w:hint="eastAsia"/>
                    </w:rPr>
                    <w:t>0.05</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cantSplit/>
                <w:trHeight w:val="23" w:hRule="atLeast"/>
                <w:jc w:val="center"/>
              </w:trPr>
              <w:tc>
                <w:tcPr>
                  <w:tcW w:w="1725" w:type="pct"/>
                  <w:tcBorders>
                    <w:top w:val="single" w:color="000000" w:sz="2" w:space="0"/>
                    <w:left w:val="nil"/>
                    <w:bottom w:val="single" w:color="000000" w:sz="2" w:space="0"/>
                    <w:right w:val="single" w:color="000000" w:sz="2" w:space="0"/>
                  </w:tcBorders>
                  <w:vAlign w:val="center"/>
                </w:tcPr>
                <w:p>
                  <w:pPr>
                    <w:jc w:val="center"/>
                    <w:rPr>
                      <w:rFonts w:ascii="Times New Roman" w:hAnsi="Times New Roman" w:eastAsia="宋体"/>
                      <w:szCs w:val="21"/>
                    </w:rPr>
                  </w:pPr>
                  <w:r>
                    <w:rPr>
                      <w:rFonts w:hint="eastAsia"/>
                    </w:rPr>
                    <w:t>2200</w:t>
                  </w:r>
                </w:p>
              </w:tc>
              <w:tc>
                <w:tcPr>
                  <w:tcW w:w="1565" w:type="pct"/>
                  <w:tcBorders>
                    <w:top w:val="single" w:color="000000" w:sz="2" w:space="0"/>
                    <w:left w:val="single" w:color="000000" w:sz="2" w:space="0"/>
                    <w:bottom w:val="single" w:color="000000" w:sz="2" w:space="0"/>
                    <w:right w:val="single" w:color="auto" w:sz="4" w:space="0"/>
                  </w:tcBorders>
                  <w:vAlign w:val="center"/>
                </w:tcPr>
                <w:p>
                  <w:pPr>
                    <w:jc w:val="center"/>
                    <w:rPr>
                      <w:rFonts w:hint="eastAsia"/>
                    </w:rPr>
                  </w:pPr>
                  <w:r>
                    <w:rPr>
                      <w:rFonts w:hint="eastAsia"/>
                    </w:rPr>
                    <w:t>0.0001924</w:t>
                  </w:r>
                </w:p>
              </w:tc>
              <w:tc>
                <w:tcPr>
                  <w:tcW w:w="1708" w:type="pct"/>
                  <w:tcBorders>
                    <w:top w:val="single" w:color="000000" w:sz="2" w:space="0"/>
                    <w:left w:val="single" w:color="auto" w:sz="4" w:space="0"/>
                    <w:bottom w:val="single" w:color="000000" w:sz="2" w:space="0"/>
                    <w:right w:val="nil"/>
                  </w:tcBorders>
                  <w:vAlign w:val="center"/>
                </w:tcPr>
                <w:p>
                  <w:pPr>
                    <w:jc w:val="center"/>
                    <w:rPr>
                      <w:rFonts w:hint="eastAsia"/>
                    </w:rPr>
                  </w:pPr>
                  <w:r>
                    <w:rPr>
                      <w:rFonts w:hint="eastAsia"/>
                    </w:rPr>
                    <w:t>0.04</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cantSplit/>
                <w:trHeight w:val="23" w:hRule="atLeast"/>
                <w:jc w:val="center"/>
              </w:trPr>
              <w:tc>
                <w:tcPr>
                  <w:tcW w:w="1725" w:type="pct"/>
                  <w:tcBorders>
                    <w:top w:val="single" w:color="000000" w:sz="2" w:space="0"/>
                    <w:left w:val="nil"/>
                    <w:bottom w:val="single" w:color="000000" w:sz="2" w:space="0"/>
                    <w:right w:val="single" w:color="000000" w:sz="2" w:space="0"/>
                  </w:tcBorders>
                  <w:vAlign w:val="center"/>
                </w:tcPr>
                <w:p>
                  <w:pPr>
                    <w:jc w:val="center"/>
                    <w:rPr>
                      <w:rFonts w:ascii="Times New Roman" w:hAnsi="Times New Roman" w:eastAsia="宋体"/>
                      <w:szCs w:val="21"/>
                    </w:rPr>
                  </w:pPr>
                  <w:r>
                    <w:rPr>
                      <w:rFonts w:hint="eastAsia"/>
                    </w:rPr>
                    <w:t>2300</w:t>
                  </w:r>
                </w:p>
              </w:tc>
              <w:tc>
                <w:tcPr>
                  <w:tcW w:w="1565" w:type="pct"/>
                  <w:tcBorders>
                    <w:top w:val="single" w:color="000000" w:sz="2" w:space="0"/>
                    <w:left w:val="single" w:color="000000" w:sz="2" w:space="0"/>
                    <w:bottom w:val="single" w:color="000000" w:sz="2" w:space="0"/>
                    <w:right w:val="single" w:color="auto" w:sz="4" w:space="0"/>
                  </w:tcBorders>
                  <w:vAlign w:val="center"/>
                </w:tcPr>
                <w:p>
                  <w:pPr>
                    <w:jc w:val="center"/>
                    <w:rPr>
                      <w:rFonts w:hint="eastAsia"/>
                    </w:rPr>
                  </w:pPr>
                  <w:r>
                    <w:rPr>
                      <w:rFonts w:hint="eastAsia"/>
                    </w:rPr>
                    <w:t>0.0001812</w:t>
                  </w:r>
                </w:p>
              </w:tc>
              <w:tc>
                <w:tcPr>
                  <w:tcW w:w="1708" w:type="pct"/>
                  <w:tcBorders>
                    <w:top w:val="single" w:color="000000" w:sz="2" w:space="0"/>
                    <w:left w:val="single" w:color="auto" w:sz="4" w:space="0"/>
                    <w:bottom w:val="single" w:color="000000" w:sz="2" w:space="0"/>
                    <w:right w:val="nil"/>
                  </w:tcBorders>
                  <w:vAlign w:val="center"/>
                </w:tcPr>
                <w:p>
                  <w:pPr>
                    <w:jc w:val="center"/>
                    <w:rPr>
                      <w:rFonts w:hint="eastAsia"/>
                    </w:rPr>
                  </w:pPr>
                  <w:r>
                    <w:rPr>
                      <w:rFonts w:hint="eastAsia"/>
                    </w:rPr>
                    <w:t>0.04</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cantSplit/>
                <w:trHeight w:val="23" w:hRule="atLeast"/>
                <w:jc w:val="center"/>
              </w:trPr>
              <w:tc>
                <w:tcPr>
                  <w:tcW w:w="1725" w:type="pct"/>
                  <w:tcBorders>
                    <w:top w:val="single" w:color="000000" w:sz="2" w:space="0"/>
                    <w:left w:val="nil"/>
                    <w:bottom w:val="single" w:color="000000" w:sz="2" w:space="0"/>
                    <w:right w:val="single" w:color="000000" w:sz="2" w:space="0"/>
                  </w:tcBorders>
                  <w:vAlign w:val="center"/>
                </w:tcPr>
                <w:p>
                  <w:pPr>
                    <w:jc w:val="center"/>
                    <w:rPr>
                      <w:rFonts w:ascii="Times New Roman" w:hAnsi="Times New Roman" w:eastAsia="宋体"/>
                      <w:szCs w:val="21"/>
                    </w:rPr>
                  </w:pPr>
                  <w:r>
                    <w:rPr>
                      <w:rFonts w:hint="eastAsia"/>
                    </w:rPr>
                    <w:t>2400</w:t>
                  </w:r>
                </w:p>
              </w:tc>
              <w:tc>
                <w:tcPr>
                  <w:tcW w:w="1565" w:type="pct"/>
                  <w:tcBorders>
                    <w:top w:val="single" w:color="000000" w:sz="2" w:space="0"/>
                    <w:left w:val="single" w:color="000000" w:sz="2" w:space="0"/>
                    <w:bottom w:val="single" w:color="000000" w:sz="2" w:space="0"/>
                    <w:right w:val="single" w:color="auto" w:sz="4" w:space="0"/>
                  </w:tcBorders>
                  <w:vAlign w:val="center"/>
                </w:tcPr>
                <w:p>
                  <w:pPr>
                    <w:jc w:val="center"/>
                    <w:rPr>
                      <w:rFonts w:hint="eastAsia"/>
                    </w:rPr>
                  </w:pPr>
                  <w:r>
                    <w:rPr>
                      <w:rFonts w:hint="eastAsia"/>
                    </w:rPr>
                    <w:t>0.0001711</w:t>
                  </w:r>
                </w:p>
              </w:tc>
              <w:tc>
                <w:tcPr>
                  <w:tcW w:w="1708" w:type="pct"/>
                  <w:tcBorders>
                    <w:top w:val="single" w:color="000000" w:sz="2" w:space="0"/>
                    <w:left w:val="single" w:color="auto" w:sz="4" w:space="0"/>
                    <w:bottom w:val="single" w:color="000000" w:sz="2" w:space="0"/>
                    <w:right w:val="nil"/>
                  </w:tcBorders>
                  <w:vAlign w:val="center"/>
                </w:tcPr>
                <w:p>
                  <w:pPr>
                    <w:jc w:val="center"/>
                    <w:rPr>
                      <w:rFonts w:hint="eastAsia"/>
                    </w:rPr>
                  </w:pPr>
                  <w:r>
                    <w:rPr>
                      <w:rFonts w:hint="eastAsia"/>
                    </w:rPr>
                    <w:t>0.04</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cantSplit/>
                <w:trHeight w:val="23" w:hRule="atLeast"/>
                <w:jc w:val="center"/>
              </w:trPr>
              <w:tc>
                <w:tcPr>
                  <w:tcW w:w="1725" w:type="pct"/>
                  <w:tcBorders>
                    <w:top w:val="single" w:color="000000" w:sz="2" w:space="0"/>
                    <w:left w:val="nil"/>
                    <w:bottom w:val="single" w:color="000000" w:sz="2" w:space="0"/>
                    <w:right w:val="single" w:color="000000" w:sz="2" w:space="0"/>
                  </w:tcBorders>
                  <w:vAlign w:val="center"/>
                </w:tcPr>
                <w:p>
                  <w:pPr>
                    <w:jc w:val="center"/>
                    <w:rPr>
                      <w:rFonts w:ascii="Times New Roman" w:hAnsi="Times New Roman" w:eastAsia="宋体"/>
                      <w:szCs w:val="21"/>
                    </w:rPr>
                  </w:pPr>
                  <w:r>
                    <w:rPr>
                      <w:rFonts w:hint="eastAsia"/>
                    </w:rPr>
                    <w:t>2500</w:t>
                  </w:r>
                </w:p>
              </w:tc>
              <w:tc>
                <w:tcPr>
                  <w:tcW w:w="1565" w:type="pct"/>
                  <w:tcBorders>
                    <w:top w:val="single" w:color="000000" w:sz="2" w:space="0"/>
                    <w:left w:val="single" w:color="000000" w:sz="2" w:space="0"/>
                    <w:bottom w:val="single" w:color="000000" w:sz="2" w:space="0"/>
                    <w:right w:val="single" w:color="auto" w:sz="4" w:space="0"/>
                  </w:tcBorders>
                  <w:vAlign w:val="center"/>
                </w:tcPr>
                <w:p>
                  <w:pPr>
                    <w:jc w:val="center"/>
                    <w:rPr>
                      <w:rFonts w:hint="eastAsia"/>
                    </w:rPr>
                  </w:pPr>
                  <w:r>
                    <w:rPr>
                      <w:rFonts w:hint="eastAsia"/>
                    </w:rPr>
                    <w:t>0.0001619</w:t>
                  </w:r>
                </w:p>
              </w:tc>
              <w:tc>
                <w:tcPr>
                  <w:tcW w:w="1708" w:type="pct"/>
                  <w:tcBorders>
                    <w:top w:val="single" w:color="000000" w:sz="2" w:space="0"/>
                    <w:left w:val="single" w:color="auto" w:sz="4" w:space="0"/>
                    <w:bottom w:val="single" w:color="000000" w:sz="2" w:space="0"/>
                    <w:right w:val="nil"/>
                  </w:tcBorders>
                  <w:vAlign w:val="center"/>
                </w:tcPr>
                <w:p>
                  <w:pPr>
                    <w:jc w:val="center"/>
                    <w:rPr>
                      <w:rFonts w:hint="eastAsia"/>
                    </w:rPr>
                  </w:pPr>
                  <w:r>
                    <w:rPr>
                      <w:rFonts w:hint="eastAsia"/>
                    </w:rPr>
                    <w:t>0.04</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cantSplit/>
                <w:trHeight w:val="23" w:hRule="atLeast"/>
                <w:jc w:val="center"/>
              </w:trPr>
              <w:tc>
                <w:tcPr>
                  <w:tcW w:w="1725" w:type="pct"/>
                  <w:tcBorders>
                    <w:top w:val="single" w:color="000000" w:sz="2" w:space="0"/>
                    <w:left w:val="nil"/>
                    <w:bottom w:val="single" w:color="000000" w:sz="2" w:space="0"/>
                    <w:right w:val="single" w:color="000000" w:sz="2" w:space="0"/>
                  </w:tcBorders>
                  <w:vAlign w:val="center"/>
                </w:tcPr>
                <w:p>
                  <w:pPr>
                    <w:jc w:val="center"/>
                    <w:rPr>
                      <w:rFonts w:ascii="Times New Roman" w:hAnsi="Times New Roman" w:eastAsia="宋体"/>
                      <w:szCs w:val="21"/>
                    </w:rPr>
                  </w:pPr>
                  <w:r>
                    <w:rPr>
                      <w:rFonts w:hint="eastAsia" w:ascii="Times New Roman" w:hAnsi="Times New Roman" w:eastAsia="宋体"/>
                      <w:szCs w:val="21"/>
                    </w:rPr>
                    <w:t>最大浓度</w:t>
                  </w:r>
                </w:p>
              </w:tc>
              <w:tc>
                <w:tcPr>
                  <w:tcW w:w="1565" w:type="pct"/>
                  <w:tcBorders>
                    <w:top w:val="single" w:color="000000" w:sz="2" w:space="0"/>
                    <w:left w:val="single" w:color="000000" w:sz="2" w:space="0"/>
                    <w:bottom w:val="single" w:color="000000" w:sz="2" w:space="0"/>
                    <w:right w:val="single" w:color="auto" w:sz="4" w:space="0"/>
                  </w:tcBorders>
                  <w:vAlign w:val="center"/>
                </w:tcPr>
                <w:p>
                  <w:pPr>
                    <w:spacing w:line="240" w:lineRule="auto"/>
                    <w:jc w:val="center"/>
                    <w:rPr>
                      <w:rFonts w:ascii="Times New Roman" w:hAnsi="Times New Roman" w:eastAsia="宋体"/>
                      <w:iCs w:val="0"/>
                      <w:color w:val="auto"/>
                      <w:szCs w:val="21"/>
                    </w:rPr>
                  </w:pPr>
                  <w:r>
                    <w:rPr>
                      <w:rFonts w:hint="eastAsia"/>
                    </w:rPr>
                    <w:t>0.001423</w:t>
                  </w:r>
                </w:p>
              </w:tc>
              <w:tc>
                <w:tcPr>
                  <w:tcW w:w="1708" w:type="pct"/>
                  <w:tcBorders>
                    <w:top w:val="single" w:color="000000" w:sz="2" w:space="0"/>
                    <w:left w:val="single" w:color="auto" w:sz="4" w:space="0"/>
                    <w:bottom w:val="single" w:color="000000" w:sz="2" w:space="0"/>
                    <w:right w:val="nil"/>
                  </w:tcBorders>
                  <w:vAlign w:val="center"/>
                </w:tcPr>
                <w:p>
                  <w:pPr>
                    <w:spacing w:line="240" w:lineRule="auto"/>
                    <w:jc w:val="center"/>
                    <w:rPr>
                      <w:rFonts w:hint="default" w:ascii="Times New Roman" w:hAnsi="Times New Roman" w:eastAsia="宋体"/>
                      <w:iCs w:val="0"/>
                      <w:color w:val="auto"/>
                      <w:szCs w:val="21"/>
                      <w:lang w:val="en-US" w:eastAsia="zh-CN"/>
                    </w:rPr>
                  </w:pPr>
                  <w:r>
                    <w:rPr>
                      <w:rFonts w:hint="eastAsia" w:eastAsia="宋体"/>
                      <w:lang w:val="en-US" w:eastAsia="zh-CN"/>
                    </w:rPr>
                    <w:t>0.32</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cantSplit/>
                <w:trHeight w:val="23" w:hRule="atLeast"/>
                <w:jc w:val="center"/>
              </w:trPr>
              <w:tc>
                <w:tcPr>
                  <w:tcW w:w="1725" w:type="pct"/>
                  <w:tcBorders>
                    <w:top w:val="single" w:color="000000" w:sz="2" w:space="0"/>
                    <w:left w:val="nil"/>
                    <w:bottom w:val="single" w:color="000000" w:sz="12" w:space="0"/>
                    <w:right w:val="single" w:color="000000" w:sz="2" w:space="0"/>
                  </w:tcBorders>
                  <w:vAlign w:val="center"/>
                </w:tcPr>
                <w:p>
                  <w:pPr>
                    <w:jc w:val="center"/>
                    <w:rPr>
                      <w:rFonts w:ascii="Times New Roman" w:hAnsi="Times New Roman" w:eastAsia="宋体"/>
                      <w:szCs w:val="21"/>
                    </w:rPr>
                  </w:pPr>
                  <w:r>
                    <w:rPr>
                      <w:rFonts w:hint="eastAsia" w:ascii="Times New Roman" w:hAnsi="Times New Roman" w:eastAsia="宋体"/>
                      <w:szCs w:val="21"/>
                    </w:rPr>
                    <w:t>最大浓度出现的距离</w:t>
                  </w:r>
                </w:p>
              </w:tc>
              <w:tc>
                <w:tcPr>
                  <w:tcW w:w="3274" w:type="pct"/>
                  <w:gridSpan w:val="2"/>
                  <w:tcBorders>
                    <w:top w:val="single" w:color="000000" w:sz="2" w:space="0"/>
                    <w:left w:val="single" w:color="000000" w:sz="2" w:space="0"/>
                    <w:bottom w:val="single" w:color="000000" w:sz="12" w:space="0"/>
                    <w:right w:val="nil"/>
                  </w:tcBorders>
                  <w:vAlign w:val="center"/>
                </w:tcPr>
                <w:p>
                  <w:pPr>
                    <w:pStyle w:val="75"/>
                    <w:spacing w:line="240" w:lineRule="auto"/>
                    <w:jc w:val="center"/>
                    <w:rPr>
                      <w:rFonts w:hint="default" w:ascii="Times New Roman" w:hAnsi="Times New Roman" w:eastAsia="宋体"/>
                      <w:iCs w:val="0"/>
                      <w:color w:val="auto"/>
                      <w:szCs w:val="21"/>
                      <w:lang w:val="en-US" w:eastAsia="zh-CN"/>
                    </w:rPr>
                  </w:pPr>
                  <w:r>
                    <w:rPr>
                      <w:rFonts w:hint="eastAsia" w:ascii="Times New Roman" w:hAnsi="Times New Roman" w:eastAsia="宋体"/>
                      <w:iCs w:val="0"/>
                      <w:color w:val="auto"/>
                      <w:szCs w:val="21"/>
                      <w:lang w:val="en-US" w:eastAsia="zh-CN"/>
                    </w:rPr>
                    <w:t>97</w:t>
                  </w:r>
                </w:p>
              </w:tc>
            </w:tr>
          </w:tbl>
          <w:p>
            <w:pPr>
              <w:keepNext w:val="0"/>
              <w:keepLines w:val="0"/>
              <w:pageBreakBefore w:val="0"/>
              <w:widowControl w:val="0"/>
              <w:kinsoku/>
              <w:wordWrap/>
              <w:overflowPunct/>
              <w:topLinePunct w:val="0"/>
              <w:autoSpaceDE/>
              <w:autoSpaceDN/>
              <w:bidi w:val="0"/>
              <w:adjustRightInd/>
              <w:snapToGrid/>
              <w:spacing w:before="156" w:beforeLines="50" w:line="360" w:lineRule="auto"/>
              <w:ind w:firstLine="480" w:firstLineChars="200"/>
              <w:textAlignment w:val="auto"/>
              <w:outlineLvl w:val="9"/>
              <w:rPr>
                <w:rFonts w:ascii="Times New Roman" w:hAnsi="宋体"/>
                <w:b w:val="0"/>
                <w:bCs w:val="0"/>
                <w:color w:val="auto"/>
                <w:sz w:val="24"/>
                <w:szCs w:val="24"/>
                <w:u w:val="none"/>
              </w:rPr>
            </w:pPr>
            <w:r>
              <w:rPr>
                <w:rFonts w:ascii="Times New Roman" w:hAnsi="宋体"/>
                <w:b w:val="0"/>
                <w:bCs w:val="0"/>
                <w:color w:val="auto"/>
                <w:sz w:val="24"/>
                <w:szCs w:val="24"/>
                <w:u w:val="none"/>
              </w:rPr>
              <w:t>经计算，</w:t>
            </w:r>
            <w:r>
              <w:rPr>
                <w:rFonts w:hint="eastAsia" w:ascii="Times New Roman" w:hAnsi="宋体"/>
                <w:b w:val="0"/>
                <w:bCs w:val="0"/>
                <w:color w:val="auto"/>
                <w:sz w:val="24"/>
                <w:szCs w:val="24"/>
                <w:u w:val="none"/>
                <w:lang w:val="en-US" w:eastAsia="zh-CN"/>
              </w:rPr>
              <w:t>颗粒物</w:t>
            </w:r>
            <w:r>
              <w:rPr>
                <w:rFonts w:ascii="Times New Roman" w:hAnsi="宋体"/>
                <w:b w:val="0"/>
                <w:bCs w:val="0"/>
                <w:color w:val="auto"/>
                <w:sz w:val="24"/>
                <w:szCs w:val="24"/>
                <w:u w:val="none"/>
              </w:rPr>
              <w:t>最大地面浓度占标率为</w:t>
            </w:r>
            <w:r>
              <w:rPr>
                <w:rFonts w:hint="eastAsia" w:hAnsi="宋体"/>
                <w:b w:val="0"/>
                <w:bCs w:val="0"/>
                <w:color w:val="auto"/>
                <w:sz w:val="24"/>
                <w:szCs w:val="24"/>
                <w:u w:val="none"/>
                <w:lang w:val="en-US" w:eastAsia="zh-CN"/>
              </w:rPr>
              <w:t>0.32</w:t>
            </w:r>
            <w:r>
              <w:rPr>
                <w:rFonts w:hint="eastAsia" w:ascii="Times New Roman" w:hAnsi="宋体"/>
                <w:b w:val="0"/>
                <w:bCs w:val="0"/>
                <w:color w:val="auto"/>
                <w:sz w:val="24"/>
                <w:szCs w:val="24"/>
                <w:u w:val="none"/>
              </w:rPr>
              <w:t>%</w:t>
            </w:r>
            <w:r>
              <w:rPr>
                <w:rFonts w:ascii="Times New Roman" w:hAnsi="宋体"/>
                <w:b w:val="0"/>
                <w:bCs w:val="0"/>
                <w:color w:val="auto"/>
                <w:sz w:val="24"/>
                <w:szCs w:val="24"/>
                <w:u w:val="none"/>
              </w:rPr>
              <w:t>，</w:t>
            </w:r>
            <w:r>
              <w:rPr>
                <w:rFonts w:hint="eastAsia" w:ascii="Times New Roman" w:hAnsi="宋体"/>
                <w:b w:val="0"/>
                <w:bCs w:val="0"/>
                <w:color w:val="auto"/>
                <w:sz w:val="24"/>
                <w:szCs w:val="24"/>
                <w:u w:val="none"/>
                <w:lang w:val="en-US" w:eastAsia="zh-CN"/>
              </w:rPr>
              <w:t>Pmax</w:t>
            </w:r>
            <w:r>
              <w:rPr>
                <w:rFonts w:ascii="Times New Roman" w:hAnsi="Times New Roman"/>
                <w:b w:val="0"/>
                <w:bCs w:val="0"/>
                <w:color w:val="auto"/>
                <w:sz w:val="24"/>
                <w:szCs w:val="24"/>
                <w:u w:val="none"/>
              </w:rPr>
              <w:t>&lt;1%</w:t>
            </w:r>
            <w:r>
              <w:rPr>
                <w:rFonts w:hint="eastAsia" w:ascii="Times New Roman" w:hAnsi="宋体"/>
                <w:b w:val="0"/>
                <w:bCs w:val="0"/>
                <w:color w:val="auto"/>
                <w:sz w:val="24"/>
                <w:szCs w:val="24"/>
                <w:u w:val="none"/>
                <w:lang w:eastAsia="zh-CN"/>
              </w:rPr>
              <w:t>。</w:t>
            </w:r>
            <w:r>
              <w:rPr>
                <w:rFonts w:ascii="Times New Roman" w:hAnsi="宋体"/>
                <w:b w:val="0"/>
                <w:bCs w:val="0"/>
                <w:color w:val="auto"/>
                <w:sz w:val="24"/>
                <w:szCs w:val="24"/>
                <w:u w:val="none"/>
              </w:rPr>
              <w:t>因此，</w:t>
            </w:r>
            <w:r>
              <w:rPr>
                <w:rFonts w:hint="eastAsia" w:ascii="Times New Roman" w:hAnsi="宋体"/>
                <w:b w:val="0"/>
                <w:bCs w:val="0"/>
                <w:color w:val="auto"/>
                <w:sz w:val="24"/>
                <w:szCs w:val="24"/>
                <w:u w:val="none"/>
                <w:lang w:val="en-US" w:eastAsia="zh-CN"/>
              </w:rPr>
              <w:t>确定</w:t>
            </w:r>
            <w:r>
              <w:rPr>
                <w:rFonts w:ascii="Times New Roman" w:hAnsi="宋体"/>
                <w:b w:val="0"/>
                <w:bCs w:val="0"/>
                <w:color w:val="auto"/>
                <w:sz w:val="24"/>
                <w:szCs w:val="24"/>
                <w:u w:val="none"/>
              </w:rPr>
              <w:t>本项目大气环境影响评价工作等级为</w:t>
            </w:r>
            <w:r>
              <w:rPr>
                <w:rFonts w:hint="eastAsia" w:ascii="Times New Roman" w:hAnsi="宋体"/>
                <w:b w:val="0"/>
                <w:bCs w:val="0"/>
                <w:color w:val="auto"/>
                <w:sz w:val="24"/>
                <w:szCs w:val="24"/>
                <w:u w:val="none"/>
                <w:lang w:val="en-US" w:eastAsia="zh-CN"/>
              </w:rPr>
              <w:t>三</w:t>
            </w:r>
            <w:r>
              <w:rPr>
                <w:rFonts w:ascii="Times New Roman" w:hAnsi="宋体"/>
                <w:b w:val="0"/>
                <w:bCs w:val="0"/>
                <w:color w:val="auto"/>
                <w:sz w:val="24"/>
                <w:szCs w:val="24"/>
                <w:u w:val="none"/>
              </w:rPr>
              <w:t>级。</w:t>
            </w:r>
          </w:p>
          <w:p>
            <w:pPr>
              <w:widowControl w:val="0"/>
              <w:adjustRightInd w:val="0"/>
              <w:snapToGrid w:val="0"/>
              <w:spacing w:after="0" w:line="520" w:lineRule="exact"/>
              <w:ind w:firstLine="480" w:firstLineChars="200"/>
              <w:jc w:val="both"/>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根据《环境影响评价技术导则（大气环境）》（HJ/2.2－2018）要求，三级评价项目不进行进一步预测与评价。</w:t>
            </w:r>
          </w:p>
          <w:p>
            <w:pPr>
              <w:pStyle w:val="80"/>
              <w:snapToGrid w:val="0"/>
              <w:ind w:firstLine="480"/>
              <w:rPr>
                <w:rFonts w:ascii="Times New Roman" w:hAnsi="Times New Roman" w:eastAsia="宋体"/>
                <w:szCs w:val="22"/>
              </w:rPr>
            </w:pPr>
            <w:r>
              <w:rPr>
                <w:rFonts w:ascii="Times New Roman" w:hAnsi="Times New Roman" w:eastAsia="宋体"/>
                <w:szCs w:val="22"/>
              </w:rPr>
              <w:t>项目无组织废气厂界排放情况见下表</w:t>
            </w:r>
            <w:r>
              <w:rPr>
                <w:rFonts w:hint="eastAsia"/>
                <w:szCs w:val="22"/>
                <w:lang w:val="en-US" w:eastAsia="zh-CN"/>
              </w:rPr>
              <w:t>30</w:t>
            </w:r>
            <w:r>
              <w:rPr>
                <w:rFonts w:ascii="Times New Roman" w:hAnsi="Times New Roman" w:eastAsia="宋体"/>
                <w:szCs w:val="22"/>
              </w:rPr>
              <w:t>。</w:t>
            </w:r>
          </w:p>
          <w:p>
            <w:pPr>
              <w:pStyle w:val="7"/>
              <w:spacing w:beforeLines="50"/>
              <w:jc w:val="center"/>
              <w:rPr>
                <w:rFonts w:hint="default" w:ascii="Times New Roman" w:hAnsi="宋体" w:cs="Times New Roman"/>
                <w:b/>
                <w:bCs w:val="0"/>
                <w:sz w:val="24"/>
                <w:szCs w:val="24"/>
                <w:lang w:val="zh-CN" w:eastAsia="zh-CN"/>
              </w:rPr>
            </w:pPr>
            <w:r>
              <w:rPr>
                <w:rFonts w:hint="default" w:ascii="Times New Roman" w:hAnsi="宋体" w:cs="Times New Roman"/>
                <w:b/>
                <w:bCs w:val="0"/>
                <w:sz w:val="24"/>
                <w:szCs w:val="24"/>
                <w:lang w:val="zh-CN" w:eastAsia="zh-CN"/>
              </w:rPr>
              <w:t>表</w:t>
            </w:r>
            <w:r>
              <w:rPr>
                <w:rFonts w:hint="eastAsia" w:hAnsi="宋体" w:cs="Times New Roman"/>
                <w:b/>
                <w:bCs w:val="0"/>
                <w:sz w:val="24"/>
                <w:szCs w:val="24"/>
                <w:lang w:val="en-US" w:eastAsia="zh-CN"/>
              </w:rPr>
              <w:t>30</w:t>
            </w:r>
            <w:r>
              <w:rPr>
                <w:rFonts w:hint="default" w:ascii="Times New Roman" w:hAnsi="宋体" w:cs="Times New Roman"/>
                <w:b/>
                <w:bCs w:val="0"/>
                <w:sz w:val="24"/>
                <w:szCs w:val="24"/>
                <w:lang w:val="zh-CN" w:eastAsia="zh-CN"/>
              </w:rPr>
              <w:t xml:space="preserve">  无组织排放</w:t>
            </w:r>
            <w:r>
              <w:rPr>
                <w:rFonts w:hint="eastAsia" w:ascii="Times New Roman" w:hAnsi="宋体" w:cs="Times New Roman"/>
                <w:b/>
                <w:bCs w:val="0"/>
                <w:sz w:val="24"/>
                <w:szCs w:val="24"/>
                <w:lang w:val="zh-CN" w:eastAsia="zh-CN"/>
              </w:rPr>
              <w:t>废气</w:t>
            </w:r>
            <w:r>
              <w:rPr>
                <w:rFonts w:hint="default" w:ascii="Times New Roman" w:hAnsi="宋体" w:cs="Times New Roman"/>
                <w:b/>
                <w:bCs w:val="0"/>
                <w:sz w:val="24"/>
                <w:szCs w:val="24"/>
                <w:lang w:val="zh-CN" w:eastAsia="zh-CN"/>
              </w:rPr>
              <w:t>厂界浓度预测</w:t>
            </w:r>
          </w:p>
          <w:tbl>
            <w:tblPr>
              <w:tblStyle w:val="23"/>
              <w:tblW w:w="4999" w:type="pct"/>
              <w:jc w:val="center"/>
              <w:tblBorders>
                <w:top w:val="single" w:color="auto" w:sz="4" w:space="0"/>
                <w:left w:val="single" w:color="auto" w:sz="4"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446"/>
              <w:gridCol w:w="2301"/>
              <w:gridCol w:w="3316"/>
            </w:tblGrid>
            <w:tr>
              <w:tblPrEx>
                <w:tblBorders>
                  <w:top w:val="single" w:color="auto" w:sz="4" w:space="0"/>
                  <w:left w:val="single" w:color="auto" w:sz="4"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901" w:type="pct"/>
                  <w:vMerge w:val="restart"/>
                  <w:tcBorders>
                    <w:top w:val="single" w:color="auto" w:sz="12" w:space="0"/>
                    <w:left w:val="nil"/>
                    <w:bottom w:val="single" w:color="auto" w:sz="4" w:space="0"/>
                    <w:right w:val="single" w:color="auto" w:sz="4" w:space="0"/>
                  </w:tcBorders>
                  <w:vAlign w:val="center"/>
                </w:tcPr>
                <w:p>
                  <w:pPr>
                    <w:pStyle w:val="7"/>
                    <w:spacing w:line="520" w:lineRule="exact"/>
                    <w:jc w:val="center"/>
                    <w:rPr>
                      <w:rFonts w:ascii="Times New Roman" w:hAnsi="Times New Roman" w:eastAsia="宋体"/>
                      <w:sz w:val="21"/>
                      <w:szCs w:val="21"/>
                    </w:rPr>
                  </w:pPr>
                  <w:r>
                    <w:rPr>
                      <w:rFonts w:ascii="Times New Roman" w:hAnsi="Times New Roman" w:eastAsia="宋体"/>
                      <w:sz w:val="21"/>
                      <w:szCs w:val="21"/>
                    </w:rPr>
                    <w:t>废气厂界</w:t>
                  </w:r>
                </w:p>
              </w:tc>
              <w:tc>
                <w:tcPr>
                  <w:tcW w:w="3098" w:type="pct"/>
                  <w:gridSpan w:val="2"/>
                  <w:tcBorders>
                    <w:top w:val="single" w:color="auto" w:sz="12" w:space="0"/>
                    <w:left w:val="single" w:color="auto" w:sz="4" w:space="0"/>
                    <w:bottom w:val="single" w:color="auto" w:sz="4" w:space="0"/>
                    <w:right w:val="nil"/>
                  </w:tcBorders>
                  <w:vAlign w:val="center"/>
                </w:tcPr>
                <w:p>
                  <w:pPr>
                    <w:pStyle w:val="7"/>
                    <w:jc w:val="center"/>
                    <w:rPr>
                      <w:rFonts w:ascii="Times New Roman" w:hAnsi="Times New Roman" w:eastAsia="宋体"/>
                      <w:b/>
                      <w:sz w:val="21"/>
                      <w:szCs w:val="21"/>
                    </w:rPr>
                  </w:pPr>
                  <w:r>
                    <w:rPr>
                      <w:rFonts w:ascii="Times New Roman" w:hAnsi="Times New Roman" w:eastAsia="宋体"/>
                      <w:b/>
                      <w:sz w:val="21"/>
                      <w:szCs w:val="21"/>
                    </w:rPr>
                    <w:t>颗粒物</w:t>
                  </w:r>
                </w:p>
              </w:tc>
            </w:tr>
            <w:tr>
              <w:tblPrEx>
                <w:tblBorders>
                  <w:top w:val="single" w:color="auto" w:sz="4" w:space="0"/>
                  <w:left w:val="single" w:color="auto" w:sz="4"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901" w:type="pct"/>
                  <w:vMerge w:val="continue"/>
                  <w:tcBorders>
                    <w:top w:val="single" w:color="auto" w:sz="12" w:space="0"/>
                    <w:left w:val="nil"/>
                    <w:bottom w:val="single" w:color="auto" w:sz="4" w:space="0"/>
                    <w:right w:val="single" w:color="auto" w:sz="4" w:space="0"/>
                  </w:tcBorders>
                  <w:vAlign w:val="center"/>
                </w:tcPr>
                <w:p>
                  <w:pPr>
                    <w:widowControl/>
                    <w:jc w:val="center"/>
                    <w:rPr>
                      <w:rFonts w:ascii="Times New Roman" w:hAnsi="Times New Roman" w:eastAsia="宋体" w:cs="Times New Roman"/>
                      <w:szCs w:val="21"/>
                    </w:rPr>
                  </w:pPr>
                </w:p>
              </w:tc>
              <w:tc>
                <w:tcPr>
                  <w:tcW w:w="1269" w:type="pct"/>
                  <w:tcBorders>
                    <w:top w:val="single" w:color="auto" w:sz="4" w:space="0"/>
                    <w:left w:val="single" w:color="auto" w:sz="4" w:space="0"/>
                    <w:bottom w:val="single" w:color="auto" w:sz="4" w:space="0"/>
                    <w:right w:val="single" w:color="auto" w:sz="4" w:space="0"/>
                  </w:tcBorders>
                  <w:vAlign w:val="center"/>
                </w:tcPr>
                <w:p>
                  <w:pPr>
                    <w:pStyle w:val="7"/>
                    <w:adjustRightInd w:val="0"/>
                    <w:snapToGrid w:val="0"/>
                    <w:jc w:val="center"/>
                    <w:rPr>
                      <w:rFonts w:ascii="Times New Roman" w:hAnsi="Times New Roman" w:eastAsia="宋体"/>
                      <w:sz w:val="21"/>
                      <w:szCs w:val="21"/>
                    </w:rPr>
                  </w:pPr>
                  <w:r>
                    <w:rPr>
                      <w:rFonts w:ascii="Times New Roman" w:hAnsi="Times New Roman" w:eastAsia="宋体"/>
                      <w:sz w:val="21"/>
                      <w:szCs w:val="21"/>
                    </w:rPr>
                    <w:t>浓度mg/m</w:t>
                  </w:r>
                  <w:r>
                    <w:rPr>
                      <w:rFonts w:ascii="Times New Roman" w:hAnsi="Times New Roman" w:eastAsia="宋体"/>
                      <w:sz w:val="21"/>
                      <w:szCs w:val="21"/>
                      <w:vertAlign w:val="superscript"/>
                    </w:rPr>
                    <w:t>3</w:t>
                  </w:r>
                </w:p>
              </w:tc>
              <w:tc>
                <w:tcPr>
                  <w:tcW w:w="1828" w:type="pct"/>
                  <w:tcBorders>
                    <w:top w:val="single" w:color="auto" w:sz="4" w:space="0"/>
                    <w:left w:val="single" w:color="auto" w:sz="4" w:space="0"/>
                    <w:bottom w:val="single" w:color="auto" w:sz="4" w:space="0"/>
                    <w:right w:val="nil"/>
                  </w:tcBorders>
                  <w:vAlign w:val="center"/>
                </w:tcPr>
                <w:p>
                  <w:pPr>
                    <w:pStyle w:val="7"/>
                    <w:adjustRightInd w:val="0"/>
                    <w:snapToGrid w:val="0"/>
                    <w:jc w:val="center"/>
                    <w:rPr>
                      <w:rFonts w:ascii="Times New Roman" w:hAnsi="Times New Roman" w:eastAsia="宋体"/>
                      <w:sz w:val="21"/>
                      <w:szCs w:val="21"/>
                    </w:rPr>
                  </w:pPr>
                  <w:r>
                    <w:rPr>
                      <w:rFonts w:ascii="Times New Roman" w:hAnsi="Times New Roman" w:eastAsia="宋体"/>
                      <w:sz w:val="21"/>
                      <w:szCs w:val="21"/>
                    </w:rPr>
                    <w:t>占标率%</w:t>
                  </w:r>
                </w:p>
              </w:tc>
            </w:tr>
            <w:tr>
              <w:tblPrEx>
                <w:tblBorders>
                  <w:top w:val="single" w:color="auto" w:sz="4" w:space="0"/>
                  <w:left w:val="single" w:color="auto" w:sz="4" w:space="0"/>
                  <w:bottom w:val="single" w:color="auto" w:sz="4" w:space="0"/>
                  <w:right w:val="none" w:color="auto" w:sz="0" w:space="0"/>
                  <w:insideH w:val="single" w:color="auto" w:sz="4" w:space="0"/>
                  <w:insideV w:val="single" w:color="auto" w:sz="4" w:space="0"/>
                </w:tblBorders>
              </w:tblPrEx>
              <w:trPr>
                <w:trHeight w:val="23" w:hRule="atLeast"/>
                <w:jc w:val="center"/>
              </w:trPr>
              <w:tc>
                <w:tcPr>
                  <w:tcW w:w="1901" w:type="pct"/>
                  <w:tcBorders>
                    <w:top w:val="single" w:color="auto" w:sz="4" w:space="0"/>
                    <w:left w:val="nil"/>
                    <w:bottom w:val="single" w:color="auto" w:sz="4" w:space="0"/>
                    <w:right w:val="single" w:color="auto" w:sz="4" w:space="0"/>
                  </w:tcBorders>
                  <w:vAlign w:val="center"/>
                </w:tcPr>
                <w:p>
                  <w:pPr>
                    <w:pStyle w:val="7"/>
                    <w:jc w:val="center"/>
                    <w:rPr>
                      <w:rFonts w:ascii="Times New Roman" w:hAnsi="Times New Roman" w:eastAsia="宋体"/>
                      <w:sz w:val="21"/>
                      <w:szCs w:val="21"/>
                    </w:rPr>
                  </w:pPr>
                  <w:r>
                    <w:rPr>
                      <w:rFonts w:ascii="Times New Roman" w:hAnsi="Times New Roman" w:eastAsia="宋体"/>
                      <w:sz w:val="21"/>
                      <w:szCs w:val="21"/>
                    </w:rPr>
                    <w:t>北厂界（1m）</w:t>
                  </w:r>
                </w:p>
              </w:tc>
              <w:tc>
                <w:tcPr>
                  <w:tcW w:w="1269" w:type="pct"/>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lang w:val="en-US" w:eastAsia="zh-CN"/>
                    </w:rPr>
                  </w:pPr>
                  <w:r>
                    <w:rPr>
                      <w:rFonts w:hint="eastAsia" w:eastAsia="宋体" w:cs="Times New Roman"/>
                      <w:lang w:val="en-US" w:eastAsia="zh-CN"/>
                    </w:rPr>
                    <w:t>0.0007672</w:t>
                  </w:r>
                </w:p>
              </w:tc>
              <w:tc>
                <w:tcPr>
                  <w:tcW w:w="1828" w:type="pct"/>
                  <w:tcBorders>
                    <w:top w:val="single" w:color="auto" w:sz="4" w:space="0"/>
                    <w:left w:val="single" w:color="auto" w:sz="4" w:space="0"/>
                    <w:bottom w:val="single" w:color="auto" w:sz="4" w:space="0"/>
                    <w:right w:val="nil"/>
                  </w:tcBorders>
                  <w:vAlign w:val="center"/>
                </w:tcPr>
                <w:p>
                  <w:pPr>
                    <w:jc w:val="center"/>
                    <w:rPr>
                      <w:rFonts w:hint="default" w:ascii="Times New Roman" w:hAnsi="Times New Roman" w:eastAsia="宋体" w:cs="Times New Roman"/>
                      <w:lang w:val="en-US" w:eastAsia="zh-CN"/>
                    </w:rPr>
                  </w:pPr>
                  <w:r>
                    <w:rPr>
                      <w:rFonts w:hint="eastAsia" w:eastAsia="宋体" w:cs="Times New Roman"/>
                      <w:lang w:val="en-US" w:eastAsia="zh-CN"/>
                    </w:rPr>
                    <w:t>0.17</w:t>
                  </w:r>
                </w:p>
              </w:tc>
            </w:tr>
            <w:tr>
              <w:tblPrEx>
                <w:tblBorders>
                  <w:top w:val="single" w:color="auto" w:sz="4" w:space="0"/>
                  <w:left w:val="single" w:color="auto" w:sz="4" w:space="0"/>
                  <w:bottom w:val="single" w:color="auto" w:sz="4" w:space="0"/>
                  <w:right w:val="none" w:color="auto" w:sz="0" w:space="0"/>
                  <w:insideH w:val="single" w:color="auto" w:sz="4" w:space="0"/>
                  <w:insideV w:val="single" w:color="auto" w:sz="4" w:space="0"/>
                </w:tblBorders>
              </w:tblPrEx>
              <w:trPr>
                <w:trHeight w:val="23" w:hRule="atLeast"/>
                <w:jc w:val="center"/>
              </w:trPr>
              <w:tc>
                <w:tcPr>
                  <w:tcW w:w="1901" w:type="pct"/>
                  <w:tcBorders>
                    <w:top w:val="single" w:color="auto" w:sz="4" w:space="0"/>
                    <w:left w:val="nil"/>
                    <w:bottom w:val="single" w:color="auto" w:sz="4" w:space="0"/>
                    <w:right w:val="single" w:color="auto" w:sz="4" w:space="0"/>
                  </w:tcBorders>
                  <w:vAlign w:val="center"/>
                </w:tcPr>
                <w:p>
                  <w:pPr>
                    <w:pStyle w:val="7"/>
                    <w:jc w:val="center"/>
                    <w:rPr>
                      <w:rFonts w:ascii="Times New Roman" w:hAnsi="Times New Roman" w:eastAsia="宋体"/>
                      <w:sz w:val="21"/>
                      <w:szCs w:val="21"/>
                    </w:rPr>
                  </w:pPr>
                  <w:r>
                    <w:rPr>
                      <w:rFonts w:ascii="Times New Roman" w:hAnsi="Times New Roman" w:eastAsia="宋体"/>
                      <w:sz w:val="21"/>
                      <w:szCs w:val="21"/>
                    </w:rPr>
                    <w:t>西厂界（</w:t>
                  </w:r>
                  <w:r>
                    <w:rPr>
                      <w:rFonts w:hint="eastAsia" w:ascii="Times New Roman" w:hAnsi="Times New Roman" w:eastAsia="宋体"/>
                      <w:sz w:val="21"/>
                      <w:szCs w:val="21"/>
                      <w:lang w:val="en-US" w:eastAsia="zh-CN"/>
                    </w:rPr>
                    <w:t>1</w:t>
                  </w:r>
                  <w:r>
                    <w:rPr>
                      <w:rFonts w:ascii="Times New Roman" w:hAnsi="Times New Roman" w:eastAsia="宋体"/>
                      <w:sz w:val="21"/>
                      <w:szCs w:val="21"/>
                    </w:rPr>
                    <w:t>m）</w:t>
                  </w:r>
                </w:p>
              </w:tc>
              <w:tc>
                <w:tcPr>
                  <w:tcW w:w="1269" w:type="pct"/>
                  <w:tcBorders>
                    <w:top w:val="single" w:color="auto" w:sz="4" w:space="0"/>
                    <w:left w:val="single" w:color="auto" w:sz="4" w:space="0"/>
                    <w:bottom w:val="single" w:color="auto" w:sz="4" w:space="0"/>
                    <w:right w:val="single" w:color="auto" w:sz="4" w:space="0"/>
                  </w:tcBorders>
                  <w:vAlign w:val="center"/>
                </w:tcPr>
                <w:p>
                  <w:pPr>
                    <w:jc w:val="center"/>
                    <w:rPr>
                      <w:rFonts w:hint="eastAsia" w:ascii="Times New Roman" w:hAnsi="Times New Roman" w:eastAsia="宋体" w:cs="Times New Roman"/>
                      <w:lang w:val="en-US" w:eastAsia="zh-CN"/>
                    </w:rPr>
                  </w:pPr>
                  <w:r>
                    <w:rPr>
                      <w:rFonts w:hint="eastAsia" w:eastAsia="宋体" w:cs="Times New Roman"/>
                      <w:lang w:val="en-US" w:eastAsia="zh-CN"/>
                    </w:rPr>
                    <w:t>0.0007672</w:t>
                  </w:r>
                </w:p>
              </w:tc>
              <w:tc>
                <w:tcPr>
                  <w:tcW w:w="1828" w:type="pct"/>
                  <w:tcBorders>
                    <w:top w:val="single" w:color="auto" w:sz="4" w:space="0"/>
                    <w:left w:val="single" w:color="auto" w:sz="4" w:space="0"/>
                    <w:bottom w:val="single" w:color="auto" w:sz="4" w:space="0"/>
                    <w:right w:val="nil"/>
                  </w:tcBorders>
                  <w:vAlign w:val="center"/>
                </w:tcPr>
                <w:p>
                  <w:pPr>
                    <w:jc w:val="center"/>
                    <w:rPr>
                      <w:rFonts w:hint="default" w:ascii="Times New Roman" w:hAnsi="Times New Roman" w:eastAsia="宋体" w:cs="Times New Roman"/>
                      <w:lang w:val="en-US" w:eastAsia="zh-CN"/>
                    </w:rPr>
                  </w:pPr>
                  <w:r>
                    <w:rPr>
                      <w:rFonts w:hint="eastAsia" w:eastAsia="宋体" w:cs="Times New Roman"/>
                      <w:lang w:val="en-US" w:eastAsia="zh-CN"/>
                    </w:rPr>
                    <w:t>0.17</w:t>
                  </w:r>
                </w:p>
              </w:tc>
            </w:tr>
            <w:tr>
              <w:tblPrEx>
                <w:tblBorders>
                  <w:top w:val="single" w:color="auto" w:sz="4" w:space="0"/>
                  <w:left w:val="single" w:color="auto" w:sz="4"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901" w:type="pct"/>
                  <w:tcBorders>
                    <w:top w:val="single" w:color="auto" w:sz="4" w:space="0"/>
                    <w:left w:val="nil"/>
                    <w:bottom w:val="single" w:color="auto" w:sz="4" w:space="0"/>
                    <w:right w:val="single" w:color="auto" w:sz="4" w:space="0"/>
                  </w:tcBorders>
                  <w:vAlign w:val="center"/>
                </w:tcPr>
                <w:p>
                  <w:pPr>
                    <w:pStyle w:val="7"/>
                    <w:jc w:val="center"/>
                    <w:rPr>
                      <w:rFonts w:ascii="Times New Roman" w:hAnsi="Times New Roman" w:eastAsia="宋体"/>
                      <w:sz w:val="21"/>
                      <w:szCs w:val="21"/>
                    </w:rPr>
                  </w:pPr>
                  <w:r>
                    <w:rPr>
                      <w:rFonts w:ascii="Times New Roman" w:hAnsi="Times New Roman" w:eastAsia="宋体"/>
                      <w:sz w:val="21"/>
                      <w:szCs w:val="21"/>
                    </w:rPr>
                    <w:t>东厂界（1m）</w:t>
                  </w:r>
                </w:p>
              </w:tc>
              <w:tc>
                <w:tcPr>
                  <w:tcW w:w="1269" w:type="pct"/>
                  <w:tcBorders>
                    <w:top w:val="single" w:color="auto" w:sz="4" w:space="0"/>
                    <w:left w:val="single" w:color="auto" w:sz="4" w:space="0"/>
                    <w:bottom w:val="single" w:color="auto" w:sz="4" w:space="0"/>
                    <w:right w:val="single" w:color="auto" w:sz="4" w:space="0"/>
                  </w:tcBorders>
                  <w:vAlign w:val="center"/>
                </w:tcPr>
                <w:p>
                  <w:pPr>
                    <w:jc w:val="center"/>
                    <w:rPr>
                      <w:rFonts w:hint="eastAsia" w:ascii="Times New Roman" w:hAnsi="Times New Roman" w:eastAsia="宋体" w:cs="Times New Roman"/>
                      <w:lang w:val="en-US" w:eastAsia="zh-CN"/>
                    </w:rPr>
                  </w:pPr>
                  <w:r>
                    <w:rPr>
                      <w:rFonts w:hint="eastAsia" w:eastAsia="宋体" w:cs="Times New Roman"/>
                      <w:lang w:val="en-US" w:eastAsia="zh-CN"/>
                    </w:rPr>
                    <w:t>0.0007672</w:t>
                  </w:r>
                </w:p>
              </w:tc>
              <w:tc>
                <w:tcPr>
                  <w:tcW w:w="1828" w:type="pct"/>
                  <w:tcBorders>
                    <w:top w:val="single" w:color="auto" w:sz="4" w:space="0"/>
                    <w:left w:val="single" w:color="auto" w:sz="4" w:space="0"/>
                    <w:bottom w:val="single" w:color="auto" w:sz="4" w:space="0"/>
                    <w:right w:val="nil"/>
                  </w:tcBorders>
                  <w:vAlign w:val="center"/>
                </w:tcPr>
                <w:p>
                  <w:pPr>
                    <w:jc w:val="center"/>
                    <w:rPr>
                      <w:rFonts w:hint="default" w:ascii="Times New Roman" w:hAnsi="Times New Roman" w:eastAsia="宋体" w:cs="Times New Roman"/>
                      <w:lang w:val="en-US" w:eastAsia="zh-CN"/>
                    </w:rPr>
                  </w:pPr>
                  <w:r>
                    <w:rPr>
                      <w:rFonts w:hint="eastAsia" w:eastAsia="宋体" w:cs="Times New Roman"/>
                      <w:lang w:val="en-US" w:eastAsia="zh-CN"/>
                    </w:rPr>
                    <w:t>0.17</w:t>
                  </w:r>
                </w:p>
              </w:tc>
            </w:tr>
            <w:tr>
              <w:tblPrEx>
                <w:tblBorders>
                  <w:top w:val="single" w:color="auto" w:sz="4" w:space="0"/>
                  <w:left w:val="single" w:color="auto" w:sz="4" w:space="0"/>
                  <w:bottom w:val="single" w:color="auto" w:sz="4" w:space="0"/>
                  <w:right w:val="none" w:color="auto" w:sz="0" w:space="0"/>
                  <w:insideH w:val="single" w:color="auto" w:sz="4" w:space="0"/>
                  <w:insideV w:val="single" w:color="auto" w:sz="4" w:space="0"/>
                </w:tblBorders>
              </w:tblPrEx>
              <w:trPr>
                <w:trHeight w:val="23" w:hRule="atLeast"/>
                <w:jc w:val="center"/>
              </w:trPr>
              <w:tc>
                <w:tcPr>
                  <w:tcW w:w="1901" w:type="pct"/>
                  <w:tcBorders>
                    <w:top w:val="single" w:color="auto" w:sz="4" w:space="0"/>
                    <w:left w:val="nil"/>
                    <w:bottom w:val="single" w:color="auto" w:sz="4" w:space="0"/>
                    <w:right w:val="single" w:color="auto" w:sz="4" w:space="0"/>
                  </w:tcBorders>
                  <w:vAlign w:val="center"/>
                </w:tcPr>
                <w:p>
                  <w:pPr>
                    <w:pStyle w:val="7"/>
                    <w:jc w:val="center"/>
                    <w:rPr>
                      <w:rFonts w:ascii="Times New Roman" w:hAnsi="Times New Roman" w:eastAsia="宋体"/>
                      <w:sz w:val="21"/>
                      <w:szCs w:val="21"/>
                    </w:rPr>
                  </w:pPr>
                  <w:r>
                    <w:rPr>
                      <w:rFonts w:ascii="Times New Roman" w:hAnsi="Times New Roman" w:eastAsia="宋体"/>
                      <w:sz w:val="21"/>
                      <w:szCs w:val="21"/>
                    </w:rPr>
                    <w:t>南厂界（1m）</w:t>
                  </w:r>
                </w:p>
              </w:tc>
              <w:tc>
                <w:tcPr>
                  <w:tcW w:w="1269" w:type="pct"/>
                  <w:tcBorders>
                    <w:top w:val="single" w:color="auto" w:sz="4" w:space="0"/>
                    <w:left w:val="single" w:color="auto" w:sz="4" w:space="0"/>
                    <w:bottom w:val="single" w:color="auto" w:sz="4" w:space="0"/>
                    <w:right w:val="single" w:color="auto" w:sz="4" w:space="0"/>
                  </w:tcBorders>
                  <w:vAlign w:val="center"/>
                </w:tcPr>
                <w:p>
                  <w:pPr>
                    <w:jc w:val="center"/>
                    <w:rPr>
                      <w:rFonts w:hint="eastAsia" w:ascii="Times New Roman" w:hAnsi="Times New Roman" w:eastAsia="宋体" w:cs="Times New Roman"/>
                      <w:lang w:val="en-US" w:eastAsia="zh-CN"/>
                    </w:rPr>
                  </w:pPr>
                  <w:r>
                    <w:rPr>
                      <w:rFonts w:hint="eastAsia" w:eastAsia="宋体" w:cs="Times New Roman"/>
                      <w:lang w:val="en-US" w:eastAsia="zh-CN"/>
                    </w:rPr>
                    <w:t>0.0007672</w:t>
                  </w:r>
                </w:p>
              </w:tc>
              <w:tc>
                <w:tcPr>
                  <w:tcW w:w="1828" w:type="pct"/>
                  <w:tcBorders>
                    <w:top w:val="single" w:color="auto" w:sz="4" w:space="0"/>
                    <w:left w:val="single" w:color="auto" w:sz="4" w:space="0"/>
                    <w:bottom w:val="single" w:color="auto" w:sz="4" w:space="0"/>
                    <w:right w:val="nil"/>
                  </w:tcBorders>
                  <w:vAlign w:val="center"/>
                </w:tcPr>
                <w:p>
                  <w:pPr>
                    <w:jc w:val="center"/>
                    <w:rPr>
                      <w:rFonts w:hint="default" w:ascii="Times New Roman" w:hAnsi="Times New Roman" w:eastAsia="宋体" w:cs="Times New Roman"/>
                      <w:lang w:val="en-US" w:eastAsia="zh-CN"/>
                    </w:rPr>
                  </w:pPr>
                  <w:r>
                    <w:rPr>
                      <w:rFonts w:hint="eastAsia" w:eastAsia="宋体" w:cs="Times New Roman"/>
                      <w:lang w:val="en-US" w:eastAsia="zh-CN"/>
                    </w:rPr>
                    <w:t>0.17</w:t>
                  </w:r>
                </w:p>
              </w:tc>
            </w:tr>
            <w:tr>
              <w:tblPrEx>
                <w:tblBorders>
                  <w:top w:val="single" w:color="auto" w:sz="4" w:space="0"/>
                  <w:left w:val="single" w:color="auto" w:sz="4" w:space="0"/>
                  <w:bottom w:val="single" w:color="auto" w:sz="4" w:space="0"/>
                  <w:right w:val="none" w:color="auto" w:sz="0" w:space="0"/>
                  <w:insideH w:val="single" w:color="auto" w:sz="4" w:space="0"/>
                  <w:insideV w:val="single" w:color="auto" w:sz="4" w:space="0"/>
                </w:tblBorders>
              </w:tblPrEx>
              <w:trPr>
                <w:trHeight w:val="23" w:hRule="atLeast"/>
                <w:jc w:val="center"/>
              </w:trPr>
              <w:tc>
                <w:tcPr>
                  <w:tcW w:w="1901" w:type="pct"/>
                  <w:tcBorders>
                    <w:top w:val="single" w:color="auto" w:sz="4" w:space="0"/>
                    <w:left w:val="nil"/>
                    <w:bottom w:val="single" w:color="auto" w:sz="4" w:space="0"/>
                    <w:right w:val="single" w:color="auto" w:sz="4" w:space="0"/>
                  </w:tcBorders>
                  <w:vAlign w:val="center"/>
                </w:tcPr>
                <w:p>
                  <w:pPr>
                    <w:pStyle w:val="7"/>
                    <w:jc w:val="center"/>
                    <w:rPr>
                      <w:rFonts w:ascii="Times New Roman" w:hAnsi="Times New Roman" w:eastAsia="宋体"/>
                      <w:sz w:val="21"/>
                      <w:szCs w:val="21"/>
                    </w:rPr>
                  </w:pPr>
                  <w:r>
                    <w:rPr>
                      <w:rFonts w:hint="eastAsia" w:eastAsia="宋体"/>
                      <w:sz w:val="21"/>
                      <w:szCs w:val="21"/>
                      <w:lang w:eastAsia="zh-CN"/>
                    </w:rPr>
                    <w:t>北侧</w:t>
                  </w:r>
                  <w:r>
                    <w:rPr>
                      <w:rFonts w:hint="eastAsia"/>
                      <w:sz w:val="21"/>
                      <w:szCs w:val="21"/>
                      <w:lang w:eastAsia="zh-CN"/>
                    </w:rPr>
                    <w:t>张庄</w:t>
                  </w:r>
                  <w:r>
                    <w:rPr>
                      <w:rFonts w:ascii="Times New Roman" w:hAnsi="Times New Roman" w:eastAsia="宋体"/>
                      <w:sz w:val="21"/>
                      <w:szCs w:val="21"/>
                    </w:rPr>
                    <w:t>居民点（</w:t>
                  </w:r>
                  <w:r>
                    <w:rPr>
                      <w:rFonts w:hint="eastAsia"/>
                      <w:sz w:val="21"/>
                      <w:szCs w:val="21"/>
                      <w:lang w:val="en-US" w:eastAsia="zh-CN"/>
                    </w:rPr>
                    <w:t>3</w:t>
                  </w:r>
                  <w:r>
                    <w:rPr>
                      <w:rFonts w:hint="eastAsia" w:eastAsia="宋体"/>
                      <w:sz w:val="21"/>
                      <w:szCs w:val="21"/>
                      <w:lang w:val="en-US" w:eastAsia="zh-CN"/>
                    </w:rPr>
                    <w:t>5</w:t>
                  </w:r>
                  <w:r>
                    <w:rPr>
                      <w:rFonts w:ascii="Times New Roman" w:hAnsi="Times New Roman" w:eastAsia="宋体"/>
                      <w:sz w:val="21"/>
                      <w:szCs w:val="21"/>
                    </w:rPr>
                    <w:t>m）</w:t>
                  </w:r>
                </w:p>
              </w:tc>
              <w:tc>
                <w:tcPr>
                  <w:tcW w:w="1269" w:type="pct"/>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lang w:val="en-US" w:eastAsia="zh-CN"/>
                    </w:rPr>
                  </w:pPr>
                  <w:r>
                    <w:rPr>
                      <w:rFonts w:hint="eastAsia" w:eastAsia="宋体" w:cs="Times New Roman"/>
                      <w:lang w:val="en-US" w:eastAsia="zh-CN"/>
                    </w:rPr>
                    <w:t>0.00106</w:t>
                  </w:r>
                  <w:r>
                    <w:rPr>
                      <w:rFonts w:hint="eastAsia" w:cs="Times New Roman"/>
                      <w:lang w:val="en-US" w:eastAsia="zh-CN"/>
                    </w:rPr>
                    <w:t>7</w:t>
                  </w:r>
                </w:p>
              </w:tc>
              <w:tc>
                <w:tcPr>
                  <w:tcW w:w="1828" w:type="pct"/>
                  <w:tcBorders>
                    <w:top w:val="single" w:color="auto" w:sz="4" w:space="0"/>
                    <w:left w:val="single" w:color="auto" w:sz="4" w:space="0"/>
                    <w:bottom w:val="single" w:color="auto" w:sz="4" w:space="0"/>
                    <w:right w:val="nil"/>
                  </w:tcBorders>
                  <w:vAlign w:val="center"/>
                </w:tcPr>
                <w:p>
                  <w:pPr>
                    <w:jc w:val="center"/>
                    <w:rPr>
                      <w:rFonts w:hint="default" w:ascii="Times New Roman" w:hAnsi="Times New Roman" w:eastAsia="宋体" w:cs="Times New Roman"/>
                      <w:lang w:val="en-US" w:eastAsia="zh-CN"/>
                    </w:rPr>
                  </w:pPr>
                  <w:r>
                    <w:rPr>
                      <w:rFonts w:hint="eastAsia" w:eastAsia="宋体" w:cs="Times New Roman"/>
                      <w:lang w:val="en-US" w:eastAsia="zh-CN"/>
                    </w:rPr>
                    <w:t>0.24</w:t>
                  </w:r>
                </w:p>
              </w:tc>
            </w:tr>
            <w:tr>
              <w:tblPrEx>
                <w:tblBorders>
                  <w:top w:val="single" w:color="auto" w:sz="4" w:space="0"/>
                  <w:left w:val="single" w:color="auto" w:sz="4"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901" w:type="pct"/>
                  <w:tcBorders>
                    <w:top w:val="single" w:color="auto" w:sz="4" w:space="0"/>
                    <w:left w:val="nil"/>
                    <w:bottom w:val="single" w:color="auto" w:sz="4" w:space="0"/>
                    <w:right w:val="single" w:color="auto" w:sz="4" w:space="0"/>
                  </w:tcBorders>
                  <w:vAlign w:val="center"/>
                </w:tcPr>
                <w:p>
                  <w:pPr>
                    <w:pStyle w:val="7"/>
                    <w:jc w:val="center"/>
                    <w:rPr>
                      <w:rFonts w:hint="eastAsia" w:ascii="Times New Roman" w:hAnsi="Times New Roman" w:eastAsia="宋体"/>
                      <w:sz w:val="21"/>
                      <w:szCs w:val="21"/>
                      <w:lang w:eastAsia="zh-CN"/>
                    </w:rPr>
                  </w:pPr>
                  <w:r>
                    <w:rPr>
                      <w:rFonts w:hint="eastAsia"/>
                      <w:sz w:val="21"/>
                      <w:szCs w:val="21"/>
                      <w:lang w:eastAsia="zh-CN"/>
                    </w:rPr>
                    <w:t>东</w:t>
                  </w:r>
                  <w:r>
                    <w:rPr>
                      <w:rFonts w:hint="eastAsia" w:eastAsia="宋体"/>
                      <w:sz w:val="21"/>
                      <w:szCs w:val="21"/>
                      <w:lang w:eastAsia="zh-CN"/>
                    </w:rPr>
                    <w:t>侧</w:t>
                  </w:r>
                  <w:r>
                    <w:rPr>
                      <w:rFonts w:hint="eastAsia"/>
                      <w:sz w:val="21"/>
                      <w:szCs w:val="21"/>
                      <w:lang w:eastAsia="zh-CN"/>
                    </w:rPr>
                    <w:t>张庄</w:t>
                  </w:r>
                  <w:r>
                    <w:rPr>
                      <w:rFonts w:ascii="Times New Roman" w:hAnsi="Times New Roman" w:eastAsia="宋体"/>
                      <w:sz w:val="21"/>
                      <w:szCs w:val="21"/>
                    </w:rPr>
                    <w:t>居民点（</w:t>
                  </w:r>
                  <w:r>
                    <w:rPr>
                      <w:rFonts w:hint="eastAsia"/>
                      <w:sz w:val="21"/>
                      <w:szCs w:val="21"/>
                      <w:lang w:val="en-US" w:eastAsia="zh-CN"/>
                    </w:rPr>
                    <w:t>3</w:t>
                  </w:r>
                  <w:r>
                    <w:rPr>
                      <w:rFonts w:hint="eastAsia" w:eastAsia="宋体"/>
                      <w:sz w:val="21"/>
                      <w:szCs w:val="21"/>
                      <w:lang w:val="en-US" w:eastAsia="zh-CN"/>
                    </w:rPr>
                    <w:t>5</w:t>
                  </w:r>
                  <w:r>
                    <w:rPr>
                      <w:rFonts w:ascii="Times New Roman" w:hAnsi="Times New Roman" w:eastAsia="宋体"/>
                      <w:sz w:val="21"/>
                      <w:szCs w:val="21"/>
                    </w:rPr>
                    <w:t>m）</w:t>
                  </w:r>
                </w:p>
              </w:tc>
              <w:tc>
                <w:tcPr>
                  <w:tcW w:w="1269" w:type="pct"/>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lang w:val="en-US" w:eastAsia="zh-CN"/>
                    </w:rPr>
                  </w:pPr>
                  <w:r>
                    <w:rPr>
                      <w:rFonts w:hint="eastAsia" w:ascii="Times New Roman" w:hAnsi="Times New Roman" w:cs="Times New Roman"/>
                      <w:lang w:val="en-US" w:eastAsia="zh-CN"/>
                    </w:rPr>
                    <w:t>0.00106</w:t>
                  </w:r>
                  <w:r>
                    <w:rPr>
                      <w:rFonts w:hint="eastAsia" w:cs="Times New Roman"/>
                      <w:lang w:val="en-US" w:eastAsia="zh-CN"/>
                    </w:rPr>
                    <w:t>7</w:t>
                  </w:r>
                </w:p>
              </w:tc>
              <w:tc>
                <w:tcPr>
                  <w:tcW w:w="1828" w:type="pct"/>
                  <w:tcBorders>
                    <w:top w:val="single" w:color="auto" w:sz="4" w:space="0"/>
                    <w:left w:val="single" w:color="auto" w:sz="4" w:space="0"/>
                    <w:bottom w:val="single" w:color="auto" w:sz="4" w:space="0"/>
                    <w:right w:val="nil"/>
                  </w:tcBorders>
                  <w:vAlign w:val="center"/>
                </w:tcPr>
                <w:p>
                  <w:pPr>
                    <w:jc w:val="center"/>
                    <w:rPr>
                      <w:rFonts w:hint="default" w:ascii="Times New Roman" w:hAnsi="Times New Roman" w:eastAsia="宋体" w:cs="Times New Roman"/>
                      <w:lang w:val="en-US" w:eastAsia="zh-CN"/>
                    </w:rPr>
                  </w:pPr>
                  <w:r>
                    <w:rPr>
                      <w:rFonts w:hint="eastAsia" w:cs="Times New Roman"/>
                      <w:lang w:val="en-US" w:eastAsia="zh-CN"/>
                    </w:rPr>
                    <w:t>0.24</w:t>
                  </w:r>
                </w:p>
              </w:tc>
            </w:tr>
            <w:tr>
              <w:tblPrEx>
                <w:tblBorders>
                  <w:top w:val="single" w:color="auto" w:sz="4" w:space="0"/>
                  <w:left w:val="single" w:color="auto" w:sz="4" w:space="0"/>
                  <w:bottom w:val="single" w:color="auto" w:sz="4" w:space="0"/>
                  <w:right w:val="none" w:color="auto" w:sz="0" w:space="0"/>
                  <w:insideH w:val="single" w:color="auto" w:sz="4" w:space="0"/>
                  <w:insideV w:val="single" w:color="auto" w:sz="4" w:space="0"/>
                </w:tblBorders>
              </w:tblPrEx>
              <w:trPr>
                <w:trHeight w:val="23" w:hRule="atLeast"/>
                <w:jc w:val="center"/>
              </w:trPr>
              <w:tc>
                <w:tcPr>
                  <w:tcW w:w="1901" w:type="pct"/>
                  <w:tcBorders>
                    <w:top w:val="single" w:color="auto" w:sz="4" w:space="0"/>
                    <w:left w:val="nil"/>
                    <w:bottom w:val="single" w:color="auto" w:sz="12" w:space="0"/>
                    <w:right w:val="single" w:color="auto" w:sz="4" w:space="0"/>
                  </w:tcBorders>
                  <w:vAlign w:val="center"/>
                </w:tcPr>
                <w:p>
                  <w:pPr>
                    <w:pStyle w:val="7"/>
                    <w:jc w:val="center"/>
                    <w:rPr>
                      <w:rFonts w:hint="eastAsia" w:ascii="Times New Roman" w:hAnsi="Times New Roman" w:eastAsia="宋体"/>
                      <w:sz w:val="21"/>
                      <w:szCs w:val="21"/>
                      <w:lang w:eastAsia="zh-CN"/>
                    </w:rPr>
                  </w:pPr>
                  <w:r>
                    <w:rPr>
                      <w:rFonts w:hint="eastAsia"/>
                      <w:sz w:val="21"/>
                      <w:szCs w:val="21"/>
                      <w:lang w:eastAsia="zh-CN"/>
                    </w:rPr>
                    <w:t>南</w:t>
                  </w:r>
                  <w:r>
                    <w:rPr>
                      <w:rFonts w:hint="eastAsia" w:eastAsia="宋体"/>
                      <w:sz w:val="21"/>
                      <w:szCs w:val="21"/>
                      <w:lang w:eastAsia="zh-CN"/>
                    </w:rPr>
                    <w:t>侧</w:t>
                  </w:r>
                  <w:r>
                    <w:rPr>
                      <w:rFonts w:hint="eastAsia"/>
                      <w:sz w:val="21"/>
                      <w:szCs w:val="21"/>
                      <w:lang w:eastAsia="zh-CN"/>
                    </w:rPr>
                    <w:t>张庄</w:t>
                  </w:r>
                  <w:r>
                    <w:rPr>
                      <w:rFonts w:ascii="Times New Roman" w:hAnsi="Times New Roman" w:eastAsia="宋体"/>
                      <w:sz w:val="21"/>
                      <w:szCs w:val="21"/>
                    </w:rPr>
                    <w:t>居民点（</w:t>
                  </w:r>
                  <w:r>
                    <w:rPr>
                      <w:rFonts w:hint="eastAsia"/>
                      <w:sz w:val="21"/>
                      <w:szCs w:val="21"/>
                      <w:lang w:val="en-US" w:eastAsia="zh-CN"/>
                    </w:rPr>
                    <w:t>120</w:t>
                  </w:r>
                  <w:r>
                    <w:rPr>
                      <w:rFonts w:ascii="Times New Roman" w:hAnsi="Times New Roman" w:eastAsia="宋体"/>
                      <w:sz w:val="21"/>
                      <w:szCs w:val="21"/>
                    </w:rPr>
                    <w:t>m）</w:t>
                  </w:r>
                </w:p>
              </w:tc>
              <w:tc>
                <w:tcPr>
                  <w:tcW w:w="1269" w:type="pct"/>
                  <w:tcBorders>
                    <w:top w:val="single" w:color="auto" w:sz="4" w:space="0"/>
                    <w:left w:val="single" w:color="auto" w:sz="4" w:space="0"/>
                    <w:bottom w:val="single" w:color="auto" w:sz="12" w:space="0"/>
                    <w:right w:val="single" w:color="auto" w:sz="4" w:space="0"/>
                  </w:tcBorders>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rPr>
                    <w:t>0.00</w:t>
                  </w:r>
                  <w:r>
                    <w:rPr>
                      <w:rFonts w:hint="eastAsia" w:cs="Times New Roman"/>
                      <w:lang w:val="en-US" w:eastAsia="zh-CN"/>
                    </w:rPr>
                    <w:t>1</w:t>
                  </w:r>
                  <w:r>
                    <w:rPr>
                      <w:rFonts w:hint="eastAsia" w:eastAsia="宋体" w:cs="Times New Roman"/>
                      <w:lang w:val="en-US" w:eastAsia="zh-CN"/>
                    </w:rPr>
                    <w:t>286</w:t>
                  </w:r>
                </w:p>
              </w:tc>
              <w:tc>
                <w:tcPr>
                  <w:tcW w:w="1828" w:type="pct"/>
                  <w:tcBorders>
                    <w:top w:val="single" w:color="auto" w:sz="4" w:space="0"/>
                    <w:left w:val="single" w:color="auto" w:sz="4" w:space="0"/>
                    <w:bottom w:val="single" w:color="auto" w:sz="12" w:space="0"/>
                    <w:right w:val="nil"/>
                  </w:tcBorders>
                  <w:vAlign w:val="center"/>
                </w:tcPr>
                <w:p>
                  <w:pPr>
                    <w:jc w:val="center"/>
                    <w:rPr>
                      <w:rFonts w:hint="default" w:ascii="Times New Roman" w:hAnsi="Times New Roman" w:eastAsia="宋体" w:cs="Times New Roman"/>
                      <w:lang w:val="en-US" w:eastAsia="zh-CN"/>
                    </w:rPr>
                  </w:pPr>
                  <w:r>
                    <w:rPr>
                      <w:rFonts w:hint="eastAsia" w:eastAsia="宋体" w:cs="Times New Roman"/>
                      <w:lang w:val="en-US" w:eastAsia="zh-CN"/>
                    </w:rPr>
                    <w:t>0.</w:t>
                  </w:r>
                  <w:r>
                    <w:rPr>
                      <w:rFonts w:hint="eastAsia" w:cs="Times New Roman"/>
                      <w:lang w:val="en-US" w:eastAsia="zh-CN"/>
                    </w:rPr>
                    <w:t>32</w:t>
                  </w:r>
                </w:p>
              </w:tc>
            </w:tr>
          </w:tbl>
          <w:p>
            <w:pPr>
              <w:pStyle w:val="80"/>
              <w:spacing w:beforeLines="50" w:line="360" w:lineRule="auto"/>
              <w:ind w:firstLine="480"/>
              <w:rPr>
                <w:rFonts w:ascii="Times New Roman" w:hAnsi="Times New Roman" w:eastAsia="宋体"/>
                <w:szCs w:val="22"/>
              </w:rPr>
            </w:pPr>
            <w:r>
              <w:rPr>
                <w:rFonts w:ascii="Times New Roman" w:hAnsi="Times New Roman" w:eastAsia="宋体"/>
                <w:szCs w:val="22"/>
              </w:rPr>
              <w:t>项目各厂界颗粒物</w:t>
            </w:r>
            <w:r>
              <w:rPr>
                <w:rFonts w:hint="eastAsia"/>
                <w:szCs w:val="22"/>
                <w:lang w:eastAsia="zh-CN"/>
              </w:rPr>
              <w:t>及敏感点</w:t>
            </w:r>
            <w:r>
              <w:rPr>
                <w:rFonts w:ascii="Times New Roman" w:hAnsi="Times New Roman" w:eastAsia="宋体"/>
                <w:szCs w:val="22"/>
              </w:rPr>
              <w:t>排放浓度满足《大气污染物综合排放标准》（GB16297-1996）二级标准（颗粒物≤1.0mg/m</w:t>
            </w:r>
            <w:r>
              <w:rPr>
                <w:rFonts w:ascii="Times New Roman" w:hAnsi="Times New Roman" w:eastAsia="宋体"/>
                <w:szCs w:val="22"/>
                <w:vertAlign w:val="superscript"/>
              </w:rPr>
              <w:t>3</w:t>
            </w:r>
            <w:r>
              <w:rPr>
                <w:rFonts w:ascii="Times New Roman" w:hAnsi="Times New Roman" w:eastAsia="宋体"/>
                <w:szCs w:val="22"/>
              </w:rPr>
              <w:t>）要求。项目废气无组织排放对敏感点的影响较小。</w:t>
            </w:r>
          </w:p>
          <w:p>
            <w:pPr>
              <w:pStyle w:val="81"/>
              <w:keepNext w:val="0"/>
              <w:keepLines w:val="0"/>
              <w:pageBreakBefore w:val="0"/>
              <w:kinsoku/>
              <w:wordWrap/>
              <w:overflowPunct/>
              <w:topLinePunct w:val="0"/>
              <w:autoSpaceDE/>
              <w:autoSpaceDN/>
              <w:bidi w:val="0"/>
              <w:snapToGrid w:val="0"/>
              <w:spacing w:before="0" w:line="360" w:lineRule="auto"/>
              <w:ind w:firstLine="470" w:firstLineChars="196"/>
              <w:textAlignment w:val="auto"/>
              <w:rPr>
                <w:rFonts w:ascii="Times New Roman" w:hAnsi="Times New Roman" w:eastAsia="宋体"/>
                <w:bCs/>
              </w:rPr>
            </w:pPr>
            <w:r>
              <w:rPr>
                <w:rFonts w:ascii="Times New Roman" w:hAnsi="Times New Roman" w:eastAsia="宋体"/>
                <w:bCs/>
              </w:rPr>
              <w:t>综上所述，项目建成后大气污染物对周围大气环境质量和环境敏感点的影响较小，项目建成后，大气污染物对周围环境的影响均可接受。</w:t>
            </w:r>
          </w:p>
          <w:p>
            <w:pPr>
              <w:keepNext w:val="0"/>
              <w:keepLines w:val="0"/>
              <w:pageBreakBefore w:val="0"/>
              <w:widowControl w:val="0"/>
              <w:tabs>
                <w:tab w:val="center" w:pos="4793"/>
              </w:tabs>
              <w:kinsoku/>
              <w:wordWrap/>
              <w:overflowPunct/>
              <w:topLinePunct w:val="0"/>
              <w:autoSpaceDE/>
              <w:autoSpaceDN/>
              <w:bidi w:val="0"/>
              <w:adjustRightInd/>
              <w:snapToGrid/>
              <w:spacing w:line="360" w:lineRule="auto"/>
              <w:ind w:firstLine="482" w:firstLineChars="200"/>
              <w:textAlignment w:val="auto"/>
              <w:rPr>
                <w:rFonts w:hint="eastAsia" w:ascii="Times New Roman" w:hAnsi="Times New Roman" w:eastAsia="宋体" w:cs="Times New Roman"/>
                <w:b/>
                <w:sz w:val="24"/>
                <w:szCs w:val="28"/>
                <w:lang w:val="en-US" w:eastAsia="zh-CN"/>
              </w:rPr>
            </w:pPr>
            <w:r>
              <w:rPr>
                <w:rFonts w:hint="eastAsia" w:ascii="Times New Roman" w:hAnsi="Times New Roman" w:eastAsia="宋体" w:cs="Times New Roman"/>
                <w:b/>
                <w:sz w:val="24"/>
                <w:szCs w:val="28"/>
                <w:lang w:val="en-US" w:eastAsia="zh-CN"/>
              </w:rPr>
              <w:t>3、大气防护距离确定</w:t>
            </w:r>
          </w:p>
          <w:p>
            <w:pPr>
              <w:pStyle w:val="80"/>
              <w:keepNext w:val="0"/>
              <w:keepLines w:val="0"/>
              <w:pageBreakBefore w:val="0"/>
              <w:kinsoku/>
              <w:wordWrap/>
              <w:overflowPunct/>
              <w:topLinePunct w:val="0"/>
              <w:autoSpaceDE/>
              <w:autoSpaceDN/>
              <w:bidi w:val="0"/>
              <w:snapToGrid w:val="0"/>
              <w:ind w:firstLine="480"/>
              <w:textAlignment w:val="auto"/>
              <w:rPr>
                <w:rFonts w:ascii="Times New Roman" w:hAnsi="Times New Roman" w:eastAsia="宋体"/>
                <w:bCs/>
              </w:rPr>
            </w:pPr>
            <w:r>
              <w:rPr>
                <w:rFonts w:hint="eastAsia" w:ascii="Times New Roman" w:hAnsi="Times New Roman" w:eastAsia="宋体"/>
                <w:szCs w:val="22"/>
              </w:rPr>
              <w:t>根据《环境影响评价技术导则—大气环境》（</w:t>
            </w:r>
            <w:r>
              <w:rPr>
                <w:rFonts w:ascii="Times New Roman" w:hAnsi="Times New Roman" w:eastAsia="宋体"/>
                <w:szCs w:val="22"/>
              </w:rPr>
              <w:t>HJ2.2-2018</w:t>
            </w:r>
            <w:r>
              <w:rPr>
                <w:rFonts w:hint="eastAsia" w:ascii="Times New Roman" w:hAnsi="Times New Roman" w:eastAsia="宋体"/>
                <w:szCs w:val="22"/>
              </w:rPr>
              <w:t>）</w:t>
            </w:r>
            <w:r>
              <w:rPr>
                <w:rFonts w:ascii="Times New Roman" w:hAnsi="Times New Roman" w:eastAsia="宋体"/>
                <w:szCs w:val="22"/>
              </w:rPr>
              <w:t>8.7.5</w:t>
            </w:r>
            <w:r>
              <w:rPr>
                <w:rFonts w:hint="eastAsia" w:ascii="Times New Roman" w:hAnsi="Times New Roman" w:eastAsia="宋体"/>
                <w:szCs w:val="22"/>
              </w:rPr>
              <w:t>中关于大气环境防护距离的设置，“项目厂界浓度满足大气污染物厂界浓度限值，但厂界外大气污染物短期贡献浓度超过环境质量浓度限值的，可以自厂界向外设置一定范围的大气环境防护区域，以确保大气环境防护区域外的污染物贡献浓度满足环境质量标准”。经预测，该项目厂界浓度满足大气污染物厂界浓度限值，经计算均无超标点，因此本项目无需设置大气环境防护距离。</w:t>
            </w:r>
          </w:p>
          <w:p>
            <w:pPr>
              <w:spacing w:line="520" w:lineRule="atLeast"/>
              <w:ind w:firstLine="482" w:firstLineChars="200"/>
              <w:rPr>
                <w:rFonts w:ascii="Times New Roman" w:hAnsi="Times New Roman" w:eastAsia="宋体"/>
                <w:b/>
                <w:sz w:val="24"/>
              </w:rPr>
            </w:pPr>
            <w:r>
              <w:rPr>
                <w:rFonts w:hint="eastAsia" w:ascii="Times New Roman" w:hAnsi="Times New Roman" w:eastAsia="宋体"/>
                <w:b/>
                <w:sz w:val="24"/>
                <w:lang w:val="en-US" w:eastAsia="zh-CN"/>
              </w:rPr>
              <w:t>4</w:t>
            </w:r>
            <w:r>
              <w:rPr>
                <w:rFonts w:hint="eastAsia" w:ascii="Times New Roman" w:hAnsi="Times New Roman" w:eastAsia="宋体"/>
                <w:b/>
                <w:sz w:val="24"/>
              </w:rPr>
              <w:t>、声环境影响分析</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eastAsia="宋体" w:cs="宋体"/>
                <w:sz w:val="24"/>
                <w:szCs w:val="20"/>
                <w:lang w:val="en-US" w:eastAsia="zh-CN"/>
              </w:rPr>
            </w:pPr>
            <w:r>
              <w:rPr>
                <w:rFonts w:ascii="Times New Roman" w:hAnsi="Times New Roman" w:eastAsia="宋体" w:cs="宋体"/>
                <w:sz w:val="24"/>
                <w:szCs w:val="20"/>
              </w:rPr>
              <w:t>本项目设计上选用性能良好、运转平稳、质量可靠低噪声设备，</w:t>
            </w:r>
            <w:r>
              <w:rPr>
                <w:rFonts w:hint="eastAsia" w:ascii="Times New Roman" w:hAnsi="Times New Roman" w:eastAsia="宋体" w:cs="宋体"/>
                <w:sz w:val="24"/>
                <w:szCs w:val="20"/>
              </w:rPr>
              <w:t>新增</w:t>
            </w:r>
            <w:r>
              <w:rPr>
                <w:rFonts w:ascii="Times New Roman" w:hAnsi="Times New Roman" w:eastAsia="宋体" w:cs="宋体"/>
                <w:sz w:val="24"/>
                <w:szCs w:val="20"/>
              </w:rPr>
              <w:t>设备均布置在车间内，并对设备采取隔声、减振</w:t>
            </w:r>
            <w:r>
              <w:rPr>
                <w:rFonts w:hint="eastAsia" w:ascii="Times New Roman" w:hAnsi="Times New Roman" w:eastAsia="宋体" w:cs="宋体"/>
                <w:sz w:val="24"/>
                <w:szCs w:val="20"/>
              </w:rPr>
              <w:t>以及距离衰减</w:t>
            </w:r>
            <w:r>
              <w:rPr>
                <w:rFonts w:ascii="Times New Roman" w:hAnsi="Times New Roman" w:eastAsia="宋体" w:cs="宋体"/>
                <w:sz w:val="24"/>
                <w:szCs w:val="20"/>
              </w:rPr>
              <w:t>等措施。项目采用钢结构车间，在设备基础上</w:t>
            </w:r>
            <w:r>
              <w:rPr>
                <w:rFonts w:hint="eastAsia" w:ascii="Times New Roman" w:hAnsi="Times New Roman" w:eastAsia="宋体" w:cs="宋体"/>
                <w:sz w:val="24"/>
                <w:szCs w:val="20"/>
              </w:rPr>
              <w:t>增加有</w:t>
            </w:r>
            <w:r>
              <w:rPr>
                <w:rFonts w:ascii="Times New Roman" w:hAnsi="Times New Roman" w:eastAsia="宋体" w:cs="宋体"/>
                <w:sz w:val="24"/>
                <w:szCs w:val="20"/>
              </w:rPr>
              <w:t>减振垫等，保证各种机加工设备处于正常工况，杜绝因设备不正常运行而产生高噪声现象。要求建设单位采取这些措施后，使设备的噪声降低2</w:t>
            </w:r>
            <w:r>
              <w:rPr>
                <w:rFonts w:hint="eastAsia" w:ascii="Times New Roman" w:hAnsi="Times New Roman" w:eastAsia="宋体" w:cs="宋体"/>
                <w:sz w:val="24"/>
                <w:szCs w:val="20"/>
              </w:rPr>
              <w:t>0</w:t>
            </w:r>
            <w:r>
              <w:rPr>
                <w:rFonts w:ascii="Times New Roman" w:hAnsi="Times New Roman" w:eastAsia="宋体" w:cs="宋体"/>
                <w:sz w:val="24"/>
                <w:szCs w:val="20"/>
              </w:rPr>
              <w:t>dB（A）以上</w:t>
            </w:r>
            <w:r>
              <w:rPr>
                <w:rFonts w:hint="eastAsia" w:cs="宋体"/>
                <w:sz w:val="24"/>
                <w:szCs w:val="20"/>
                <w:lang w:eastAsia="zh-CN"/>
              </w:rPr>
              <w:t>。</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sz w:val="24"/>
                <w:szCs w:val="24"/>
              </w:rPr>
            </w:pPr>
            <w:r>
              <w:rPr>
                <w:sz w:val="24"/>
                <w:szCs w:val="24"/>
              </w:rPr>
              <w:t>本次环评选用噪声预测模式采用点源衰减模式，预测模式如下：</w:t>
            </w:r>
          </w:p>
          <w:p>
            <w:pPr>
              <w:keepNext w:val="0"/>
              <w:keepLines w:val="0"/>
              <w:pageBreakBefore w:val="0"/>
              <w:widowControl w:val="0"/>
              <w:kinsoku/>
              <w:wordWrap/>
              <w:overflowPunct/>
              <w:topLinePunct w:val="0"/>
              <w:autoSpaceDE/>
              <w:autoSpaceDN/>
              <w:bidi w:val="0"/>
              <w:adjustRightInd/>
              <w:spacing w:line="360" w:lineRule="auto"/>
              <w:ind w:firstLine="480" w:firstLineChars="200"/>
              <w:jc w:val="center"/>
              <w:textAlignment w:val="auto"/>
              <w:rPr>
                <w:sz w:val="24"/>
                <w:szCs w:val="24"/>
              </w:rPr>
            </w:pPr>
            <w:r>
              <w:rPr>
                <w:sz w:val="24"/>
                <w:szCs w:val="24"/>
              </w:rPr>
              <w:fldChar w:fldCharType="begin"/>
            </w:r>
            <w:r>
              <w:rPr>
                <w:sz w:val="24"/>
                <w:szCs w:val="24"/>
              </w:rPr>
              <w:instrText xml:space="preserve"> INCLUDEPICTURE "../AppData/Local/Temp/ksohtml/wps5A54.tmp.png" \* MERGEFORMAT </w:instrText>
            </w:r>
            <w:r>
              <w:rPr>
                <w:sz w:val="24"/>
                <w:szCs w:val="24"/>
              </w:rPr>
              <w:fldChar w:fldCharType="separate"/>
            </w:r>
            <w:r>
              <w:rPr>
                <w:sz w:val="24"/>
                <w:szCs w:val="24"/>
              </w:rPr>
              <w:drawing>
                <wp:inline distT="0" distB="0" distL="114300" distR="114300">
                  <wp:extent cx="1741805" cy="408940"/>
                  <wp:effectExtent l="0" t="0" r="10795" b="10795"/>
                  <wp:docPr id="1" name="图片 1" descr="wps5A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wps5A54"/>
                          <pic:cNvPicPr>
                            <a:picLocks noChangeAspect="1"/>
                          </pic:cNvPicPr>
                        </pic:nvPicPr>
                        <pic:blipFill>
                          <a:blip r:embed="rId18"/>
                          <a:stretch>
                            <a:fillRect/>
                          </a:stretch>
                        </pic:blipFill>
                        <pic:spPr>
                          <a:xfrm>
                            <a:off x="0" y="0"/>
                            <a:ext cx="1741805" cy="408940"/>
                          </a:xfrm>
                          <a:prstGeom prst="rect">
                            <a:avLst/>
                          </a:prstGeom>
                          <a:noFill/>
                          <a:ln>
                            <a:noFill/>
                          </a:ln>
                        </pic:spPr>
                      </pic:pic>
                    </a:graphicData>
                  </a:graphic>
                </wp:inline>
              </w:drawing>
            </w:r>
            <w:r>
              <w:rPr>
                <w:sz w:val="24"/>
                <w:szCs w:val="24"/>
              </w:rPr>
              <w:fldChar w:fldCharType="end"/>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sz w:val="24"/>
                <w:szCs w:val="24"/>
              </w:rPr>
            </w:pPr>
            <w:r>
              <w:rPr>
                <w:sz w:val="24"/>
                <w:szCs w:val="24"/>
              </w:rPr>
              <w:t>多声源合成模式：</w:t>
            </w:r>
          </w:p>
          <w:p>
            <w:pPr>
              <w:keepNext w:val="0"/>
              <w:keepLines w:val="0"/>
              <w:pageBreakBefore w:val="0"/>
              <w:widowControl w:val="0"/>
              <w:kinsoku/>
              <w:wordWrap/>
              <w:overflowPunct/>
              <w:topLinePunct w:val="0"/>
              <w:autoSpaceDE/>
              <w:autoSpaceDN/>
              <w:bidi w:val="0"/>
              <w:adjustRightInd/>
              <w:spacing w:line="360" w:lineRule="auto"/>
              <w:ind w:firstLine="480" w:firstLineChars="200"/>
              <w:jc w:val="center"/>
              <w:textAlignment w:val="auto"/>
              <w:rPr>
                <w:sz w:val="24"/>
                <w:szCs w:val="24"/>
              </w:rPr>
            </w:pPr>
            <w:r>
              <w:rPr>
                <w:sz w:val="24"/>
                <w:szCs w:val="24"/>
              </w:rPr>
              <w:fldChar w:fldCharType="begin"/>
            </w:r>
            <w:r>
              <w:rPr>
                <w:sz w:val="24"/>
                <w:szCs w:val="24"/>
              </w:rPr>
              <w:instrText xml:space="preserve"> INCLUDEPICTURE "../AppData/Local/Temp/ksohtml/wps5A55.tmp.png" \* MERGEFORMAT </w:instrText>
            </w:r>
            <w:r>
              <w:rPr>
                <w:sz w:val="24"/>
                <w:szCs w:val="24"/>
              </w:rPr>
              <w:fldChar w:fldCharType="separate"/>
            </w:r>
            <w:r>
              <w:rPr>
                <w:sz w:val="24"/>
                <w:szCs w:val="24"/>
              </w:rPr>
              <w:drawing>
                <wp:inline distT="0" distB="0" distL="114300" distR="114300">
                  <wp:extent cx="1514475" cy="438785"/>
                  <wp:effectExtent l="0" t="0" r="0" b="18415"/>
                  <wp:docPr id="3" name="图片 2" descr="wps5A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wps5A55"/>
                          <pic:cNvPicPr>
                            <a:picLocks noChangeAspect="1"/>
                          </pic:cNvPicPr>
                        </pic:nvPicPr>
                        <pic:blipFill>
                          <a:blip r:embed="rId19"/>
                          <a:stretch>
                            <a:fillRect/>
                          </a:stretch>
                        </pic:blipFill>
                        <pic:spPr>
                          <a:xfrm>
                            <a:off x="0" y="0"/>
                            <a:ext cx="1514475" cy="438785"/>
                          </a:xfrm>
                          <a:prstGeom prst="rect">
                            <a:avLst/>
                          </a:prstGeom>
                          <a:noFill/>
                          <a:ln>
                            <a:noFill/>
                          </a:ln>
                        </pic:spPr>
                      </pic:pic>
                    </a:graphicData>
                  </a:graphic>
                </wp:inline>
              </w:drawing>
            </w:r>
            <w:r>
              <w:rPr>
                <w:sz w:val="24"/>
                <w:szCs w:val="24"/>
              </w:rPr>
              <w:fldChar w:fldCharType="end"/>
            </w:r>
            <w:r>
              <w:rPr>
                <w:sz w:val="24"/>
                <w:szCs w:val="24"/>
              </w:rPr>
              <w:t>）</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sz w:val="24"/>
                <w:szCs w:val="24"/>
              </w:rPr>
            </w:pPr>
            <w:r>
              <w:rPr>
                <w:sz w:val="24"/>
                <w:szCs w:val="24"/>
              </w:rPr>
              <w:t>式中：LA（r）----距声源r处的A声级，dB（A）；</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sz w:val="24"/>
                <w:szCs w:val="24"/>
              </w:rPr>
            </w:pPr>
            <w:r>
              <w:rPr>
                <w:sz w:val="24"/>
                <w:szCs w:val="24"/>
              </w:rPr>
              <w:t xml:space="preserve">      LA（r0）----距声源r0处的A声级，dB（A）；</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sz w:val="24"/>
                <w:szCs w:val="24"/>
              </w:rPr>
            </w:pPr>
            <w:r>
              <w:rPr>
                <w:sz w:val="24"/>
                <w:szCs w:val="24"/>
              </w:rPr>
              <w:t xml:space="preserve">      r----预测点距离声源的距离，m；</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sz w:val="24"/>
                <w:szCs w:val="24"/>
              </w:rPr>
            </w:pPr>
            <w:r>
              <w:rPr>
                <w:sz w:val="24"/>
                <w:szCs w:val="24"/>
              </w:rPr>
              <w:t xml:space="preserve">      r0----距声源的参照距离，m，r0=1m；</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sz w:val="24"/>
                <w:szCs w:val="24"/>
              </w:rPr>
            </w:pPr>
            <w:r>
              <w:rPr>
                <w:sz w:val="24"/>
                <w:szCs w:val="24"/>
              </w:rPr>
              <w:t xml:space="preserve">      Leqi----第i个声源对某预测点的等效声级。</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sz w:val="24"/>
                <w:szCs w:val="24"/>
              </w:rPr>
            </w:pPr>
            <w:r>
              <w:rPr>
                <w:sz w:val="24"/>
                <w:szCs w:val="24"/>
              </w:rPr>
              <w:t>项目夜间不生产，因此本评价只预测昼间设备造成对各厂界</w:t>
            </w:r>
            <w:r>
              <w:rPr>
                <w:rFonts w:hint="eastAsia"/>
                <w:sz w:val="24"/>
                <w:szCs w:val="24"/>
              </w:rPr>
              <w:t>和2</w:t>
            </w:r>
            <w:r>
              <w:rPr>
                <w:sz w:val="24"/>
                <w:szCs w:val="24"/>
              </w:rPr>
              <w:t>00m</w:t>
            </w:r>
            <w:r>
              <w:rPr>
                <w:rFonts w:hint="eastAsia"/>
                <w:sz w:val="24"/>
                <w:szCs w:val="24"/>
              </w:rPr>
              <w:t>范围内的噪声敏感点</w:t>
            </w:r>
            <w:r>
              <w:rPr>
                <w:sz w:val="24"/>
                <w:szCs w:val="24"/>
              </w:rPr>
              <w:t>的影响。</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sz w:val="24"/>
                <w:szCs w:val="24"/>
                <w:lang w:val="en-US" w:eastAsia="zh-CN"/>
              </w:rPr>
            </w:pPr>
            <w:r>
              <w:rPr>
                <w:sz w:val="24"/>
                <w:szCs w:val="24"/>
              </w:rPr>
              <w:t>本项目设备</w:t>
            </w:r>
            <w:r>
              <w:rPr>
                <w:rFonts w:hint="eastAsia"/>
                <w:sz w:val="24"/>
                <w:szCs w:val="24"/>
                <w:lang w:eastAsia="zh-CN"/>
              </w:rPr>
              <w:t>均匀布置在</w:t>
            </w:r>
            <w:r>
              <w:rPr>
                <w:sz w:val="24"/>
                <w:szCs w:val="24"/>
              </w:rPr>
              <w:t>生产车间内，本次评价将车间内设备噪声叠加后按照点声源来评价，叠加后噪声源强为</w:t>
            </w:r>
            <w:r>
              <w:rPr>
                <w:rFonts w:hint="eastAsia"/>
                <w:sz w:val="24"/>
                <w:szCs w:val="24"/>
                <w:lang w:val="en-US" w:eastAsia="zh-CN"/>
              </w:rPr>
              <w:t>79.48</w:t>
            </w:r>
            <w:r>
              <w:rPr>
                <w:sz w:val="24"/>
                <w:szCs w:val="24"/>
              </w:rPr>
              <w:t>dB(A)</w:t>
            </w:r>
            <w:r>
              <w:rPr>
                <w:rFonts w:hint="eastAsia"/>
                <w:sz w:val="24"/>
                <w:szCs w:val="24"/>
                <w:lang w:eastAsia="zh-CN"/>
              </w:rPr>
              <w:t>。张庄背景值参考企业</w:t>
            </w:r>
            <w:r>
              <w:rPr>
                <w:rFonts w:hint="eastAsia" w:cs="Times New Roman"/>
                <w:bCs/>
                <w:sz w:val="24"/>
                <w:szCs w:val="24"/>
                <w:lang w:eastAsia="zh-CN"/>
              </w:rPr>
              <w:t>委托漯河市宏安检测评价服务有限公司</w:t>
            </w:r>
            <w:r>
              <w:rPr>
                <w:rFonts w:hint="eastAsia" w:cs="Times New Roman"/>
                <w:bCs/>
                <w:sz w:val="24"/>
                <w:szCs w:val="24"/>
                <w:lang w:val="en-US" w:eastAsia="zh-CN"/>
              </w:rPr>
              <w:t>2020年11月20~21日监测数据</w:t>
            </w:r>
            <w:r>
              <w:rPr>
                <w:rFonts w:hint="eastAsia"/>
                <w:sz w:val="24"/>
                <w:szCs w:val="24"/>
                <w:lang w:eastAsia="zh-CN"/>
              </w:rPr>
              <w:t>，</w:t>
            </w:r>
            <w:r>
              <w:rPr>
                <w:sz w:val="24"/>
                <w:szCs w:val="24"/>
              </w:rPr>
              <w:t>本项目建成后厂界</w:t>
            </w:r>
            <w:r>
              <w:rPr>
                <w:rFonts w:hint="eastAsia"/>
                <w:sz w:val="24"/>
                <w:szCs w:val="24"/>
                <w:lang w:eastAsia="zh-CN"/>
              </w:rPr>
              <w:t>及敏感点噪声</w:t>
            </w:r>
            <w:r>
              <w:rPr>
                <w:sz w:val="24"/>
                <w:szCs w:val="24"/>
              </w:rPr>
              <w:t>预测结果见表</w:t>
            </w:r>
            <w:r>
              <w:rPr>
                <w:rFonts w:hint="eastAsia"/>
                <w:sz w:val="24"/>
                <w:szCs w:val="24"/>
                <w:lang w:val="en-US" w:eastAsia="zh-CN"/>
              </w:rPr>
              <w:t>31。</w:t>
            </w:r>
          </w:p>
          <w:p>
            <w:pPr>
              <w:pStyle w:val="7"/>
              <w:spacing w:beforeLines="50"/>
              <w:jc w:val="center"/>
              <w:rPr>
                <w:rFonts w:hint="eastAsia" w:ascii="Times New Roman" w:hAnsi="宋体" w:cs="Times New Roman"/>
                <w:b/>
                <w:bCs w:val="0"/>
                <w:sz w:val="24"/>
                <w:szCs w:val="24"/>
                <w:lang w:val="zh-CN" w:eastAsia="zh-CN"/>
              </w:rPr>
            </w:pPr>
            <w:r>
              <w:rPr>
                <w:rFonts w:hint="eastAsia" w:ascii="Times New Roman" w:hAnsi="宋体" w:cs="Times New Roman"/>
                <w:b/>
                <w:bCs w:val="0"/>
                <w:sz w:val="24"/>
                <w:szCs w:val="24"/>
                <w:lang w:val="zh-CN" w:eastAsia="zh-CN"/>
              </w:rPr>
              <w:t>表</w:t>
            </w:r>
            <w:r>
              <w:rPr>
                <w:rFonts w:hint="eastAsia" w:ascii="Times New Roman" w:hAnsi="宋体" w:cs="Times New Roman"/>
                <w:b/>
                <w:bCs w:val="0"/>
                <w:sz w:val="24"/>
                <w:szCs w:val="24"/>
                <w:lang w:val="en-US" w:eastAsia="zh-CN"/>
              </w:rPr>
              <w:t>3</w:t>
            </w:r>
            <w:r>
              <w:rPr>
                <w:rFonts w:hint="eastAsia" w:hAnsi="宋体" w:cs="Times New Roman"/>
                <w:b/>
                <w:bCs w:val="0"/>
                <w:sz w:val="24"/>
                <w:szCs w:val="24"/>
                <w:lang w:val="en-US" w:eastAsia="zh-CN"/>
              </w:rPr>
              <w:t>1</w:t>
            </w:r>
            <w:r>
              <w:rPr>
                <w:rFonts w:hint="eastAsia" w:ascii="Times New Roman" w:hAnsi="宋体" w:cs="Times New Roman"/>
                <w:b/>
                <w:bCs w:val="0"/>
                <w:sz w:val="24"/>
                <w:szCs w:val="24"/>
                <w:lang w:val="zh-CN" w:eastAsia="zh-CN"/>
              </w:rPr>
              <w:t xml:space="preserve"> </w:t>
            </w:r>
            <w:r>
              <w:rPr>
                <w:rFonts w:hint="eastAsia" w:ascii="Times New Roman" w:hAnsi="宋体" w:cs="Times New Roman"/>
                <w:b/>
                <w:bCs w:val="0"/>
                <w:sz w:val="24"/>
                <w:szCs w:val="24"/>
                <w:lang w:val="en-US" w:eastAsia="zh-CN"/>
              </w:rPr>
              <w:t xml:space="preserve"> </w:t>
            </w:r>
            <w:r>
              <w:rPr>
                <w:rFonts w:hint="eastAsia" w:ascii="Times New Roman" w:hAnsi="宋体" w:cs="Times New Roman"/>
                <w:b/>
                <w:bCs w:val="0"/>
                <w:sz w:val="24"/>
                <w:szCs w:val="24"/>
                <w:lang w:val="zh-CN" w:eastAsia="zh-CN"/>
              </w:rPr>
              <w:t>声环境预测结果统计分析  单位：dB(A)</w:t>
            </w:r>
          </w:p>
          <w:tbl>
            <w:tblPr>
              <w:tblStyle w:val="23"/>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58"/>
              <w:gridCol w:w="1209"/>
              <w:gridCol w:w="769"/>
              <w:gridCol w:w="1052"/>
              <w:gridCol w:w="949"/>
              <w:gridCol w:w="931"/>
              <w:gridCol w:w="876"/>
              <w:gridCol w:w="1200"/>
              <w:gridCol w:w="112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94" w:type="pct"/>
                  <w:gridSpan w:val="2"/>
                  <w:vMerge w:val="restart"/>
                  <w:noWrap w:val="0"/>
                  <w:vAlign w:val="center"/>
                </w:tcPr>
                <w:p>
                  <w:pPr>
                    <w:jc w:val="center"/>
                    <w:rPr>
                      <w:sz w:val="21"/>
                      <w:szCs w:val="21"/>
                      <w:lang w:val="en-US" w:eastAsia="zh-CN"/>
                    </w:rPr>
                  </w:pPr>
                  <w:r>
                    <w:rPr>
                      <w:sz w:val="21"/>
                      <w:szCs w:val="21"/>
                      <w:lang w:val="en-US" w:eastAsia="zh-CN"/>
                    </w:rPr>
                    <w:t>项目</w:t>
                  </w:r>
                </w:p>
              </w:tc>
              <w:tc>
                <w:tcPr>
                  <w:tcW w:w="424" w:type="pct"/>
                  <w:vMerge w:val="restart"/>
                  <w:noWrap w:val="0"/>
                  <w:vAlign w:val="center"/>
                </w:tcPr>
                <w:p>
                  <w:pPr>
                    <w:jc w:val="center"/>
                    <w:rPr>
                      <w:sz w:val="21"/>
                      <w:szCs w:val="21"/>
                      <w:lang w:val="en-US" w:eastAsia="zh-CN"/>
                    </w:rPr>
                  </w:pPr>
                  <w:r>
                    <w:rPr>
                      <w:sz w:val="21"/>
                      <w:szCs w:val="21"/>
                      <w:lang w:val="en-US" w:eastAsia="zh-CN"/>
                    </w:rPr>
                    <w:t>源强</w:t>
                  </w:r>
                </w:p>
              </w:tc>
              <w:tc>
                <w:tcPr>
                  <w:tcW w:w="580" w:type="pct"/>
                  <w:vMerge w:val="restart"/>
                  <w:noWrap w:val="0"/>
                  <w:vAlign w:val="center"/>
                </w:tcPr>
                <w:p>
                  <w:pPr>
                    <w:jc w:val="center"/>
                    <w:rPr>
                      <w:sz w:val="21"/>
                      <w:szCs w:val="21"/>
                      <w:lang w:val="en-US" w:eastAsia="zh-CN"/>
                    </w:rPr>
                  </w:pPr>
                  <w:r>
                    <w:rPr>
                      <w:sz w:val="21"/>
                      <w:szCs w:val="21"/>
                      <w:lang w:val="en-US" w:eastAsia="zh-CN"/>
                    </w:rPr>
                    <w:t>距离（m）</w:t>
                  </w:r>
                </w:p>
              </w:tc>
              <w:tc>
                <w:tcPr>
                  <w:tcW w:w="523" w:type="pct"/>
                  <w:vMerge w:val="restart"/>
                  <w:noWrap w:val="0"/>
                  <w:vAlign w:val="center"/>
                </w:tcPr>
                <w:p>
                  <w:pPr>
                    <w:jc w:val="center"/>
                    <w:rPr>
                      <w:sz w:val="21"/>
                      <w:szCs w:val="21"/>
                      <w:lang w:val="en-US" w:eastAsia="zh-CN"/>
                    </w:rPr>
                  </w:pPr>
                  <w:r>
                    <w:rPr>
                      <w:sz w:val="21"/>
                      <w:szCs w:val="21"/>
                      <w:lang w:val="en-US" w:eastAsia="zh-CN"/>
                    </w:rPr>
                    <w:t>贡献值</w:t>
                  </w:r>
                </w:p>
              </w:tc>
              <w:tc>
                <w:tcPr>
                  <w:tcW w:w="513" w:type="pct"/>
                  <w:vMerge w:val="restart"/>
                  <w:noWrap w:val="0"/>
                  <w:vAlign w:val="center"/>
                </w:tcPr>
                <w:p>
                  <w:pPr>
                    <w:jc w:val="center"/>
                    <w:rPr>
                      <w:rFonts w:hint="eastAsia"/>
                      <w:sz w:val="21"/>
                      <w:szCs w:val="21"/>
                      <w:lang w:val="en-US" w:eastAsia="zh-CN"/>
                    </w:rPr>
                  </w:pPr>
                  <w:r>
                    <w:rPr>
                      <w:rFonts w:hint="eastAsia"/>
                      <w:sz w:val="21"/>
                      <w:szCs w:val="21"/>
                      <w:lang w:val="en-US" w:eastAsia="zh-CN"/>
                    </w:rPr>
                    <w:t>背景值</w:t>
                  </w:r>
                </w:p>
              </w:tc>
              <w:tc>
                <w:tcPr>
                  <w:tcW w:w="483" w:type="pct"/>
                  <w:vMerge w:val="restart"/>
                  <w:noWrap w:val="0"/>
                  <w:vAlign w:val="center"/>
                </w:tcPr>
                <w:p>
                  <w:pPr>
                    <w:jc w:val="center"/>
                    <w:rPr>
                      <w:rFonts w:hint="eastAsia"/>
                      <w:sz w:val="21"/>
                      <w:szCs w:val="21"/>
                      <w:lang w:val="en-US" w:eastAsia="zh-CN"/>
                    </w:rPr>
                  </w:pPr>
                  <w:r>
                    <w:rPr>
                      <w:rFonts w:hint="eastAsia"/>
                      <w:sz w:val="21"/>
                      <w:szCs w:val="21"/>
                      <w:lang w:val="en-US" w:eastAsia="zh-CN"/>
                    </w:rPr>
                    <w:t>叠加值</w:t>
                  </w:r>
                </w:p>
              </w:tc>
              <w:tc>
                <w:tcPr>
                  <w:tcW w:w="661" w:type="pct"/>
                  <w:noWrap w:val="0"/>
                  <w:vAlign w:val="center"/>
                </w:tcPr>
                <w:p>
                  <w:pPr>
                    <w:jc w:val="center"/>
                    <w:rPr>
                      <w:sz w:val="21"/>
                      <w:szCs w:val="21"/>
                      <w:lang w:val="en-US" w:eastAsia="zh-CN"/>
                    </w:rPr>
                  </w:pPr>
                  <w:r>
                    <w:rPr>
                      <w:sz w:val="21"/>
                      <w:szCs w:val="21"/>
                      <w:lang w:val="en-US" w:eastAsia="zh-CN"/>
                    </w:rPr>
                    <w:t>标准值</w:t>
                  </w:r>
                </w:p>
              </w:tc>
              <w:tc>
                <w:tcPr>
                  <w:tcW w:w="618" w:type="pct"/>
                  <w:vMerge w:val="restart"/>
                  <w:noWrap w:val="0"/>
                  <w:vAlign w:val="center"/>
                </w:tcPr>
                <w:p>
                  <w:pPr>
                    <w:jc w:val="center"/>
                    <w:rPr>
                      <w:sz w:val="21"/>
                      <w:szCs w:val="21"/>
                      <w:lang w:val="en-US" w:eastAsia="zh-CN"/>
                    </w:rPr>
                  </w:pPr>
                  <w:r>
                    <w:rPr>
                      <w:sz w:val="21"/>
                      <w:szCs w:val="21"/>
                      <w:lang w:val="en-US" w:eastAsia="zh-CN"/>
                    </w:rPr>
                    <w:t>达标状况</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94" w:type="pct"/>
                  <w:gridSpan w:val="2"/>
                  <w:vMerge w:val="continue"/>
                  <w:noWrap w:val="0"/>
                  <w:vAlign w:val="center"/>
                </w:tcPr>
                <w:p>
                  <w:pPr>
                    <w:jc w:val="center"/>
                    <w:rPr>
                      <w:sz w:val="21"/>
                      <w:szCs w:val="21"/>
                      <w:lang w:val="en-US" w:eastAsia="zh-CN"/>
                    </w:rPr>
                  </w:pPr>
                </w:p>
              </w:tc>
              <w:tc>
                <w:tcPr>
                  <w:tcW w:w="424" w:type="pct"/>
                  <w:vMerge w:val="continue"/>
                  <w:noWrap w:val="0"/>
                  <w:vAlign w:val="center"/>
                </w:tcPr>
                <w:p>
                  <w:pPr>
                    <w:jc w:val="center"/>
                    <w:rPr>
                      <w:sz w:val="21"/>
                      <w:szCs w:val="21"/>
                      <w:lang w:val="en-US" w:eastAsia="zh-CN"/>
                    </w:rPr>
                  </w:pPr>
                </w:p>
              </w:tc>
              <w:tc>
                <w:tcPr>
                  <w:tcW w:w="580" w:type="pct"/>
                  <w:vMerge w:val="continue"/>
                  <w:noWrap w:val="0"/>
                  <w:vAlign w:val="center"/>
                </w:tcPr>
                <w:p>
                  <w:pPr>
                    <w:jc w:val="center"/>
                    <w:rPr>
                      <w:sz w:val="21"/>
                      <w:szCs w:val="21"/>
                      <w:lang w:val="en-US" w:eastAsia="zh-CN"/>
                    </w:rPr>
                  </w:pPr>
                </w:p>
              </w:tc>
              <w:tc>
                <w:tcPr>
                  <w:tcW w:w="523" w:type="pct"/>
                  <w:vMerge w:val="continue"/>
                  <w:noWrap w:val="0"/>
                  <w:vAlign w:val="center"/>
                </w:tcPr>
                <w:p>
                  <w:pPr>
                    <w:jc w:val="center"/>
                    <w:rPr>
                      <w:sz w:val="21"/>
                      <w:szCs w:val="21"/>
                      <w:lang w:val="en-US" w:eastAsia="zh-CN"/>
                    </w:rPr>
                  </w:pPr>
                </w:p>
              </w:tc>
              <w:tc>
                <w:tcPr>
                  <w:tcW w:w="513" w:type="pct"/>
                  <w:vMerge w:val="continue"/>
                  <w:noWrap w:val="0"/>
                  <w:vAlign w:val="center"/>
                </w:tcPr>
                <w:p>
                  <w:pPr>
                    <w:jc w:val="center"/>
                    <w:rPr>
                      <w:sz w:val="21"/>
                      <w:szCs w:val="21"/>
                      <w:lang w:val="en-US" w:eastAsia="zh-CN"/>
                    </w:rPr>
                  </w:pPr>
                </w:p>
              </w:tc>
              <w:tc>
                <w:tcPr>
                  <w:tcW w:w="483" w:type="pct"/>
                  <w:vMerge w:val="continue"/>
                  <w:noWrap w:val="0"/>
                  <w:vAlign w:val="center"/>
                </w:tcPr>
                <w:p>
                  <w:pPr>
                    <w:jc w:val="center"/>
                    <w:rPr>
                      <w:sz w:val="21"/>
                      <w:szCs w:val="21"/>
                      <w:lang w:val="en-US" w:eastAsia="zh-CN"/>
                    </w:rPr>
                  </w:pPr>
                </w:p>
              </w:tc>
              <w:tc>
                <w:tcPr>
                  <w:tcW w:w="661" w:type="pct"/>
                  <w:noWrap w:val="0"/>
                  <w:vAlign w:val="center"/>
                </w:tcPr>
                <w:p>
                  <w:pPr>
                    <w:jc w:val="center"/>
                    <w:rPr>
                      <w:sz w:val="21"/>
                      <w:szCs w:val="21"/>
                      <w:lang w:val="en-US" w:eastAsia="zh-CN"/>
                    </w:rPr>
                  </w:pPr>
                  <w:r>
                    <w:rPr>
                      <w:sz w:val="21"/>
                      <w:szCs w:val="21"/>
                      <w:lang w:val="en-US" w:eastAsia="zh-CN"/>
                    </w:rPr>
                    <w:t>昼间</w:t>
                  </w:r>
                </w:p>
              </w:tc>
              <w:tc>
                <w:tcPr>
                  <w:tcW w:w="618" w:type="pct"/>
                  <w:vMerge w:val="continue"/>
                  <w:noWrap w:val="0"/>
                  <w:vAlign w:val="center"/>
                </w:tcPr>
                <w:p>
                  <w:pPr>
                    <w:jc w:val="center"/>
                    <w:rPr>
                      <w:sz w:val="21"/>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28" w:type="pct"/>
                  <w:vMerge w:val="restart"/>
                  <w:noWrap w:val="0"/>
                  <w:vAlign w:val="center"/>
                </w:tcPr>
                <w:p>
                  <w:pPr>
                    <w:jc w:val="center"/>
                    <w:rPr>
                      <w:sz w:val="21"/>
                      <w:szCs w:val="21"/>
                      <w:lang w:val="en-US" w:eastAsia="zh-CN"/>
                    </w:rPr>
                  </w:pPr>
                  <w:r>
                    <w:rPr>
                      <w:sz w:val="21"/>
                      <w:szCs w:val="21"/>
                      <w:lang w:val="en-US" w:eastAsia="zh-CN"/>
                    </w:rPr>
                    <w:t>厂界</w:t>
                  </w:r>
                </w:p>
              </w:tc>
              <w:tc>
                <w:tcPr>
                  <w:tcW w:w="666" w:type="pct"/>
                  <w:noWrap w:val="0"/>
                  <w:vAlign w:val="center"/>
                </w:tcPr>
                <w:p>
                  <w:pPr>
                    <w:jc w:val="center"/>
                    <w:rPr>
                      <w:sz w:val="21"/>
                      <w:szCs w:val="21"/>
                      <w:lang w:val="en-US" w:eastAsia="zh-CN"/>
                    </w:rPr>
                  </w:pPr>
                  <w:r>
                    <w:rPr>
                      <w:sz w:val="21"/>
                      <w:szCs w:val="21"/>
                      <w:lang w:val="en-US" w:eastAsia="zh-CN"/>
                    </w:rPr>
                    <w:t>东厂界</w:t>
                  </w:r>
                </w:p>
              </w:tc>
              <w:tc>
                <w:tcPr>
                  <w:tcW w:w="424" w:type="pct"/>
                  <w:noWrap w:val="0"/>
                  <w:vAlign w:val="center"/>
                </w:tcPr>
                <w:p>
                  <w:pPr>
                    <w:jc w:val="center"/>
                    <w:rPr>
                      <w:rFonts w:hint="default"/>
                      <w:sz w:val="21"/>
                      <w:szCs w:val="21"/>
                      <w:lang w:val="en-US" w:eastAsia="zh-CN"/>
                    </w:rPr>
                  </w:pPr>
                  <w:r>
                    <w:rPr>
                      <w:rFonts w:hint="eastAsia"/>
                      <w:sz w:val="21"/>
                      <w:szCs w:val="21"/>
                      <w:lang w:val="en-US" w:eastAsia="zh-CN"/>
                    </w:rPr>
                    <w:t>79.48</w:t>
                  </w:r>
                </w:p>
              </w:tc>
              <w:tc>
                <w:tcPr>
                  <w:tcW w:w="580" w:type="pct"/>
                  <w:noWrap w:val="0"/>
                  <w:vAlign w:val="center"/>
                </w:tcPr>
                <w:p>
                  <w:pPr>
                    <w:widowControl/>
                    <w:spacing w:line="240" w:lineRule="exact"/>
                    <w:jc w:val="center"/>
                    <w:rPr>
                      <w:rFonts w:hint="default"/>
                      <w:sz w:val="21"/>
                      <w:szCs w:val="21"/>
                      <w:lang w:val="en-US" w:eastAsia="zh-CN"/>
                    </w:rPr>
                  </w:pPr>
                  <w:r>
                    <w:rPr>
                      <w:rFonts w:hint="eastAsia"/>
                      <w:sz w:val="21"/>
                      <w:szCs w:val="21"/>
                      <w:lang w:val="en-US" w:eastAsia="zh-CN"/>
                    </w:rPr>
                    <w:t>20</w:t>
                  </w:r>
                </w:p>
              </w:tc>
              <w:tc>
                <w:tcPr>
                  <w:tcW w:w="523" w:type="pct"/>
                  <w:noWrap w:val="0"/>
                  <w:vAlign w:val="center"/>
                </w:tcPr>
                <w:p>
                  <w:pPr>
                    <w:jc w:val="center"/>
                    <w:rPr>
                      <w:rFonts w:hint="default"/>
                      <w:sz w:val="21"/>
                      <w:szCs w:val="21"/>
                      <w:lang w:val="en-US" w:eastAsia="zh-CN"/>
                    </w:rPr>
                  </w:pPr>
                  <w:r>
                    <w:rPr>
                      <w:rFonts w:hint="eastAsia"/>
                      <w:sz w:val="21"/>
                      <w:szCs w:val="21"/>
                      <w:lang w:val="en-US" w:eastAsia="zh-CN"/>
                    </w:rPr>
                    <w:t>53.46</w:t>
                  </w:r>
                </w:p>
              </w:tc>
              <w:tc>
                <w:tcPr>
                  <w:tcW w:w="513" w:type="pct"/>
                  <w:noWrap w:val="0"/>
                  <w:vAlign w:val="center"/>
                </w:tcPr>
                <w:p>
                  <w:pPr>
                    <w:jc w:val="center"/>
                    <w:rPr>
                      <w:rFonts w:hint="eastAsia"/>
                      <w:sz w:val="21"/>
                      <w:szCs w:val="21"/>
                      <w:lang w:val="en-US" w:eastAsia="zh-CN"/>
                    </w:rPr>
                  </w:pPr>
                  <w:r>
                    <w:rPr>
                      <w:rFonts w:hint="eastAsia"/>
                      <w:sz w:val="21"/>
                      <w:szCs w:val="21"/>
                      <w:lang w:val="en-US" w:eastAsia="zh-CN"/>
                    </w:rPr>
                    <w:t>/</w:t>
                  </w:r>
                </w:p>
              </w:tc>
              <w:tc>
                <w:tcPr>
                  <w:tcW w:w="483" w:type="pct"/>
                  <w:noWrap w:val="0"/>
                  <w:vAlign w:val="center"/>
                </w:tcPr>
                <w:p>
                  <w:pPr>
                    <w:jc w:val="center"/>
                    <w:rPr>
                      <w:rFonts w:hint="eastAsia"/>
                      <w:sz w:val="21"/>
                      <w:szCs w:val="21"/>
                      <w:lang w:val="en-US" w:eastAsia="zh-CN"/>
                    </w:rPr>
                  </w:pPr>
                  <w:r>
                    <w:rPr>
                      <w:rFonts w:hint="eastAsia"/>
                      <w:sz w:val="21"/>
                      <w:szCs w:val="21"/>
                      <w:lang w:val="en-US" w:eastAsia="zh-CN"/>
                    </w:rPr>
                    <w:t>/</w:t>
                  </w:r>
                </w:p>
              </w:tc>
              <w:tc>
                <w:tcPr>
                  <w:tcW w:w="661" w:type="pct"/>
                  <w:noWrap w:val="0"/>
                  <w:vAlign w:val="center"/>
                </w:tcPr>
                <w:p>
                  <w:pPr>
                    <w:jc w:val="center"/>
                    <w:rPr>
                      <w:rFonts w:hint="default"/>
                      <w:sz w:val="21"/>
                      <w:szCs w:val="21"/>
                      <w:lang w:val="en-US" w:eastAsia="zh-CN"/>
                    </w:rPr>
                  </w:pPr>
                  <w:r>
                    <w:rPr>
                      <w:rFonts w:hint="eastAsia"/>
                      <w:sz w:val="21"/>
                      <w:szCs w:val="21"/>
                      <w:lang w:val="en-US" w:eastAsia="zh-CN"/>
                    </w:rPr>
                    <w:t>60</w:t>
                  </w:r>
                </w:p>
              </w:tc>
              <w:tc>
                <w:tcPr>
                  <w:tcW w:w="618" w:type="pct"/>
                  <w:noWrap w:val="0"/>
                  <w:vAlign w:val="center"/>
                </w:tcPr>
                <w:p>
                  <w:pPr>
                    <w:jc w:val="center"/>
                    <w:rPr>
                      <w:sz w:val="21"/>
                      <w:szCs w:val="21"/>
                      <w:lang w:val="en-US" w:eastAsia="zh-CN"/>
                    </w:rPr>
                  </w:pPr>
                  <w:r>
                    <w:rPr>
                      <w:sz w:val="21"/>
                      <w:szCs w:val="21"/>
                      <w:lang w:val="en-US" w:eastAsia="zh-CN"/>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528" w:type="pct"/>
                  <w:vMerge w:val="continue"/>
                  <w:noWrap w:val="0"/>
                  <w:vAlign w:val="center"/>
                </w:tcPr>
                <w:p>
                  <w:pPr>
                    <w:jc w:val="center"/>
                    <w:rPr>
                      <w:sz w:val="21"/>
                      <w:szCs w:val="21"/>
                      <w:lang w:val="en-US" w:eastAsia="zh-CN"/>
                    </w:rPr>
                  </w:pPr>
                </w:p>
              </w:tc>
              <w:tc>
                <w:tcPr>
                  <w:tcW w:w="666" w:type="pct"/>
                  <w:noWrap w:val="0"/>
                  <w:vAlign w:val="center"/>
                </w:tcPr>
                <w:p>
                  <w:pPr>
                    <w:jc w:val="center"/>
                    <w:rPr>
                      <w:sz w:val="21"/>
                      <w:szCs w:val="21"/>
                      <w:lang w:val="en-US" w:eastAsia="zh-CN"/>
                    </w:rPr>
                  </w:pPr>
                  <w:r>
                    <w:rPr>
                      <w:sz w:val="21"/>
                      <w:szCs w:val="21"/>
                      <w:lang w:val="en-US" w:eastAsia="zh-CN"/>
                    </w:rPr>
                    <w:t>西厂界</w:t>
                  </w:r>
                </w:p>
              </w:tc>
              <w:tc>
                <w:tcPr>
                  <w:tcW w:w="424" w:type="pct"/>
                  <w:noWrap w:val="0"/>
                  <w:vAlign w:val="center"/>
                </w:tcPr>
                <w:p>
                  <w:pPr>
                    <w:jc w:val="center"/>
                    <w:rPr>
                      <w:sz w:val="21"/>
                      <w:szCs w:val="21"/>
                      <w:lang w:val="en-US" w:eastAsia="zh-CN"/>
                    </w:rPr>
                  </w:pPr>
                  <w:r>
                    <w:rPr>
                      <w:rFonts w:hint="eastAsia"/>
                      <w:sz w:val="21"/>
                      <w:szCs w:val="21"/>
                      <w:lang w:val="en-US" w:eastAsia="zh-CN"/>
                    </w:rPr>
                    <w:t>79.48</w:t>
                  </w:r>
                </w:p>
              </w:tc>
              <w:tc>
                <w:tcPr>
                  <w:tcW w:w="580" w:type="pct"/>
                  <w:noWrap w:val="0"/>
                  <w:vAlign w:val="center"/>
                </w:tcPr>
                <w:p>
                  <w:pPr>
                    <w:widowControl/>
                    <w:spacing w:line="240" w:lineRule="exact"/>
                    <w:jc w:val="center"/>
                    <w:rPr>
                      <w:rFonts w:hint="default"/>
                      <w:sz w:val="21"/>
                      <w:szCs w:val="21"/>
                      <w:lang w:val="en-US" w:eastAsia="zh-CN"/>
                    </w:rPr>
                  </w:pPr>
                  <w:r>
                    <w:rPr>
                      <w:rFonts w:hint="eastAsia"/>
                      <w:sz w:val="21"/>
                      <w:szCs w:val="21"/>
                      <w:lang w:val="en-US" w:eastAsia="zh-CN"/>
                    </w:rPr>
                    <w:t>20</w:t>
                  </w:r>
                </w:p>
              </w:tc>
              <w:tc>
                <w:tcPr>
                  <w:tcW w:w="523" w:type="pct"/>
                  <w:noWrap w:val="0"/>
                  <w:vAlign w:val="center"/>
                </w:tcPr>
                <w:p>
                  <w:pPr>
                    <w:jc w:val="center"/>
                    <w:rPr>
                      <w:rFonts w:hint="default"/>
                      <w:sz w:val="21"/>
                      <w:szCs w:val="21"/>
                      <w:lang w:val="en-US" w:eastAsia="zh-CN"/>
                    </w:rPr>
                  </w:pPr>
                  <w:r>
                    <w:rPr>
                      <w:rFonts w:hint="eastAsia"/>
                      <w:sz w:val="21"/>
                      <w:szCs w:val="21"/>
                      <w:lang w:val="en-US" w:eastAsia="zh-CN"/>
                    </w:rPr>
                    <w:t>53.46</w:t>
                  </w:r>
                </w:p>
              </w:tc>
              <w:tc>
                <w:tcPr>
                  <w:tcW w:w="513" w:type="pct"/>
                  <w:noWrap w:val="0"/>
                  <w:vAlign w:val="center"/>
                </w:tcPr>
                <w:p>
                  <w:pPr>
                    <w:jc w:val="center"/>
                    <w:rPr>
                      <w:rFonts w:hint="eastAsia"/>
                      <w:sz w:val="21"/>
                      <w:szCs w:val="21"/>
                      <w:lang w:val="en-US" w:eastAsia="zh-CN"/>
                    </w:rPr>
                  </w:pPr>
                  <w:r>
                    <w:rPr>
                      <w:rFonts w:hint="eastAsia"/>
                      <w:sz w:val="21"/>
                      <w:szCs w:val="21"/>
                      <w:lang w:val="en-US" w:eastAsia="zh-CN"/>
                    </w:rPr>
                    <w:t>/</w:t>
                  </w:r>
                </w:p>
              </w:tc>
              <w:tc>
                <w:tcPr>
                  <w:tcW w:w="483" w:type="pct"/>
                  <w:noWrap w:val="0"/>
                  <w:vAlign w:val="center"/>
                </w:tcPr>
                <w:p>
                  <w:pPr>
                    <w:jc w:val="center"/>
                    <w:rPr>
                      <w:rFonts w:hint="eastAsia"/>
                      <w:sz w:val="21"/>
                      <w:szCs w:val="21"/>
                      <w:lang w:val="en-US" w:eastAsia="zh-CN"/>
                    </w:rPr>
                  </w:pPr>
                  <w:r>
                    <w:rPr>
                      <w:rFonts w:hint="eastAsia"/>
                      <w:sz w:val="21"/>
                      <w:szCs w:val="21"/>
                      <w:lang w:val="en-US" w:eastAsia="zh-CN"/>
                    </w:rPr>
                    <w:t>/</w:t>
                  </w:r>
                </w:p>
              </w:tc>
              <w:tc>
                <w:tcPr>
                  <w:tcW w:w="661" w:type="pct"/>
                  <w:noWrap w:val="0"/>
                  <w:vAlign w:val="center"/>
                </w:tcPr>
                <w:p>
                  <w:pPr>
                    <w:jc w:val="center"/>
                    <w:rPr>
                      <w:rFonts w:hint="default"/>
                      <w:sz w:val="21"/>
                      <w:szCs w:val="21"/>
                      <w:lang w:val="en-US" w:eastAsia="zh-CN"/>
                    </w:rPr>
                  </w:pPr>
                  <w:r>
                    <w:rPr>
                      <w:rFonts w:hint="eastAsia"/>
                      <w:sz w:val="21"/>
                      <w:szCs w:val="21"/>
                      <w:lang w:val="en-US" w:eastAsia="zh-CN"/>
                    </w:rPr>
                    <w:t>60</w:t>
                  </w:r>
                </w:p>
              </w:tc>
              <w:tc>
                <w:tcPr>
                  <w:tcW w:w="618" w:type="pct"/>
                  <w:noWrap w:val="0"/>
                  <w:vAlign w:val="center"/>
                </w:tcPr>
                <w:p>
                  <w:pPr>
                    <w:jc w:val="center"/>
                    <w:rPr>
                      <w:sz w:val="21"/>
                      <w:szCs w:val="21"/>
                      <w:lang w:val="en-US" w:eastAsia="zh-CN"/>
                    </w:rPr>
                  </w:pPr>
                  <w:r>
                    <w:rPr>
                      <w:sz w:val="21"/>
                      <w:szCs w:val="21"/>
                      <w:lang w:val="en-US" w:eastAsia="zh-CN"/>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28" w:type="pct"/>
                  <w:vMerge w:val="continue"/>
                  <w:noWrap w:val="0"/>
                  <w:vAlign w:val="center"/>
                </w:tcPr>
                <w:p>
                  <w:pPr>
                    <w:jc w:val="center"/>
                    <w:rPr>
                      <w:sz w:val="21"/>
                      <w:szCs w:val="21"/>
                      <w:lang w:val="en-US" w:eastAsia="zh-CN"/>
                    </w:rPr>
                  </w:pPr>
                </w:p>
              </w:tc>
              <w:tc>
                <w:tcPr>
                  <w:tcW w:w="666" w:type="pct"/>
                  <w:noWrap w:val="0"/>
                  <w:vAlign w:val="center"/>
                </w:tcPr>
                <w:p>
                  <w:pPr>
                    <w:jc w:val="center"/>
                    <w:rPr>
                      <w:sz w:val="21"/>
                      <w:szCs w:val="21"/>
                      <w:lang w:val="en-US" w:eastAsia="zh-CN"/>
                    </w:rPr>
                  </w:pPr>
                  <w:r>
                    <w:rPr>
                      <w:sz w:val="21"/>
                      <w:szCs w:val="21"/>
                      <w:lang w:val="en-US" w:eastAsia="zh-CN"/>
                    </w:rPr>
                    <w:t>南厂界</w:t>
                  </w:r>
                </w:p>
              </w:tc>
              <w:tc>
                <w:tcPr>
                  <w:tcW w:w="424" w:type="pct"/>
                  <w:noWrap w:val="0"/>
                  <w:vAlign w:val="center"/>
                </w:tcPr>
                <w:p>
                  <w:pPr>
                    <w:jc w:val="center"/>
                    <w:rPr>
                      <w:sz w:val="21"/>
                      <w:szCs w:val="21"/>
                      <w:lang w:val="en-US" w:eastAsia="zh-CN"/>
                    </w:rPr>
                  </w:pPr>
                  <w:r>
                    <w:rPr>
                      <w:rFonts w:hint="eastAsia"/>
                      <w:sz w:val="21"/>
                      <w:szCs w:val="21"/>
                      <w:lang w:val="en-US" w:eastAsia="zh-CN"/>
                    </w:rPr>
                    <w:t>79.48</w:t>
                  </w:r>
                </w:p>
              </w:tc>
              <w:tc>
                <w:tcPr>
                  <w:tcW w:w="580" w:type="pct"/>
                  <w:noWrap w:val="0"/>
                  <w:vAlign w:val="center"/>
                </w:tcPr>
                <w:p>
                  <w:pPr>
                    <w:widowControl/>
                    <w:spacing w:line="240" w:lineRule="exact"/>
                    <w:jc w:val="center"/>
                    <w:rPr>
                      <w:rFonts w:hint="default"/>
                      <w:sz w:val="21"/>
                      <w:szCs w:val="21"/>
                      <w:lang w:val="en-US" w:eastAsia="zh-CN"/>
                    </w:rPr>
                  </w:pPr>
                  <w:r>
                    <w:rPr>
                      <w:rFonts w:hint="eastAsia"/>
                      <w:sz w:val="21"/>
                      <w:szCs w:val="21"/>
                      <w:lang w:val="en-US" w:eastAsia="zh-CN"/>
                    </w:rPr>
                    <w:t>30</w:t>
                  </w:r>
                </w:p>
              </w:tc>
              <w:tc>
                <w:tcPr>
                  <w:tcW w:w="523" w:type="pct"/>
                  <w:noWrap w:val="0"/>
                  <w:vAlign w:val="center"/>
                </w:tcPr>
                <w:p>
                  <w:pPr>
                    <w:jc w:val="center"/>
                    <w:rPr>
                      <w:rFonts w:hint="default"/>
                      <w:sz w:val="21"/>
                      <w:szCs w:val="21"/>
                      <w:lang w:val="en-US" w:eastAsia="zh-CN"/>
                    </w:rPr>
                  </w:pPr>
                  <w:r>
                    <w:rPr>
                      <w:rFonts w:hint="eastAsia"/>
                      <w:sz w:val="21"/>
                      <w:szCs w:val="21"/>
                      <w:lang w:val="en-US" w:eastAsia="zh-CN"/>
                    </w:rPr>
                    <w:t>49.94</w:t>
                  </w:r>
                </w:p>
              </w:tc>
              <w:tc>
                <w:tcPr>
                  <w:tcW w:w="513" w:type="pct"/>
                  <w:noWrap w:val="0"/>
                  <w:vAlign w:val="center"/>
                </w:tcPr>
                <w:p>
                  <w:pPr>
                    <w:jc w:val="center"/>
                    <w:rPr>
                      <w:rFonts w:hint="eastAsia"/>
                      <w:sz w:val="21"/>
                      <w:szCs w:val="21"/>
                      <w:lang w:val="en-US" w:eastAsia="zh-CN"/>
                    </w:rPr>
                  </w:pPr>
                  <w:r>
                    <w:rPr>
                      <w:rFonts w:hint="eastAsia"/>
                      <w:sz w:val="21"/>
                      <w:szCs w:val="21"/>
                      <w:lang w:val="en-US" w:eastAsia="zh-CN"/>
                    </w:rPr>
                    <w:t>/</w:t>
                  </w:r>
                </w:p>
              </w:tc>
              <w:tc>
                <w:tcPr>
                  <w:tcW w:w="483" w:type="pct"/>
                  <w:noWrap w:val="0"/>
                  <w:vAlign w:val="center"/>
                </w:tcPr>
                <w:p>
                  <w:pPr>
                    <w:jc w:val="center"/>
                    <w:rPr>
                      <w:rFonts w:hint="eastAsia"/>
                      <w:sz w:val="21"/>
                      <w:szCs w:val="21"/>
                      <w:lang w:val="en-US" w:eastAsia="zh-CN"/>
                    </w:rPr>
                  </w:pPr>
                  <w:r>
                    <w:rPr>
                      <w:rFonts w:hint="eastAsia"/>
                      <w:sz w:val="21"/>
                      <w:szCs w:val="21"/>
                      <w:lang w:val="en-US" w:eastAsia="zh-CN"/>
                    </w:rPr>
                    <w:t>/</w:t>
                  </w:r>
                </w:p>
              </w:tc>
              <w:tc>
                <w:tcPr>
                  <w:tcW w:w="661" w:type="pct"/>
                  <w:noWrap w:val="0"/>
                  <w:vAlign w:val="center"/>
                </w:tcPr>
                <w:p>
                  <w:pPr>
                    <w:jc w:val="center"/>
                    <w:rPr>
                      <w:rFonts w:hint="default"/>
                      <w:sz w:val="21"/>
                      <w:szCs w:val="21"/>
                      <w:lang w:val="en-US" w:eastAsia="zh-CN"/>
                    </w:rPr>
                  </w:pPr>
                  <w:r>
                    <w:rPr>
                      <w:rFonts w:hint="eastAsia"/>
                      <w:sz w:val="21"/>
                      <w:szCs w:val="21"/>
                      <w:lang w:val="en-US" w:eastAsia="zh-CN"/>
                    </w:rPr>
                    <w:t>60</w:t>
                  </w:r>
                </w:p>
              </w:tc>
              <w:tc>
                <w:tcPr>
                  <w:tcW w:w="618" w:type="pct"/>
                  <w:noWrap w:val="0"/>
                  <w:vAlign w:val="center"/>
                </w:tcPr>
                <w:p>
                  <w:pPr>
                    <w:jc w:val="center"/>
                    <w:rPr>
                      <w:sz w:val="21"/>
                      <w:szCs w:val="21"/>
                      <w:lang w:val="en-US" w:eastAsia="zh-CN"/>
                    </w:rPr>
                  </w:pPr>
                  <w:r>
                    <w:rPr>
                      <w:sz w:val="21"/>
                      <w:szCs w:val="21"/>
                      <w:lang w:val="en-US" w:eastAsia="zh-CN"/>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28" w:type="pct"/>
                  <w:vMerge w:val="continue"/>
                  <w:noWrap w:val="0"/>
                  <w:vAlign w:val="center"/>
                </w:tcPr>
                <w:p>
                  <w:pPr>
                    <w:jc w:val="center"/>
                    <w:rPr>
                      <w:sz w:val="21"/>
                      <w:szCs w:val="21"/>
                      <w:lang w:val="en-US" w:eastAsia="zh-CN"/>
                    </w:rPr>
                  </w:pPr>
                </w:p>
              </w:tc>
              <w:tc>
                <w:tcPr>
                  <w:tcW w:w="666" w:type="pct"/>
                  <w:noWrap w:val="0"/>
                  <w:vAlign w:val="center"/>
                </w:tcPr>
                <w:p>
                  <w:pPr>
                    <w:jc w:val="center"/>
                    <w:rPr>
                      <w:sz w:val="21"/>
                      <w:szCs w:val="21"/>
                      <w:lang w:val="en-US" w:eastAsia="zh-CN"/>
                    </w:rPr>
                  </w:pPr>
                  <w:r>
                    <w:rPr>
                      <w:sz w:val="21"/>
                      <w:szCs w:val="21"/>
                      <w:lang w:val="en-US" w:eastAsia="zh-CN"/>
                    </w:rPr>
                    <w:t>北厂界</w:t>
                  </w:r>
                </w:p>
              </w:tc>
              <w:tc>
                <w:tcPr>
                  <w:tcW w:w="424" w:type="pct"/>
                  <w:noWrap w:val="0"/>
                  <w:vAlign w:val="center"/>
                </w:tcPr>
                <w:p>
                  <w:pPr>
                    <w:jc w:val="center"/>
                    <w:rPr>
                      <w:sz w:val="21"/>
                      <w:szCs w:val="21"/>
                      <w:lang w:val="en-US" w:eastAsia="zh-CN"/>
                    </w:rPr>
                  </w:pPr>
                  <w:r>
                    <w:rPr>
                      <w:rFonts w:hint="eastAsia"/>
                      <w:sz w:val="21"/>
                      <w:szCs w:val="21"/>
                      <w:lang w:val="en-US" w:eastAsia="zh-CN"/>
                    </w:rPr>
                    <w:t>79.48</w:t>
                  </w:r>
                </w:p>
              </w:tc>
              <w:tc>
                <w:tcPr>
                  <w:tcW w:w="580" w:type="pct"/>
                  <w:noWrap w:val="0"/>
                  <w:vAlign w:val="center"/>
                </w:tcPr>
                <w:p>
                  <w:pPr>
                    <w:widowControl/>
                    <w:spacing w:line="240" w:lineRule="exact"/>
                    <w:jc w:val="center"/>
                    <w:rPr>
                      <w:rFonts w:hint="default"/>
                      <w:sz w:val="21"/>
                      <w:szCs w:val="21"/>
                      <w:lang w:val="en-US" w:eastAsia="zh-CN"/>
                    </w:rPr>
                  </w:pPr>
                  <w:r>
                    <w:rPr>
                      <w:rFonts w:hint="eastAsia"/>
                      <w:sz w:val="21"/>
                      <w:szCs w:val="21"/>
                      <w:lang w:val="en-US" w:eastAsia="zh-CN"/>
                    </w:rPr>
                    <w:t>30</w:t>
                  </w:r>
                </w:p>
              </w:tc>
              <w:tc>
                <w:tcPr>
                  <w:tcW w:w="523" w:type="pct"/>
                  <w:noWrap w:val="0"/>
                  <w:vAlign w:val="center"/>
                </w:tcPr>
                <w:p>
                  <w:pPr>
                    <w:jc w:val="center"/>
                    <w:rPr>
                      <w:rFonts w:hint="default"/>
                      <w:sz w:val="21"/>
                      <w:szCs w:val="21"/>
                      <w:lang w:val="en-US" w:eastAsia="zh-CN"/>
                    </w:rPr>
                  </w:pPr>
                  <w:r>
                    <w:rPr>
                      <w:rFonts w:hint="eastAsia"/>
                      <w:sz w:val="21"/>
                      <w:szCs w:val="21"/>
                      <w:lang w:val="en-US" w:eastAsia="zh-CN"/>
                    </w:rPr>
                    <w:t>49.94</w:t>
                  </w:r>
                </w:p>
              </w:tc>
              <w:tc>
                <w:tcPr>
                  <w:tcW w:w="513" w:type="pct"/>
                  <w:noWrap w:val="0"/>
                  <w:vAlign w:val="center"/>
                </w:tcPr>
                <w:p>
                  <w:pPr>
                    <w:jc w:val="center"/>
                    <w:rPr>
                      <w:rFonts w:hint="eastAsia"/>
                      <w:sz w:val="21"/>
                      <w:szCs w:val="21"/>
                      <w:lang w:val="en-US" w:eastAsia="zh-CN"/>
                    </w:rPr>
                  </w:pPr>
                  <w:r>
                    <w:rPr>
                      <w:rFonts w:hint="eastAsia"/>
                      <w:sz w:val="21"/>
                      <w:szCs w:val="21"/>
                      <w:lang w:val="en-US" w:eastAsia="zh-CN"/>
                    </w:rPr>
                    <w:t>/</w:t>
                  </w:r>
                </w:p>
              </w:tc>
              <w:tc>
                <w:tcPr>
                  <w:tcW w:w="483" w:type="pct"/>
                  <w:noWrap w:val="0"/>
                  <w:vAlign w:val="center"/>
                </w:tcPr>
                <w:p>
                  <w:pPr>
                    <w:jc w:val="center"/>
                    <w:rPr>
                      <w:rFonts w:hint="eastAsia"/>
                      <w:sz w:val="21"/>
                      <w:szCs w:val="21"/>
                      <w:lang w:val="en-US" w:eastAsia="zh-CN"/>
                    </w:rPr>
                  </w:pPr>
                  <w:r>
                    <w:rPr>
                      <w:rFonts w:hint="eastAsia"/>
                      <w:sz w:val="21"/>
                      <w:szCs w:val="21"/>
                      <w:lang w:val="en-US" w:eastAsia="zh-CN"/>
                    </w:rPr>
                    <w:t>/</w:t>
                  </w:r>
                </w:p>
              </w:tc>
              <w:tc>
                <w:tcPr>
                  <w:tcW w:w="661" w:type="pct"/>
                  <w:noWrap w:val="0"/>
                  <w:vAlign w:val="center"/>
                </w:tcPr>
                <w:p>
                  <w:pPr>
                    <w:jc w:val="center"/>
                    <w:rPr>
                      <w:rFonts w:hint="default"/>
                      <w:sz w:val="21"/>
                      <w:szCs w:val="21"/>
                      <w:lang w:val="en-US" w:eastAsia="zh-CN"/>
                    </w:rPr>
                  </w:pPr>
                  <w:r>
                    <w:rPr>
                      <w:rFonts w:hint="eastAsia"/>
                      <w:sz w:val="21"/>
                      <w:szCs w:val="21"/>
                      <w:lang w:val="en-US" w:eastAsia="zh-CN"/>
                    </w:rPr>
                    <w:t>60</w:t>
                  </w:r>
                </w:p>
              </w:tc>
              <w:tc>
                <w:tcPr>
                  <w:tcW w:w="618" w:type="pct"/>
                  <w:noWrap w:val="0"/>
                  <w:vAlign w:val="center"/>
                </w:tcPr>
                <w:p>
                  <w:pPr>
                    <w:jc w:val="center"/>
                    <w:rPr>
                      <w:sz w:val="21"/>
                      <w:szCs w:val="21"/>
                      <w:lang w:val="en-US" w:eastAsia="zh-CN"/>
                    </w:rPr>
                  </w:pPr>
                  <w:r>
                    <w:rPr>
                      <w:sz w:val="21"/>
                      <w:szCs w:val="21"/>
                      <w:lang w:val="en-US" w:eastAsia="zh-CN"/>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28" w:type="pct"/>
                  <w:vMerge w:val="restart"/>
                  <w:noWrap w:val="0"/>
                  <w:vAlign w:val="center"/>
                </w:tcPr>
                <w:p>
                  <w:pPr>
                    <w:jc w:val="center"/>
                    <w:rPr>
                      <w:sz w:val="21"/>
                      <w:szCs w:val="21"/>
                      <w:lang w:val="en-US" w:eastAsia="zh-CN"/>
                    </w:rPr>
                  </w:pPr>
                  <w:r>
                    <w:rPr>
                      <w:rFonts w:hint="eastAsia"/>
                      <w:sz w:val="21"/>
                      <w:szCs w:val="21"/>
                      <w:lang w:eastAsia="zh-CN"/>
                    </w:rPr>
                    <w:t>敏感点</w:t>
                  </w:r>
                </w:p>
              </w:tc>
              <w:tc>
                <w:tcPr>
                  <w:tcW w:w="666" w:type="pct"/>
                  <w:noWrap w:val="0"/>
                  <w:vAlign w:val="center"/>
                </w:tcPr>
                <w:p>
                  <w:pPr>
                    <w:tabs>
                      <w:tab w:val="left" w:pos="1260"/>
                    </w:tabs>
                    <w:jc w:val="center"/>
                    <w:rPr>
                      <w:sz w:val="21"/>
                      <w:szCs w:val="21"/>
                      <w:lang w:val="en-US" w:eastAsia="zh-CN"/>
                    </w:rPr>
                  </w:pPr>
                  <w:r>
                    <w:rPr>
                      <w:rFonts w:hint="eastAsia"/>
                      <w:sz w:val="21"/>
                      <w:szCs w:val="21"/>
                      <w:lang w:val="en-US" w:eastAsia="zh-CN"/>
                    </w:rPr>
                    <w:t>张庄北侧</w:t>
                  </w:r>
                </w:p>
              </w:tc>
              <w:tc>
                <w:tcPr>
                  <w:tcW w:w="424" w:type="pct"/>
                  <w:noWrap w:val="0"/>
                  <w:vAlign w:val="center"/>
                </w:tcPr>
                <w:p>
                  <w:pPr>
                    <w:jc w:val="center"/>
                    <w:rPr>
                      <w:rFonts w:hint="default"/>
                      <w:sz w:val="21"/>
                      <w:szCs w:val="21"/>
                      <w:lang w:val="en-US" w:eastAsia="zh-CN"/>
                    </w:rPr>
                  </w:pPr>
                  <w:r>
                    <w:rPr>
                      <w:rFonts w:hint="eastAsia"/>
                      <w:sz w:val="21"/>
                      <w:szCs w:val="21"/>
                      <w:lang w:val="en-US" w:eastAsia="zh-CN"/>
                    </w:rPr>
                    <w:t>79.48</w:t>
                  </w:r>
                </w:p>
              </w:tc>
              <w:tc>
                <w:tcPr>
                  <w:tcW w:w="580" w:type="pct"/>
                  <w:noWrap w:val="0"/>
                  <w:vAlign w:val="center"/>
                </w:tcPr>
                <w:p>
                  <w:pPr>
                    <w:widowControl/>
                    <w:spacing w:line="240" w:lineRule="exact"/>
                    <w:jc w:val="center"/>
                    <w:rPr>
                      <w:rFonts w:hint="default"/>
                      <w:sz w:val="21"/>
                      <w:szCs w:val="21"/>
                      <w:lang w:val="en-US" w:eastAsia="zh-CN"/>
                    </w:rPr>
                  </w:pPr>
                  <w:r>
                    <w:rPr>
                      <w:rFonts w:hint="eastAsia"/>
                      <w:sz w:val="21"/>
                      <w:szCs w:val="21"/>
                      <w:lang w:val="en-US" w:eastAsia="zh-CN"/>
                    </w:rPr>
                    <w:t>35</w:t>
                  </w:r>
                </w:p>
              </w:tc>
              <w:tc>
                <w:tcPr>
                  <w:tcW w:w="523" w:type="pct"/>
                  <w:noWrap w:val="0"/>
                  <w:vAlign w:val="center"/>
                </w:tcPr>
                <w:p>
                  <w:pPr>
                    <w:jc w:val="center"/>
                    <w:rPr>
                      <w:rFonts w:hint="default"/>
                      <w:sz w:val="21"/>
                      <w:szCs w:val="21"/>
                      <w:lang w:val="en-US" w:eastAsia="zh-CN"/>
                    </w:rPr>
                  </w:pPr>
                  <w:r>
                    <w:rPr>
                      <w:rFonts w:hint="eastAsia"/>
                      <w:sz w:val="21"/>
                      <w:szCs w:val="21"/>
                      <w:lang w:val="en-US" w:eastAsia="zh-CN"/>
                    </w:rPr>
                    <w:t>48.60</w:t>
                  </w:r>
                </w:p>
              </w:tc>
              <w:tc>
                <w:tcPr>
                  <w:tcW w:w="513" w:type="pct"/>
                  <w:noWrap w:val="0"/>
                  <w:vAlign w:val="center"/>
                </w:tcPr>
                <w:p>
                  <w:pPr>
                    <w:jc w:val="center"/>
                    <w:rPr>
                      <w:rFonts w:hint="default"/>
                      <w:sz w:val="21"/>
                      <w:szCs w:val="21"/>
                      <w:lang w:val="en-US" w:eastAsia="zh-CN"/>
                    </w:rPr>
                  </w:pPr>
                  <w:r>
                    <w:rPr>
                      <w:rFonts w:hint="eastAsia"/>
                      <w:sz w:val="21"/>
                      <w:szCs w:val="21"/>
                      <w:lang w:val="en-US" w:eastAsia="zh-CN"/>
                    </w:rPr>
                    <w:t>53.05</w:t>
                  </w:r>
                </w:p>
              </w:tc>
              <w:tc>
                <w:tcPr>
                  <w:tcW w:w="483" w:type="pct"/>
                  <w:noWrap w:val="0"/>
                  <w:vAlign w:val="center"/>
                </w:tcPr>
                <w:p>
                  <w:pPr>
                    <w:jc w:val="center"/>
                    <w:rPr>
                      <w:rFonts w:hint="default"/>
                      <w:sz w:val="21"/>
                      <w:szCs w:val="21"/>
                      <w:lang w:val="en-US" w:eastAsia="zh-CN"/>
                    </w:rPr>
                  </w:pPr>
                  <w:r>
                    <w:rPr>
                      <w:rFonts w:hint="eastAsia"/>
                      <w:sz w:val="21"/>
                      <w:szCs w:val="21"/>
                      <w:lang w:val="en-US" w:eastAsia="zh-CN"/>
                    </w:rPr>
                    <w:t>54.38</w:t>
                  </w:r>
                </w:p>
              </w:tc>
              <w:tc>
                <w:tcPr>
                  <w:tcW w:w="661" w:type="pct"/>
                  <w:noWrap w:val="0"/>
                  <w:vAlign w:val="center"/>
                </w:tcPr>
                <w:p>
                  <w:pPr>
                    <w:jc w:val="center"/>
                    <w:rPr>
                      <w:rFonts w:hint="default"/>
                      <w:sz w:val="21"/>
                      <w:szCs w:val="21"/>
                      <w:lang w:val="en-US" w:eastAsia="zh-CN"/>
                    </w:rPr>
                  </w:pPr>
                  <w:r>
                    <w:rPr>
                      <w:rFonts w:hint="eastAsia"/>
                      <w:sz w:val="21"/>
                      <w:szCs w:val="21"/>
                      <w:lang w:val="en-US" w:eastAsia="zh-CN"/>
                    </w:rPr>
                    <w:t>60</w:t>
                  </w:r>
                </w:p>
              </w:tc>
              <w:tc>
                <w:tcPr>
                  <w:tcW w:w="618" w:type="pct"/>
                  <w:noWrap w:val="0"/>
                  <w:vAlign w:val="center"/>
                </w:tcPr>
                <w:p>
                  <w:pPr>
                    <w:jc w:val="center"/>
                    <w:rPr>
                      <w:sz w:val="21"/>
                      <w:szCs w:val="21"/>
                      <w:lang w:val="en-US" w:eastAsia="zh-CN"/>
                    </w:rPr>
                  </w:pPr>
                  <w:r>
                    <w:rPr>
                      <w:sz w:val="21"/>
                      <w:szCs w:val="21"/>
                      <w:lang w:val="en-US" w:eastAsia="zh-CN"/>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28" w:type="pct"/>
                  <w:vMerge w:val="continue"/>
                  <w:noWrap w:val="0"/>
                  <w:vAlign w:val="center"/>
                </w:tcPr>
                <w:p>
                  <w:pPr>
                    <w:jc w:val="center"/>
                    <w:rPr>
                      <w:rFonts w:hint="eastAsia"/>
                      <w:sz w:val="21"/>
                      <w:szCs w:val="21"/>
                      <w:lang w:eastAsia="zh-CN"/>
                    </w:rPr>
                  </w:pPr>
                </w:p>
              </w:tc>
              <w:tc>
                <w:tcPr>
                  <w:tcW w:w="666" w:type="pct"/>
                  <w:noWrap w:val="0"/>
                  <w:vAlign w:val="center"/>
                </w:tcPr>
                <w:p>
                  <w:pPr>
                    <w:tabs>
                      <w:tab w:val="left" w:pos="1260"/>
                    </w:tabs>
                    <w:jc w:val="center"/>
                    <w:rPr>
                      <w:rFonts w:hint="eastAsia"/>
                      <w:sz w:val="21"/>
                      <w:szCs w:val="21"/>
                      <w:lang w:val="en-US" w:eastAsia="zh-CN"/>
                    </w:rPr>
                  </w:pPr>
                  <w:r>
                    <w:rPr>
                      <w:rFonts w:hint="eastAsia"/>
                      <w:sz w:val="21"/>
                      <w:szCs w:val="21"/>
                      <w:lang w:val="en-US" w:eastAsia="zh-CN"/>
                    </w:rPr>
                    <w:t>张庄东侧</w:t>
                  </w:r>
                </w:p>
              </w:tc>
              <w:tc>
                <w:tcPr>
                  <w:tcW w:w="424" w:type="pct"/>
                  <w:noWrap w:val="0"/>
                  <w:vAlign w:val="center"/>
                </w:tcPr>
                <w:p>
                  <w:pPr>
                    <w:jc w:val="center"/>
                    <w:rPr>
                      <w:rFonts w:hint="eastAsia"/>
                      <w:sz w:val="21"/>
                      <w:szCs w:val="21"/>
                      <w:lang w:val="en-US" w:eastAsia="zh-CN"/>
                    </w:rPr>
                  </w:pPr>
                  <w:r>
                    <w:rPr>
                      <w:rFonts w:hint="eastAsia"/>
                      <w:sz w:val="21"/>
                      <w:szCs w:val="21"/>
                      <w:lang w:val="en-US" w:eastAsia="zh-CN"/>
                    </w:rPr>
                    <w:t>79.48</w:t>
                  </w:r>
                </w:p>
              </w:tc>
              <w:tc>
                <w:tcPr>
                  <w:tcW w:w="580" w:type="pct"/>
                  <w:noWrap w:val="0"/>
                  <w:vAlign w:val="center"/>
                </w:tcPr>
                <w:p>
                  <w:pPr>
                    <w:widowControl/>
                    <w:spacing w:line="240" w:lineRule="exact"/>
                    <w:jc w:val="center"/>
                    <w:rPr>
                      <w:rFonts w:hint="default"/>
                      <w:sz w:val="21"/>
                      <w:szCs w:val="21"/>
                      <w:lang w:val="en-US" w:eastAsia="zh-CN"/>
                    </w:rPr>
                  </w:pPr>
                  <w:r>
                    <w:rPr>
                      <w:rFonts w:hint="eastAsia"/>
                      <w:sz w:val="21"/>
                      <w:szCs w:val="21"/>
                      <w:lang w:val="en-US" w:eastAsia="zh-CN"/>
                    </w:rPr>
                    <w:t>35</w:t>
                  </w:r>
                </w:p>
              </w:tc>
              <w:tc>
                <w:tcPr>
                  <w:tcW w:w="523" w:type="pct"/>
                  <w:noWrap w:val="0"/>
                  <w:vAlign w:val="center"/>
                </w:tcPr>
                <w:p>
                  <w:pPr>
                    <w:jc w:val="center"/>
                    <w:rPr>
                      <w:rFonts w:hint="default"/>
                      <w:sz w:val="21"/>
                      <w:szCs w:val="21"/>
                      <w:lang w:val="en-US" w:eastAsia="zh-CN"/>
                    </w:rPr>
                  </w:pPr>
                  <w:r>
                    <w:rPr>
                      <w:rFonts w:hint="eastAsia"/>
                      <w:sz w:val="21"/>
                      <w:szCs w:val="21"/>
                      <w:lang w:val="en-US" w:eastAsia="zh-CN"/>
                    </w:rPr>
                    <w:t>48.60</w:t>
                  </w:r>
                </w:p>
              </w:tc>
              <w:tc>
                <w:tcPr>
                  <w:tcW w:w="513" w:type="pct"/>
                  <w:noWrap w:val="0"/>
                  <w:vAlign w:val="center"/>
                </w:tcPr>
                <w:p>
                  <w:pPr>
                    <w:jc w:val="center"/>
                    <w:rPr>
                      <w:rFonts w:hint="default"/>
                      <w:sz w:val="21"/>
                      <w:szCs w:val="21"/>
                      <w:lang w:val="en-US" w:eastAsia="zh-CN"/>
                    </w:rPr>
                  </w:pPr>
                  <w:r>
                    <w:rPr>
                      <w:rFonts w:hint="eastAsia"/>
                      <w:sz w:val="21"/>
                      <w:szCs w:val="21"/>
                      <w:lang w:val="en-US" w:eastAsia="zh-CN"/>
                    </w:rPr>
                    <w:t>52.90</w:t>
                  </w:r>
                </w:p>
              </w:tc>
              <w:tc>
                <w:tcPr>
                  <w:tcW w:w="483" w:type="pct"/>
                  <w:noWrap w:val="0"/>
                  <w:vAlign w:val="center"/>
                </w:tcPr>
                <w:p>
                  <w:pPr>
                    <w:jc w:val="center"/>
                    <w:rPr>
                      <w:rFonts w:hint="default"/>
                      <w:sz w:val="21"/>
                      <w:szCs w:val="21"/>
                      <w:lang w:val="en-US" w:eastAsia="zh-CN"/>
                    </w:rPr>
                  </w:pPr>
                  <w:r>
                    <w:rPr>
                      <w:rFonts w:hint="eastAsia"/>
                      <w:sz w:val="21"/>
                      <w:szCs w:val="21"/>
                      <w:lang w:val="en-US" w:eastAsia="zh-CN"/>
                    </w:rPr>
                    <w:t>54.27</w:t>
                  </w:r>
                </w:p>
              </w:tc>
              <w:tc>
                <w:tcPr>
                  <w:tcW w:w="661" w:type="pct"/>
                  <w:noWrap w:val="0"/>
                  <w:vAlign w:val="center"/>
                </w:tcPr>
                <w:p>
                  <w:pPr>
                    <w:jc w:val="center"/>
                    <w:rPr>
                      <w:rFonts w:hint="eastAsia"/>
                      <w:sz w:val="21"/>
                      <w:szCs w:val="21"/>
                      <w:lang w:val="en-US" w:eastAsia="zh-CN"/>
                    </w:rPr>
                  </w:pPr>
                  <w:r>
                    <w:rPr>
                      <w:rFonts w:hint="eastAsia"/>
                      <w:sz w:val="21"/>
                      <w:szCs w:val="21"/>
                      <w:lang w:val="en-US" w:eastAsia="zh-CN"/>
                    </w:rPr>
                    <w:t>60</w:t>
                  </w:r>
                </w:p>
              </w:tc>
              <w:tc>
                <w:tcPr>
                  <w:tcW w:w="618" w:type="pct"/>
                  <w:noWrap w:val="0"/>
                  <w:vAlign w:val="center"/>
                </w:tcPr>
                <w:p>
                  <w:pPr>
                    <w:jc w:val="center"/>
                    <w:rPr>
                      <w:sz w:val="21"/>
                      <w:szCs w:val="21"/>
                      <w:lang w:val="en-US" w:eastAsia="zh-CN"/>
                    </w:rPr>
                  </w:pPr>
                  <w:r>
                    <w:rPr>
                      <w:sz w:val="21"/>
                      <w:szCs w:val="21"/>
                      <w:lang w:val="en-US" w:eastAsia="zh-CN"/>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28" w:type="pct"/>
                  <w:vMerge w:val="continue"/>
                  <w:noWrap w:val="0"/>
                  <w:vAlign w:val="center"/>
                </w:tcPr>
                <w:p>
                  <w:pPr>
                    <w:jc w:val="center"/>
                    <w:rPr>
                      <w:rFonts w:hint="eastAsia"/>
                      <w:sz w:val="21"/>
                      <w:szCs w:val="21"/>
                      <w:lang w:eastAsia="zh-CN"/>
                    </w:rPr>
                  </w:pPr>
                </w:p>
              </w:tc>
              <w:tc>
                <w:tcPr>
                  <w:tcW w:w="666" w:type="pct"/>
                  <w:noWrap w:val="0"/>
                  <w:vAlign w:val="center"/>
                </w:tcPr>
                <w:p>
                  <w:pPr>
                    <w:tabs>
                      <w:tab w:val="left" w:pos="1260"/>
                    </w:tabs>
                    <w:jc w:val="center"/>
                    <w:rPr>
                      <w:rFonts w:hint="eastAsia"/>
                      <w:sz w:val="21"/>
                      <w:szCs w:val="21"/>
                      <w:lang w:val="en-US" w:eastAsia="zh-CN"/>
                    </w:rPr>
                  </w:pPr>
                  <w:r>
                    <w:rPr>
                      <w:rFonts w:hint="eastAsia"/>
                      <w:sz w:val="21"/>
                      <w:szCs w:val="21"/>
                      <w:lang w:val="en-US" w:eastAsia="zh-CN"/>
                    </w:rPr>
                    <w:t>张庄南侧</w:t>
                  </w:r>
                </w:p>
              </w:tc>
              <w:tc>
                <w:tcPr>
                  <w:tcW w:w="424" w:type="pct"/>
                  <w:noWrap w:val="0"/>
                  <w:vAlign w:val="center"/>
                </w:tcPr>
                <w:p>
                  <w:pPr>
                    <w:jc w:val="center"/>
                    <w:rPr>
                      <w:rFonts w:hint="eastAsia"/>
                      <w:sz w:val="21"/>
                      <w:szCs w:val="21"/>
                      <w:lang w:val="en-US" w:eastAsia="zh-CN"/>
                    </w:rPr>
                  </w:pPr>
                  <w:r>
                    <w:rPr>
                      <w:rFonts w:hint="eastAsia"/>
                      <w:sz w:val="21"/>
                      <w:szCs w:val="21"/>
                      <w:lang w:val="en-US" w:eastAsia="zh-CN"/>
                    </w:rPr>
                    <w:t>79.48</w:t>
                  </w:r>
                </w:p>
              </w:tc>
              <w:tc>
                <w:tcPr>
                  <w:tcW w:w="580" w:type="pct"/>
                  <w:noWrap w:val="0"/>
                  <w:vAlign w:val="center"/>
                </w:tcPr>
                <w:p>
                  <w:pPr>
                    <w:widowControl/>
                    <w:spacing w:line="240" w:lineRule="exact"/>
                    <w:jc w:val="center"/>
                    <w:rPr>
                      <w:rFonts w:hint="default"/>
                      <w:sz w:val="21"/>
                      <w:szCs w:val="21"/>
                      <w:lang w:val="en-US" w:eastAsia="zh-CN"/>
                    </w:rPr>
                  </w:pPr>
                  <w:r>
                    <w:rPr>
                      <w:rFonts w:hint="eastAsia"/>
                      <w:sz w:val="21"/>
                      <w:szCs w:val="21"/>
                      <w:lang w:val="en-US" w:eastAsia="zh-CN"/>
                    </w:rPr>
                    <w:t>120</w:t>
                  </w:r>
                </w:p>
              </w:tc>
              <w:tc>
                <w:tcPr>
                  <w:tcW w:w="523" w:type="pct"/>
                  <w:noWrap w:val="0"/>
                  <w:vAlign w:val="center"/>
                </w:tcPr>
                <w:p>
                  <w:pPr>
                    <w:jc w:val="center"/>
                    <w:rPr>
                      <w:rFonts w:hint="default"/>
                      <w:sz w:val="21"/>
                      <w:szCs w:val="21"/>
                      <w:lang w:val="en-US" w:eastAsia="zh-CN"/>
                    </w:rPr>
                  </w:pPr>
                  <w:r>
                    <w:rPr>
                      <w:rFonts w:hint="eastAsia"/>
                      <w:sz w:val="21"/>
                      <w:szCs w:val="21"/>
                      <w:lang w:val="en-US" w:eastAsia="zh-CN"/>
                    </w:rPr>
                    <w:t>37.89</w:t>
                  </w:r>
                </w:p>
              </w:tc>
              <w:tc>
                <w:tcPr>
                  <w:tcW w:w="513" w:type="pct"/>
                  <w:noWrap w:val="0"/>
                  <w:vAlign w:val="center"/>
                </w:tcPr>
                <w:p>
                  <w:pPr>
                    <w:jc w:val="center"/>
                    <w:rPr>
                      <w:rFonts w:hint="default"/>
                      <w:sz w:val="21"/>
                      <w:szCs w:val="21"/>
                      <w:lang w:val="en-US" w:eastAsia="zh-CN"/>
                    </w:rPr>
                  </w:pPr>
                  <w:r>
                    <w:rPr>
                      <w:rFonts w:hint="eastAsia"/>
                      <w:sz w:val="21"/>
                      <w:szCs w:val="21"/>
                      <w:lang w:val="en-US" w:eastAsia="zh-CN"/>
                    </w:rPr>
                    <w:t>53.25</w:t>
                  </w:r>
                </w:p>
              </w:tc>
              <w:tc>
                <w:tcPr>
                  <w:tcW w:w="483" w:type="pct"/>
                  <w:noWrap w:val="0"/>
                  <w:vAlign w:val="center"/>
                </w:tcPr>
                <w:p>
                  <w:pPr>
                    <w:jc w:val="center"/>
                    <w:rPr>
                      <w:rFonts w:hint="default"/>
                      <w:sz w:val="21"/>
                      <w:szCs w:val="21"/>
                      <w:lang w:val="en-US" w:eastAsia="zh-CN"/>
                    </w:rPr>
                  </w:pPr>
                  <w:r>
                    <w:rPr>
                      <w:rFonts w:hint="eastAsia"/>
                      <w:sz w:val="21"/>
                      <w:szCs w:val="21"/>
                      <w:lang w:val="en-US" w:eastAsia="zh-CN"/>
                    </w:rPr>
                    <w:t>53.37</w:t>
                  </w:r>
                </w:p>
              </w:tc>
              <w:tc>
                <w:tcPr>
                  <w:tcW w:w="661" w:type="pct"/>
                  <w:noWrap w:val="0"/>
                  <w:vAlign w:val="center"/>
                </w:tcPr>
                <w:p>
                  <w:pPr>
                    <w:jc w:val="center"/>
                    <w:rPr>
                      <w:rFonts w:hint="eastAsia"/>
                      <w:sz w:val="21"/>
                      <w:szCs w:val="21"/>
                      <w:lang w:val="en-US" w:eastAsia="zh-CN"/>
                    </w:rPr>
                  </w:pPr>
                  <w:r>
                    <w:rPr>
                      <w:rFonts w:hint="eastAsia"/>
                      <w:sz w:val="21"/>
                      <w:szCs w:val="21"/>
                      <w:lang w:val="en-US" w:eastAsia="zh-CN"/>
                    </w:rPr>
                    <w:t>60</w:t>
                  </w:r>
                </w:p>
              </w:tc>
              <w:tc>
                <w:tcPr>
                  <w:tcW w:w="618" w:type="pct"/>
                  <w:noWrap w:val="0"/>
                  <w:vAlign w:val="center"/>
                </w:tcPr>
                <w:p>
                  <w:pPr>
                    <w:jc w:val="center"/>
                    <w:rPr>
                      <w:sz w:val="21"/>
                      <w:szCs w:val="21"/>
                      <w:lang w:val="en-US" w:eastAsia="zh-CN"/>
                    </w:rPr>
                  </w:pPr>
                  <w:r>
                    <w:rPr>
                      <w:sz w:val="21"/>
                      <w:szCs w:val="21"/>
                      <w:lang w:val="en-US" w:eastAsia="zh-CN"/>
                    </w:rPr>
                    <w:t>达标</w:t>
                  </w:r>
                </w:p>
              </w:tc>
            </w:tr>
          </w:tbl>
          <w:p>
            <w:pPr>
              <w:tabs>
                <w:tab w:val="left" w:pos="420"/>
                <w:tab w:val="left" w:pos="870"/>
                <w:tab w:val="left" w:pos="3150"/>
              </w:tabs>
              <w:autoSpaceDE w:val="0"/>
              <w:autoSpaceDN w:val="0"/>
              <w:adjustRightInd w:val="0"/>
              <w:spacing w:line="360" w:lineRule="auto"/>
              <w:ind w:firstLine="480" w:firstLineChars="200"/>
              <w:textAlignment w:val="baseline"/>
              <w:rPr>
                <w:sz w:val="24"/>
                <w:szCs w:val="24"/>
              </w:rPr>
            </w:pPr>
            <w:r>
              <w:rPr>
                <w:sz w:val="24"/>
                <w:szCs w:val="24"/>
              </w:rPr>
              <w:t>由上表可见，本项目</w:t>
            </w:r>
            <w:r>
              <w:rPr>
                <w:rFonts w:hint="eastAsia"/>
                <w:sz w:val="24"/>
                <w:szCs w:val="24"/>
                <w:lang w:eastAsia="zh-CN"/>
              </w:rPr>
              <w:t>生产时段为</w:t>
            </w:r>
            <w:r>
              <w:rPr>
                <w:rFonts w:hint="eastAsia"/>
                <w:sz w:val="24"/>
                <w:szCs w:val="24"/>
                <w:lang w:val="en-US" w:eastAsia="zh-CN"/>
              </w:rPr>
              <w:t>8:00~18:00，</w:t>
            </w:r>
            <w:r>
              <w:rPr>
                <w:sz w:val="24"/>
                <w:szCs w:val="24"/>
              </w:rPr>
              <w:t>产生的噪声通过厂房隔声、设备减振和距离衰减后，</w:t>
            </w:r>
            <w:r>
              <w:rPr>
                <w:rFonts w:hint="eastAsia"/>
                <w:sz w:val="24"/>
                <w:szCs w:val="24"/>
                <w:lang w:eastAsia="zh-CN"/>
              </w:rPr>
              <w:t>厂界及敏感点</w:t>
            </w:r>
            <w:r>
              <w:rPr>
                <w:sz w:val="24"/>
                <w:szCs w:val="24"/>
              </w:rPr>
              <w:t>昼间噪声在</w:t>
            </w:r>
            <w:r>
              <w:rPr>
                <w:rFonts w:hint="eastAsia"/>
                <w:sz w:val="24"/>
                <w:szCs w:val="24"/>
                <w:lang w:val="en-US" w:eastAsia="zh-CN"/>
              </w:rPr>
              <w:t>49.94</w:t>
            </w:r>
            <w:r>
              <w:rPr>
                <w:sz w:val="24"/>
                <w:szCs w:val="24"/>
              </w:rPr>
              <w:t>～</w:t>
            </w:r>
            <w:r>
              <w:rPr>
                <w:rFonts w:hint="eastAsia"/>
                <w:sz w:val="24"/>
                <w:szCs w:val="24"/>
                <w:lang w:val="en-US" w:eastAsia="zh-CN"/>
              </w:rPr>
              <w:t>53.46</w:t>
            </w:r>
            <w:r>
              <w:rPr>
                <w:sz w:val="24"/>
                <w:szCs w:val="24"/>
              </w:rPr>
              <w:t>dB（A）之间，能够达到《工业企业厂界环境噪声排放标准》（GB12348-2008）昼间</w:t>
            </w:r>
            <w:r>
              <w:rPr>
                <w:rFonts w:hint="eastAsia"/>
                <w:sz w:val="24"/>
                <w:szCs w:val="24"/>
                <w:lang w:val="en-US" w:eastAsia="zh-CN"/>
              </w:rPr>
              <w:t>2</w:t>
            </w:r>
            <w:r>
              <w:rPr>
                <w:sz w:val="24"/>
                <w:szCs w:val="24"/>
              </w:rPr>
              <w:t>类标准限值（昼间≤</w:t>
            </w:r>
            <w:r>
              <w:rPr>
                <w:rFonts w:hint="eastAsia"/>
                <w:sz w:val="24"/>
                <w:szCs w:val="24"/>
                <w:lang w:val="en-US" w:eastAsia="zh-CN"/>
              </w:rPr>
              <w:t>60</w:t>
            </w:r>
            <w:r>
              <w:rPr>
                <w:sz w:val="24"/>
                <w:szCs w:val="24"/>
              </w:rPr>
              <w:t>dB(A)）</w:t>
            </w:r>
            <w:r>
              <w:rPr>
                <w:rFonts w:hint="eastAsia"/>
                <w:sz w:val="24"/>
                <w:szCs w:val="24"/>
                <w:lang w:eastAsia="zh-CN"/>
              </w:rPr>
              <w:t>，</w:t>
            </w:r>
            <w:r>
              <w:rPr>
                <w:sz w:val="24"/>
                <w:szCs w:val="24"/>
              </w:rPr>
              <w:t>对敏感保护目标影响较小，不会改变该区域声环境功能区划。</w:t>
            </w:r>
          </w:p>
          <w:p>
            <w:pPr>
              <w:spacing w:line="520" w:lineRule="atLeast"/>
              <w:ind w:firstLine="482" w:firstLineChars="200"/>
              <w:rPr>
                <w:rFonts w:hint="eastAsia" w:ascii="Times New Roman" w:hAnsi="Times New Roman" w:eastAsia="宋体" w:cs="Times New Roman"/>
                <w:b/>
                <w:sz w:val="24"/>
                <w:lang w:val="en-US" w:eastAsia="zh-CN"/>
              </w:rPr>
            </w:pPr>
            <w:r>
              <w:rPr>
                <w:rFonts w:hint="eastAsia" w:ascii="Times New Roman" w:hAnsi="Times New Roman" w:cs="Times New Roman"/>
                <w:b/>
                <w:sz w:val="24"/>
                <w:lang w:val="en-US" w:eastAsia="zh-CN"/>
              </w:rPr>
              <w:t>5</w:t>
            </w:r>
            <w:r>
              <w:rPr>
                <w:rFonts w:hint="eastAsia" w:ascii="Times New Roman" w:hAnsi="Times New Roman" w:eastAsia="宋体" w:cs="Times New Roman"/>
                <w:b/>
                <w:sz w:val="24"/>
                <w:lang w:val="en-US" w:eastAsia="zh-CN"/>
              </w:rPr>
              <w:t>、固体废物</w:t>
            </w:r>
          </w:p>
          <w:p>
            <w:pPr>
              <w:spacing w:line="520" w:lineRule="exact"/>
              <w:ind w:firstLine="480"/>
              <w:rPr>
                <w:rFonts w:ascii="Times New Roman" w:hAnsi="Times New Roman" w:eastAsia="宋体"/>
                <w:sz w:val="24"/>
                <w:szCs w:val="24"/>
              </w:rPr>
            </w:pPr>
            <w:r>
              <w:rPr>
                <w:rFonts w:hint="eastAsia" w:ascii="Times New Roman" w:hAnsi="Times New Roman" w:eastAsia="宋体"/>
                <w:sz w:val="24"/>
                <w:szCs w:val="24"/>
              </w:rPr>
              <w:t>本项目技改完成后，运行过程产生的固废主要为</w:t>
            </w:r>
            <w:r>
              <w:rPr>
                <w:rFonts w:hint="eastAsia" w:ascii="Times New Roman" w:hAnsi="Times New Roman" w:eastAsia="宋体"/>
                <w:sz w:val="24"/>
                <w:szCs w:val="24"/>
                <w:lang w:eastAsia="zh-CN"/>
              </w:rPr>
              <w:t>金属废料、废金属粉和职工生活垃圾</w:t>
            </w:r>
            <w:r>
              <w:rPr>
                <w:rFonts w:hint="eastAsia" w:ascii="Times New Roman" w:hAnsi="Times New Roman" w:eastAsia="宋体"/>
                <w:sz w:val="24"/>
                <w:szCs w:val="24"/>
              </w:rPr>
              <w:t>以及</w:t>
            </w:r>
            <w:r>
              <w:rPr>
                <w:rFonts w:hint="eastAsia" w:ascii="Times New Roman" w:hAnsi="Times New Roman" w:eastAsia="宋体"/>
                <w:sz w:val="24"/>
                <w:szCs w:val="24"/>
                <w:lang w:eastAsia="zh-CN"/>
              </w:rPr>
              <w:t>危险废物</w:t>
            </w:r>
            <w:r>
              <w:rPr>
                <w:rFonts w:hint="eastAsia" w:ascii="Times New Roman" w:hAnsi="Times New Roman" w:eastAsia="宋体"/>
                <w:sz w:val="24"/>
                <w:szCs w:val="24"/>
              </w:rPr>
              <w:t>废机油和废乳化油。</w:t>
            </w:r>
          </w:p>
          <w:p>
            <w:pPr>
              <w:pStyle w:val="42"/>
              <w:spacing w:line="500" w:lineRule="exact"/>
              <w:rPr>
                <w:rFonts w:ascii="Times New Roman" w:hAnsi="Times New Roman" w:eastAsia="宋体"/>
                <w:sz w:val="24"/>
                <w:szCs w:val="24"/>
              </w:rPr>
            </w:pPr>
            <w:r>
              <w:rPr>
                <w:rFonts w:ascii="Times New Roman" w:hAnsi="Times New Roman" w:eastAsia="宋体"/>
                <w:sz w:val="24"/>
                <w:szCs w:val="24"/>
              </w:rPr>
              <w:t>（1）一般固废</w:t>
            </w:r>
          </w:p>
          <w:p>
            <w:pPr>
              <w:spacing w:line="360" w:lineRule="auto"/>
              <w:ind w:firstLine="480"/>
              <w:rPr>
                <w:rFonts w:ascii="Times New Roman" w:hAnsi="Times New Roman" w:eastAsia="宋体"/>
                <w:sz w:val="24"/>
                <w:szCs w:val="24"/>
              </w:rPr>
            </w:pPr>
            <w:r>
              <w:rPr>
                <w:rFonts w:hint="eastAsia" w:ascii="Times New Roman" w:hAnsi="Times New Roman" w:eastAsia="宋体"/>
                <w:sz w:val="24"/>
                <w:szCs w:val="24"/>
              </w:rPr>
              <w:t>由工程分析可知，本工程的</w:t>
            </w:r>
            <w:r>
              <w:rPr>
                <w:rFonts w:hint="eastAsia" w:ascii="Times New Roman" w:hAnsi="Times New Roman" w:eastAsia="宋体"/>
                <w:sz w:val="24"/>
                <w:szCs w:val="24"/>
                <w:lang w:eastAsia="zh-CN"/>
              </w:rPr>
              <w:t>生活垃圾产生量为</w:t>
            </w:r>
            <w:r>
              <w:rPr>
                <w:rFonts w:hint="eastAsia" w:ascii="Times New Roman" w:hAnsi="Times New Roman" w:eastAsia="宋体"/>
                <w:sz w:val="24"/>
                <w:szCs w:val="24"/>
                <w:lang w:val="en-US" w:eastAsia="zh-CN"/>
              </w:rPr>
              <w:t>3</w:t>
            </w:r>
            <w:r>
              <w:rPr>
                <w:rFonts w:hint="default" w:ascii="Times New Roman" w:hAnsi="Times New Roman" w:eastAsia="宋体"/>
                <w:sz w:val="24"/>
                <w:szCs w:val="24"/>
              </w:rPr>
              <w:t>t/a，由企业统一收集后定期送往当地垃圾中转站，集中处置。</w:t>
            </w:r>
            <w:r>
              <w:rPr>
                <w:rFonts w:hint="eastAsia" w:ascii="Times New Roman" w:hAnsi="Times New Roman" w:eastAsia="宋体"/>
                <w:sz w:val="24"/>
                <w:szCs w:val="24"/>
                <w:lang w:eastAsia="zh-CN"/>
              </w:rPr>
              <w:t>金属废料</w:t>
            </w:r>
            <w:r>
              <w:rPr>
                <w:rFonts w:hint="eastAsia" w:ascii="Times New Roman" w:hAnsi="Times New Roman" w:eastAsia="宋体"/>
                <w:sz w:val="24"/>
                <w:szCs w:val="24"/>
                <w:lang w:val="en-US" w:eastAsia="zh-CN"/>
              </w:rPr>
              <w:t>约为30t/a。定期交由废品回收站回收处理。</w:t>
            </w:r>
            <w:r>
              <w:rPr>
                <w:rFonts w:hint="eastAsia" w:ascii="Times New Roman" w:hAnsi="Times New Roman" w:eastAsia="宋体"/>
                <w:sz w:val="24"/>
                <w:szCs w:val="24"/>
                <w:lang w:eastAsia="zh-CN"/>
              </w:rPr>
              <w:t>焊接烟尘除尘器收集颗粒物和车间自然沉降颗粒物为约</w:t>
            </w:r>
            <w:r>
              <w:rPr>
                <w:rFonts w:hint="eastAsia" w:ascii="Times New Roman" w:hAnsi="Times New Roman" w:eastAsia="宋体"/>
                <w:sz w:val="24"/>
                <w:szCs w:val="24"/>
                <w:lang w:val="en-US" w:eastAsia="zh-CN"/>
              </w:rPr>
              <w:t>1.93328t/a。定期交由废品回收站回收处理。</w:t>
            </w:r>
          </w:p>
          <w:p>
            <w:pPr>
              <w:autoSpaceDE w:val="0"/>
              <w:autoSpaceDN w:val="0"/>
              <w:adjustRightInd w:val="0"/>
              <w:spacing w:line="500" w:lineRule="exact"/>
              <w:ind w:firstLine="480"/>
              <w:rPr>
                <w:rFonts w:ascii="Times New Roman" w:hAnsi="Times New Roman" w:eastAsia="宋体"/>
                <w:sz w:val="24"/>
                <w:szCs w:val="24"/>
              </w:rPr>
            </w:pPr>
            <w:r>
              <w:rPr>
                <w:rFonts w:ascii="Times New Roman" w:hAnsi="Times New Roman" w:eastAsia="宋体"/>
                <w:sz w:val="24"/>
                <w:szCs w:val="24"/>
              </w:rPr>
              <w:t>（2）危险废物</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ascii="Times New Roman" w:hAnsi="Times New Roman" w:eastAsia="宋体" w:cs="宋体"/>
                <w:sz w:val="24"/>
                <w:szCs w:val="20"/>
              </w:rPr>
            </w:pPr>
            <w:r>
              <w:rPr>
                <w:rFonts w:hint="eastAsia" w:ascii="Times New Roman" w:hAnsi="Times New Roman" w:eastAsia="宋体"/>
                <w:sz w:val="24"/>
                <w:szCs w:val="24"/>
              </w:rPr>
              <w:t>本项目</w:t>
            </w:r>
            <w:r>
              <w:rPr>
                <w:rFonts w:ascii="Times New Roman" w:hAnsi="Times New Roman" w:eastAsia="宋体"/>
                <w:sz w:val="24"/>
                <w:szCs w:val="24"/>
              </w:rPr>
              <w:t>在生产过程中</w:t>
            </w:r>
            <w:r>
              <w:rPr>
                <w:rFonts w:hint="eastAsia" w:ascii="Times New Roman" w:hAnsi="Times New Roman" w:eastAsia="宋体"/>
                <w:sz w:val="24"/>
                <w:szCs w:val="24"/>
              </w:rPr>
              <w:t>危废的产生量分别为：</w:t>
            </w:r>
            <w:r>
              <w:rPr>
                <w:rFonts w:ascii="Times New Roman" w:hAnsi="Times New Roman" w:eastAsia="宋体"/>
                <w:sz w:val="24"/>
                <w:szCs w:val="24"/>
              </w:rPr>
              <w:t>废乳化液</w:t>
            </w:r>
            <w:r>
              <w:rPr>
                <w:rFonts w:hint="eastAsia" w:ascii="Times New Roman" w:hAnsi="Times New Roman" w:eastAsia="宋体"/>
                <w:sz w:val="24"/>
                <w:szCs w:val="24"/>
              </w:rPr>
              <w:t>0.</w:t>
            </w:r>
            <w:r>
              <w:rPr>
                <w:rFonts w:hint="eastAsia" w:ascii="Times New Roman" w:hAnsi="Times New Roman" w:eastAsia="宋体"/>
                <w:sz w:val="24"/>
                <w:szCs w:val="24"/>
                <w:lang w:val="en-US" w:eastAsia="zh-CN"/>
              </w:rPr>
              <w:t>1</w:t>
            </w:r>
            <w:r>
              <w:rPr>
                <w:rFonts w:ascii="Times New Roman" w:hAnsi="Times New Roman" w:eastAsia="宋体"/>
                <w:sz w:val="24"/>
                <w:szCs w:val="24"/>
              </w:rPr>
              <w:t>t/a</w:t>
            </w:r>
            <w:r>
              <w:rPr>
                <w:rFonts w:hint="eastAsia" w:ascii="Times New Roman" w:hAnsi="Times New Roman" w:eastAsia="宋体"/>
                <w:sz w:val="24"/>
                <w:szCs w:val="24"/>
              </w:rPr>
              <w:t>、</w:t>
            </w:r>
            <w:r>
              <w:rPr>
                <w:rFonts w:ascii="Times New Roman" w:hAnsi="Times New Roman" w:eastAsia="宋体"/>
                <w:sz w:val="24"/>
                <w:szCs w:val="24"/>
              </w:rPr>
              <w:t>废机油0.</w:t>
            </w:r>
            <w:r>
              <w:rPr>
                <w:rFonts w:hint="eastAsia" w:ascii="Times New Roman" w:hAnsi="Times New Roman" w:eastAsia="宋体"/>
                <w:sz w:val="24"/>
                <w:szCs w:val="24"/>
                <w:lang w:val="en-US" w:eastAsia="zh-CN"/>
              </w:rPr>
              <w:t>05</w:t>
            </w:r>
            <w:r>
              <w:rPr>
                <w:rFonts w:ascii="Times New Roman" w:hAnsi="Times New Roman" w:eastAsia="宋体"/>
                <w:sz w:val="24"/>
                <w:szCs w:val="24"/>
              </w:rPr>
              <w:t>t/a</w:t>
            </w:r>
            <w:r>
              <w:rPr>
                <w:rFonts w:hint="eastAsia" w:ascii="Times New Roman" w:hAnsi="Times New Roman" w:eastAsia="宋体"/>
                <w:sz w:val="24"/>
                <w:szCs w:val="24"/>
              </w:rPr>
              <w:t>。</w:t>
            </w:r>
            <w:r>
              <w:rPr>
                <w:rFonts w:ascii="Times New Roman" w:hAnsi="Times New Roman" w:eastAsia="宋体"/>
                <w:sz w:val="24"/>
                <w:szCs w:val="24"/>
              </w:rPr>
              <w:t>按照《国家危险废物名录》规定，</w:t>
            </w:r>
            <w:r>
              <w:rPr>
                <w:rFonts w:hint="eastAsia" w:ascii="Times New Roman" w:hAnsi="Times New Roman" w:eastAsia="宋体"/>
                <w:sz w:val="24"/>
                <w:szCs w:val="24"/>
              </w:rPr>
              <w:t>废乳化液、废机油均</w:t>
            </w:r>
            <w:r>
              <w:rPr>
                <w:rFonts w:ascii="Times New Roman" w:hAnsi="Times New Roman" w:eastAsia="宋体"/>
                <w:sz w:val="24"/>
                <w:szCs w:val="24"/>
              </w:rPr>
              <w:t>为属于危险废物，</w:t>
            </w:r>
            <w:r>
              <w:rPr>
                <w:rFonts w:hint="eastAsia" w:ascii="Times New Roman" w:hAnsi="Times New Roman" w:eastAsia="宋体"/>
                <w:sz w:val="24"/>
                <w:szCs w:val="24"/>
              </w:rPr>
              <w:t>其中废乳化液编号为HW09（油/水、烃/水混合物或乳化液）、废机油编号为HW08（废矿物油与含矿物油废物）</w:t>
            </w:r>
            <w:r>
              <w:rPr>
                <w:rFonts w:ascii="Times New Roman" w:hAnsi="Times New Roman" w:eastAsia="宋体"/>
                <w:sz w:val="24"/>
                <w:szCs w:val="24"/>
              </w:rPr>
              <w:t>。</w:t>
            </w:r>
            <w:r>
              <w:rPr>
                <w:rFonts w:hint="eastAsia" w:ascii="Times New Roman" w:hAnsi="Times New Roman" w:eastAsia="宋体"/>
                <w:sz w:val="24"/>
                <w:szCs w:val="24"/>
              </w:rPr>
              <w:t>项目</w:t>
            </w:r>
            <w:r>
              <w:rPr>
                <w:rFonts w:hint="eastAsia" w:ascii="Times New Roman" w:hAnsi="Times New Roman" w:eastAsia="宋体"/>
                <w:sz w:val="24"/>
                <w:szCs w:val="24"/>
                <w:lang w:eastAsia="zh-CN"/>
              </w:rPr>
              <w:t>设置</w:t>
            </w:r>
            <w:r>
              <w:rPr>
                <w:rFonts w:hint="eastAsia" w:ascii="Times New Roman" w:hAnsi="Times New Roman" w:eastAsia="宋体"/>
                <w:sz w:val="24"/>
                <w:szCs w:val="24"/>
              </w:rPr>
              <w:t>危废暂存间，危险废物经专用容器收集后暂存于危废暂存间，按照</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12" w:space="0"/>
          </w:tblBorders>
          <w:tblCellMar>
            <w:top w:w="0" w:type="dxa"/>
            <w:left w:w="108" w:type="dxa"/>
            <w:bottom w:w="0" w:type="dxa"/>
            <w:right w:w="108" w:type="dxa"/>
          </w:tblCellMar>
        </w:tblPrEx>
        <w:trPr>
          <w:trHeight w:val="13394" w:hRule="atLeast"/>
        </w:trPr>
        <w:tc>
          <w:tcPr>
            <w:tcW w:w="9286" w:type="dxa"/>
          </w:tcPr>
          <w:p>
            <w:pPr>
              <w:keepNext w:val="0"/>
              <w:keepLines w:val="0"/>
              <w:pageBreakBefore w:val="0"/>
              <w:widowControl w:val="0"/>
              <w:kinsoku/>
              <w:wordWrap/>
              <w:overflowPunct/>
              <w:topLinePunct w:val="0"/>
              <w:autoSpaceDE/>
              <w:autoSpaceDN/>
              <w:bidi w:val="0"/>
              <w:adjustRightInd/>
              <w:snapToGrid/>
              <w:spacing w:line="520" w:lineRule="exact"/>
              <w:ind w:firstLine="0"/>
              <w:textAlignment w:val="auto"/>
              <w:rPr>
                <w:rFonts w:ascii="Times New Roman" w:hAnsi="Times New Roman" w:eastAsia="宋体"/>
                <w:sz w:val="24"/>
                <w:szCs w:val="24"/>
              </w:rPr>
            </w:pPr>
            <w:r>
              <w:rPr>
                <w:rFonts w:hint="eastAsia" w:ascii="Times New Roman" w:hAnsi="Times New Roman" w:eastAsia="宋体"/>
                <w:sz w:val="24"/>
                <w:szCs w:val="24"/>
              </w:rPr>
              <w:t>《危险废物贮存污染控制标准》进行贮存</w:t>
            </w:r>
            <w:r>
              <w:rPr>
                <w:rFonts w:hint="eastAsia" w:ascii="Times New Roman" w:hAnsi="Times New Roman"/>
                <w:sz w:val="24"/>
                <w:szCs w:val="24"/>
                <w:lang w:eastAsia="zh-CN"/>
              </w:rPr>
              <w:t>，</w:t>
            </w:r>
            <w:r>
              <w:rPr>
                <w:rFonts w:hint="eastAsia" w:ascii="Times New Roman" w:hAnsi="Times New Roman" w:eastAsia="宋体"/>
                <w:sz w:val="24"/>
                <w:szCs w:val="24"/>
              </w:rPr>
              <w:t>定期交由</w:t>
            </w:r>
            <w:r>
              <w:rPr>
                <w:rFonts w:hint="eastAsia" w:ascii="Times New Roman" w:hAnsi="Times New Roman"/>
                <w:sz w:val="24"/>
                <w:szCs w:val="24"/>
                <w:lang w:eastAsia="zh-CN"/>
              </w:rPr>
              <w:t>有</w:t>
            </w:r>
            <w:r>
              <w:rPr>
                <w:rFonts w:hint="eastAsia" w:ascii="Times New Roman" w:hAnsi="Times New Roman" w:eastAsia="宋体"/>
                <w:sz w:val="24"/>
                <w:szCs w:val="24"/>
              </w:rPr>
              <w:t>资质单位进行安全处置，不得随意倾倒、外排，或外卖给其他无危险废物处理资质的单位或者个人。危险废物的暂存严格按照环境保护部公告2017年第43号《建设项目危险废物环境影响评价指南》中的相关要求，做到“四防”（防风、防雨、防晒、防渗漏），严格做到防渗和渗漏收集措施，设置有不同废物的警示标示。</w:t>
            </w:r>
          </w:p>
          <w:p>
            <w:pPr>
              <w:spacing w:line="520" w:lineRule="exact"/>
              <w:ind w:firstLine="437"/>
              <w:rPr>
                <w:rFonts w:ascii="Times New Roman" w:hAnsi="Times New Roman" w:eastAsia="宋体"/>
                <w:sz w:val="24"/>
                <w:szCs w:val="24"/>
              </w:rPr>
            </w:pPr>
            <w:r>
              <w:rPr>
                <w:rFonts w:hint="eastAsia" w:ascii="Times New Roman" w:hAnsi="Times New Roman" w:eastAsia="宋体"/>
                <w:sz w:val="24"/>
                <w:szCs w:val="24"/>
              </w:rPr>
              <w:t>厂区内现有危险废物贮存场所基本情况如下表：</w:t>
            </w:r>
          </w:p>
          <w:p>
            <w:pPr>
              <w:pStyle w:val="7"/>
              <w:spacing w:beforeLines="50"/>
              <w:jc w:val="center"/>
              <w:rPr>
                <w:rFonts w:hint="default" w:ascii="Times New Roman" w:hAnsi="Times New Roman" w:eastAsia="宋体" w:cs="Times New Roman"/>
                <w:b/>
                <w:bCs w:val="0"/>
                <w:sz w:val="24"/>
                <w:szCs w:val="24"/>
                <w:lang w:val="zh-CN" w:eastAsia="zh-CN"/>
              </w:rPr>
            </w:pPr>
            <w:r>
              <w:rPr>
                <w:rFonts w:hint="default" w:ascii="Times New Roman" w:hAnsi="Times New Roman" w:eastAsia="宋体" w:cs="Times New Roman"/>
                <w:b/>
                <w:bCs w:val="0"/>
                <w:sz w:val="24"/>
                <w:szCs w:val="24"/>
                <w:lang w:val="zh-CN" w:eastAsia="zh-CN"/>
              </w:rPr>
              <w:t>表</w:t>
            </w:r>
            <w:r>
              <w:rPr>
                <w:rFonts w:hint="eastAsia" w:ascii="Times New Roman" w:hAnsi="Times New Roman" w:eastAsia="宋体" w:cs="Times New Roman"/>
                <w:b/>
                <w:bCs w:val="0"/>
                <w:sz w:val="24"/>
                <w:szCs w:val="24"/>
                <w:lang w:val="en-US" w:eastAsia="zh-CN"/>
              </w:rPr>
              <w:t>3</w:t>
            </w:r>
            <w:r>
              <w:rPr>
                <w:rFonts w:hint="eastAsia" w:cs="Times New Roman"/>
                <w:b/>
                <w:bCs w:val="0"/>
                <w:sz w:val="24"/>
                <w:szCs w:val="24"/>
                <w:lang w:val="en-US" w:eastAsia="zh-CN"/>
              </w:rPr>
              <w:t>2</w:t>
            </w:r>
            <w:r>
              <w:rPr>
                <w:rFonts w:hint="default" w:ascii="Times New Roman" w:hAnsi="Times New Roman" w:eastAsia="宋体" w:cs="Times New Roman"/>
                <w:b/>
                <w:bCs w:val="0"/>
                <w:sz w:val="24"/>
                <w:szCs w:val="24"/>
                <w:lang w:val="zh-CN" w:eastAsia="zh-CN"/>
              </w:rPr>
              <w:t xml:space="preserve">  厂区危险废物贮存场所基本情况一览表</w:t>
            </w:r>
          </w:p>
          <w:tbl>
            <w:tblPr>
              <w:tblStyle w:val="23"/>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62"/>
              <w:gridCol w:w="1123"/>
              <w:gridCol w:w="1136"/>
              <w:gridCol w:w="1276"/>
              <w:gridCol w:w="989"/>
              <w:gridCol w:w="753"/>
              <w:gridCol w:w="1089"/>
              <w:gridCol w:w="763"/>
              <w:gridCol w:w="107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75" w:type="pct"/>
                  <w:tcBorders>
                    <w:top w:val="single" w:color="auto" w:sz="12" w:space="0"/>
                    <w:left w:val="nil"/>
                    <w:bottom w:val="single" w:color="auto" w:sz="6" w:space="0"/>
                    <w:right w:val="single" w:color="auto" w:sz="6" w:space="0"/>
                  </w:tcBorders>
                  <w:vAlign w:val="center"/>
                </w:tcPr>
                <w:p>
                  <w:pPr>
                    <w:topLinePunct/>
                    <w:adjustRightInd w:val="0"/>
                    <w:snapToGrid w:val="0"/>
                    <w:jc w:val="center"/>
                    <w:rPr>
                      <w:rFonts w:ascii="Times New Roman" w:hAnsi="Times New Roman" w:eastAsia="宋体"/>
                    </w:rPr>
                  </w:pPr>
                  <w:r>
                    <w:rPr>
                      <w:rFonts w:ascii="Times New Roman" w:hAnsi="Times New Roman" w:eastAsia="宋体"/>
                    </w:rPr>
                    <w:t>贮存场所名称</w:t>
                  </w:r>
                </w:p>
              </w:tc>
              <w:tc>
                <w:tcPr>
                  <w:tcW w:w="619" w:type="pct"/>
                  <w:tcBorders>
                    <w:top w:val="single" w:color="auto" w:sz="12" w:space="0"/>
                    <w:left w:val="single" w:color="auto" w:sz="6" w:space="0"/>
                    <w:bottom w:val="single" w:color="auto" w:sz="6" w:space="0"/>
                    <w:right w:val="single" w:color="auto" w:sz="6" w:space="0"/>
                  </w:tcBorders>
                  <w:vAlign w:val="center"/>
                </w:tcPr>
                <w:p>
                  <w:pPr>
                    <w:topLinePunct/>
                    <w:adjustRightInd w:val="0"/>
                    <w:snapToGrid w:val="0"/>
                    <w:jc w:val="center"/>
                    <w:rPr>
                      <w:rFonts w:ascii="Times New Roman" w:hAnsi="Times New Roman" w:eastAsia="宋体"/>
                    </w:rPr>
                  </w:pPr>
                  <w:r>
                    <w:rPr>
                      <w:rFonts w:ascii="Times New Roman" w:hAnsi="Times New Roman" w:eastAsia="宋体"/>
                    </w:rPr>
                    <w:t>危险废物名称</w:t>
                  </w:r>
                </w:p>
              </w:tc>
              <w:tc>
                <w:tcPr>
                  <w:tcW w:w="626" w:type="pct"/>
                  <w:tcBorders>
                    <w:top w:val="single" w:color="auto" w:sz="12" w:space="0"/>
                    <w:left w:val="single" w:color="auto" w:sz="6" w:space="0"/>
                    <w:bottom w:val="single" w:color="auto" w:sz="6" w:space="0"/>
                    <w:right w:val="single" w:color="auto" w:sz="6" w:space="0"/>
                  </w:tcBorders>
                  <w:vAlign w:val="center"/>
                </w:tcPr>
                <w:p>
                  <w:pPr>
                    <w:topLinePunct/>
                    <w:adjustRightInd w:val="0"/>
                    <w:snapToGrid w:val="0"/>
                    <w:jc w:val="center"/>
                    <w:rPr>
                      <w:rFonts w:ascii="Times New Roman" w:hAnsi="Times New Roman" w:eastAsia="宋体"/>
                    </w:rPr>
                  </w:pPr>
                  <w:r>
                    <w:rPr>
                      <w:rFonts w:ascii="Times New Roman" w:hAnsi="Times New Roman" w:eastAsia="宋体"/>
                    </w:rPr>
                    <w:t>危险废物类别</w:t>
                  </w:r>
                </w:p>
              </w:tc>
              <w:tc>
                <w:tcPr>
                  <w:tcW w:w="703" w:type="pct"/>
                  <w:tcBorders>
                    <w:top w:val="single" w:color="auto" w:sz="12" w:space="0"/>
                    <w:left w:val="single" w:color="auto" w:sz="6" w:space="0"/>
                    <w:bottom w:val="single" w:color="auto" w:sz="6" w:space="0"/>
                    <w:right w:val="single" w:color="auto" w:sz="6" w:space="0"/>
                  </w:tcBorders>
                  <w:vAlign w:val="center"/>
                </w:tcPr>
                <w:p>
                  <w:pPr>
                    <w:topLinePunct/>
                    <w:adjustRightInd w:val="0"/>
                    <w:snapToGrid w:val="0"/>
                    <w:jc w:val="center"/>
                    <w:rPr>
                      <w:rFonts w:ascii="Times New Roman" w:hAnsi="Times New Roman" w:eastAsia="宋体"/>
                    </w:rPr>
                  </w:pPr>
                  <w:r>
                    <w:rPr>
                      <w:rFonts w:ascii="Times New Roman" w:hAnsi="Times New Roman" w:eastAsia="宋体"/>
                    </w:rPr>
                    <w:t>危险废物</w:t>
                  </w:r>
                </w:p>
                <w:p>
                  <w:pPr>
                    <w:topLinePunct/>
                    <w:adjustRightInd w:val="0"/>
                    <w:snapToGrid w:val="0"/>
                    <w:jc w:val="center"/>
                    <w:rPr>
                      <w:rFonts w:ascii="Times New Roman" w:hAnsi="Times New Roman" w:eastAsia="宋体"/>
                    </w:rPr>
                  </w:pPr>
                  <w:r>
                    <w:rPr>
                      <w:rFonts w:ascii="Times New Roman" w:hAnsi="Times New Roman" w:eastAsia="宋体"/>
                    </w:rPr>
                    <w:t>代码</w:t>
                  </w:r>
                </w:p>
              </w:tc>
              <w:tc>
                <w:tcPr>
                  <w:tcW w:w="545" w:type="pct"/>
                  <w:tcBorders>
                    <w:top w:val="single" w:color="auto" w:sz="12" w:space="0"/>
                    <w:left w:val="single" w:color="auto" w:sz="6" w:space="0"/>
                    <w:bottom w:val="single" w:color="auto" w:sz="6" w:space="0"/>
                    <w:right w:val="single" w:color="auto" w:sz="6" w:space="0"/>
                  </w:tcBorders>
                  <w:vAlign w:val="center"/>
                </w:tcPr>
                <w:p>
                  <w:pPr>
                    <w:topLinePunct/>
                    <w:adjustRightInd w:val="0"/>
                    <w:snapToGrid w:val="0"/>
                    <w:jc w:val="center"/>
                    <w:rPr>
                      <w:rFonts w:ascii="Times New Roman" w:hAnsi="Times New Roman" w:eastAsia="宋体"/>
                    </w:rPr>
                  </w:pPr>
                  <w:r>
                    <w:rPr>
                      <w:rFonts w:ascii="Times New Roman" w:hAnsi="Times New Roman" w:eastAsia="宋体"/>
                    </w:rPr>
                    <w:t>位置</w:t>
                  </w:r>
                </w:p>
              </w:tc>
              <w:tc>
                <w:tcPr>
                  <w:tcW w:w="415" w:type="pct"/>
                  <w:tcBorders>
                    <w:top w:val="single" w:color="auto" w:sz="12" w:space="0"/>
                    <w:left w:val="single" w:color="auto" w:sz="6" w:space="0"/>
                    <w:bottom w:val="single" w:color="auto" w:sz="6" w:space="0"/>
                    <w:right w:val="single" w:color="auto" w:sz="6" w:space="0"/>
                  </w:tcBorders>
                  <w:vAlign w:val="center"/>
                </w:tcPr>
                <w:p>
                  <w:pPr>
                    <w:topLinePunct/>
                    <w:adjustRightInd w:val="0"/>
                    <w:snapToGrid w:val="0"/>
                    <w:jc w:val="center"/>
                    <w:rPr>
                      <w:rFonts w:ascii="Times New Roman" w:hAnsi="Times New Roman" w:eastAsia="宋体"/>
                    </w:rPr>
                  </w:pPr>
                  <w:r>
                    <w:rPr>
                      <w:rFonts w:ascii="Times New Roman" w:hAnsi="Times New Roman" w:eastAsia="宋体"/>
                    </w:rPr>
                    <w:t>占地面积</w:t>
                  </w:r>
                </w:p>
              </w:tc>
              <w:tc>
                <w:tcPr>
                  <w:tcW w:w="600" w:type="pct"/>
                  <w:tcBorders>
                    <w:top w:val="single" w:color="auto" w:sz="12" w:space="0"/>
                    <w:left w:val="single" w:color="auto" w:sz="6" w:space="0"/>
                    <w:bottom w:val="single" w:color="auto" w:sz="6" w:space="0"/>
                    <w:right w:val="single" w:color="auto" w:sz="6" w:space="0"/>
                  </w:tcBorders>
                  <w:vAlign w:val="center"/>
                </w:tcPr>
                <w:p>
                  <w:pPr>
                    <w:topLinePunct/>
                    <w:adjustRightInd w:val="0"/>
                    <w:snapToGrid w:val="0"/>
                    <w:jc w:val="center"/>
                    <w:rPr>
                      <w:rFonts w:ascii="Times New Roman" w:hAnsi="Times New Roman" w:eastAsia="宋体"/>
                    </w:rPr>
                  </w:pPr>
                  <w:r>
                    <w:rPr>
                      <w:rFonts w:ascii="Times New Roman" w:hAnsi="Times New Roman" w:eastAsia="宋体"/>
                    </w:rPr>
                    <w:t>贮存方式</w:t>
                  </w:r>
                </w:p>
              </w:tc>
              <w:tc>
                <w:tcPr>
                  <w:tcW w:w="420" w:type="pct"/>
                  <w:tcBorders>
                    <w:top w:val="single" w:color="auto" w:sz="12" w:space="0"/>
                    <w:left w:val="single" w:color="auto" w:sz="6" w:space="0"/>
                    <w:bottom w:val="single" w:color="auto" w:sz="6" w:space="0"/>
                    <w:right w:val="single" w:color="auto" w:sz="6" w:space="0"/>
                  </w:tcBorders>
                  <w:vAlign w:val="center"/>
                </w:tcPr>
                <w:p>
                  <w:pPr>
                    <w:topLinePunct/>
                    <w:adjustRightInd w:val="0"/>
                    <w:snapToGrid w:val="0"/>
                    <w:jc w:val="center"/>
                    <w:rPr>
                      <w:rFonts w:ascii="Times New Roman" w:hAnsi="Times New Roman" w:eastAsia="宋体"/>
                    </w:rPr>
                  </w:pPr>
                  <w:r>
                    <w:rPr>
                      <w:rFonts w:ascii="Times New Roman" w:hAnsi="Times New Roman" w:eastAsia="宋体"/>
                    </w:rPr>
                    <w:t>贮存能力</w:t>
                  </w:r>
                </w:p>
              </w:tc>
              <w:tc>
                <w:tcPr>
                  <w:tcW w:w="594" w:type="pct"/>
                  <w:tcBorders>
                    <w:top w:val="single" w:color="auto" w:sz="12" w:space="0"/>
                    <w:left w:val="single" w:color="auto" w:sz="6" w:space="0"/>
                    <w:bottom w:val="single" w:color="auto" w:sz="6" w:space="0"/>
                    <w:right w:val="nil"/>
                  </w:tcBorders>
                  <w:vAlign w:val="center"/>
                </w:tcPr>
                <w:p>
                  <w:pPr>
                    <w:topLinePunct/>
                    <w:adjustRightInd w:val="0"/>
                    <w:snapToGrid w:val="0"/>
                    <w:jc w:val="center"/>
                    <w:rPr>
                      <w:rFonts w:ascii="Times New Roman" w:hAnsi="Times New Roman" w:eastAsia="宋体"/>
                    </w:rPr>
                  </w:pPr>
                  <w:r>
                    <w:rPr>
                      <w:rFonts w:ascii="Times New Roman" w:hAnsi="Times New Roman" w:eastAsia="宋体"/>
                    </w:rPr>
                    <w:t>贮存周期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75" w:type="pct"/>
                  <w:vMerge w:val="restart"/>
                  <w:tcBorders>
                    <w:top w:val="single" w:color="auto" w:sz="6" w:space="0"/>
                    <w:left w:val="nil"/>
                    <w:bottom w:val="single" w:color="auto" w:sz="12" w:space="0"/>
                    <w:right w:val="single" w:color="auto" w:sz="6" w:space="0"/>
                  </w:tcBorders>
                  <w:vAlign w:val="center"/>
                </w:tcPr>
                <w:p>
                  <w:pPr>
                    <w:topLinePunct/>
                    <w:adjustRightInd w:val="0"/>
                    <w:snapToGrid w:val="0"/>
                    <w:jc w:val="center"/>
                    <w:rPr>
                      <w:rFonts w:ascii="Times New Roman" w:hAnsi="Times New Roman" w:eastAsia="宋体"/>
                    </w:rPr>
                  </w:pPr>
                  <w:r>
                    <w:rPr>
                      <w:rFonts w:ascii="Times New Roman" w:hAnsi="Times New Roman" w:eastAsia="宋体"/>
                    </w:rPr>
                    <w:t>危废暂存间</w:t>
                  </w:r>
                </w:p>
              </w:tc>
              <w:tc>
                <w:tcPr>
                  <w:tcW w:w="619" w:type="pct"/>
                  <w:tcBorders>
                    <w:top w:val="single" w:color="auto" w:sz="6" w:space="0"/>
                    <w:left w:val="single" w:color="auto" w:sz="6" w:space="0"/>
                    <w:bottom w:val="single" w:color="auto" w:sz="6" w:space="0"/>
                    <w:right w:val="single" w:color="auto" w:sz="6" w:space="0"/>
                  </w:tcBorders>
                  <w:vAlign w:val="center"/>
                </w:tcPr>
                <w:p>
                  <w:pPr>
                    <w:topLinePunct/>
                    <w:adjustRightInd w:val="0"/>
                    <w:snapToGrid w:val="0"/>
                    <w:jc w:val="center"/>
                    <w:rPr>
                      <w:rFonts w:ascii="Times New Roman" w:hAnsi="Times New Roman" w:eastAsia="宋体"/>
                    </w:rPr>
                  </w:pPr>
                  <w:r>
                    <w:rPr>
                      <w:rFonts w:ascii="Times New Roman" w:hAnsi="Times New Roman" w:eastAsia="宋体"/>
                    </w:rPr>
                    <w:t>废乳化液</w:t>
                  </w:r>
                </w:p>
              </w:tc>
              <w:tc>
                <w:tcPr>
                  <w:tcW w:w="626" w:type="pct"/>
                  <w:tcBorders>
                    <w:top w:val="single" w:color="auto" w:sz="6" w:space="0"/>
                    <w:left w:val="single" w:color="auto" w:sz="6" w:space="0"/>
                    <w:bottom w:val="single" w:color="auto" w:sz="6" w:space="0"/>
                    <w:right w:val="single" w:color="auto" w:sz="6" w:space="0"/>
                  </w:tcBorders>
                  <w:vAlign w:val="center"/>
                </w:tcPr>
                <w:p>
                  <w:pPr>
                    <w:topLinePunct/>
                    <w:adjustRightInd w:val="0"/>
                    <w:snapToGrid w:val="0"/>
                    <w:jc w:val="center"/>
                    <w:rPr>
                      <w:rFonts w:ascii="Times New Roman" w:hAnsi="Times New Roman" w:eastAsia="宋体"/>
                    </w:rPr>
                  </w:pPr>
                  <w:r>
                    <w:rPr>
                      <w:rFonts w:ascii="Times New Roman" w:hAnsi="Times New Roman" w:eastAsia="宋体"/>
                    </w:rPr>
                    <w:t>HW09</w:t>
                  </w:r>
                </w:p>
              </w:tc>
              <w:tc>
                <w:tcPr>
                  <w:tcW w:w="703" w:type="pct"/>
                  <w:tcBorders>
                    <w:top w:val="single" w:color="auto" w:sz="6" w:space="0"/>
                    <w:left w:val="single" w:color="auto" w:sz="6" w:space="0"/>
                    <w:bottom w:val="single" w:color="auto" w:sz="6" w:space="0"/>
                    <w:right w:val="single" w:color="auto" w:sz="6" w:space="0"/>
                  </w:tcBorders>
                  <w:vAlign w:val="center"/>
                </w:tcPr>
                <w:p>
                  <w:pPr>
                    <w:topLinePunct/>
                    <w:adjustRightInd w:val="0"/>
                    <w:snapToGrid w:val="0"/>
                    <w:jc w:val="center"/>
                    <w:rPr>
                      <w:rFonts w:ascii="Times New Roman" w:hAnsi="Times New Roman" w:eastAsia="宋体"/>
                    </w:rPr>
                  </w:pPr>
                  <w:r>
                    <w:rPr>
                      <w:rFonts w:ascii="Times New Roman" w:hAnsi="Times New Roman" w:eastAsia="宋体"/>
                    </w:rPr>
                    <w:t>900-006-09</w:t>
                  </w:r>
                </w:p>
              </w:tc>
              <w:tc>
                <w:tcPr>
                  <w:tcW w:w="545" w:type="pct"/>
                  <w:vMerge w:val="restart"/>
                  <w:tcBorders>
                    <w:top w:val="single" w:color="auto" w:sz="6" w:space="0"/>
                    <w:left w:val="single" w:color="auto" w:sz="6" w:space="0"/>
                    <w:bottom w:val="single" w:color="auto" w:sz="12" w:space="0"/>
                    <w:right w:val="single" w:color="auto" w:sz="6" w:space="0"/>
                  </w:tcBorders>
                  <w:vAlign w:val="center"/>
                </w:tcPr>
                <w:p>
                  <w:pPr>
                    <w:topLinePunct/>
                    <w:adjustRightInd w:val="0"/>
                    <w:snapToGrid w:val="0"/>
                    <w:jc w:val="center"/>
                    <w:rPr>
                      <w:rFonts w:hint="eastAsia" w:ascii="Times New Roman" w:hAnsi="Times New Roman" w:eastAsia="宋体"/>
                      <w:lang w:eastAsia="zh-CN"/>
                    </w:rPr>
                  </w:pPr>
                  <w:r>
                    <w:rPr>
                      <w:rFonts w:hint="eastAsia" w:ascii="Times New Roman" w:hAnsi="Times New Roman" w:eastAsia="宋体"/>
                      <w:lang w:eastAsia="zh-CN"/>
                    </w:rPr>
                    <w:t>机加工车间</w:t>
                  </w:r>
                </w:p>
              </w:tc>
              <w:tc>
                <w:tcPr>
                  <w:tcW w:w="415" w:type="pct"/>
                  <w:vMerge w:val="restart"/>
                  <w:tcBorders>
                    <w:top w:val="single" w:color="auto" w:sz="6" w:space="0"/>
                    <w:left w:val="single" w:color="auto" w:sz="6" w:space="0"/>
                    <w:bottom w:val="single" w:color="auto" w:sz="12" w:space="0"/>
                    <w:right w:val="single" w:color="auto" w:sz="6" w:space="0"/>
                  </w:tcBorders>
                  <w:vAlign w:val="center"/>
                </w:tcPr>
                <w:p>
                  <w:pPr>
                    <w:topLinePunct/>
                    <w:adjustRightInd w:val="0"/>
                    <w:snapToGrid w:val="0"/>
                    <w:jc w:val="center"/>
                    <w:rPr>
                      <w:rFonts w:ascii="Times New Roman" w:hAnsi="Times New Roman" w:eastAsia="宋体"/>
                    </w:rPr>
                  </w:pPr>
                  <w:r>
                    <w:rPr>
                      <w:rFonts w:ascii="Times New Roman" w:hAnsi="Times New Roman" w:eastAsia="宋体"/>
                    </w:rPr>
                    <w:t>10m</w:t>
                  </w:r>
                  <w:r>
                    <w:rPr>
                      <w:rFonts w:ascii="Times New Roman" w:hAnsi="Times New Roman" w:eastAsia="宋体"/>
                      <w:vertAlign w:val="superscript"/>
                    </w:rPr>
                    <w:t>2</w:t>
                  </w:r>
                </w:p>
              </w:tc>
              <w:tc>
                <w:tcPr>
                  <w:tcW w:w="600" w:type="pct"/>
                  <w:vMerge w:val="restart"/>
                  <w:tcBorders>
                    <w:top w:val="single" w:color="auto" w:sz="6" w:space="0"/>
                    <w:left w:val="single" w:color="auto" w:sz="6" w:space="0"/>
                    <w:bottom w:val="single" w:color="auto" w:sz="12" w:space="0"/>
                    <w:right w:val="single" w:color="auto" w:sz="6" w:space="0"/>
                  </w:tcBorders>
                  <w:vAlign w:val="center"/>
                </w:tcPr>
                <w:p>
                  <w:pPr>
                    <w:topLinePunct/>
                    <w:adjustRightInd w:val="0"/>
                    <w:snapToGrid w:val="0"/>
                    <w:jc w:val="center"/>
                    <w:rPr>
                      <w:rFonts w:ascii="Times New Roman" w:hAnsi="Times New Roman" w:eastAsia="宋体"/>
                    </w:rPr>
                  </w:pPr>
                  <w:r>
                    <w:rPr>
                      <w:rFonts w:ascii="Times New Roman" w:hAnsi="Times New Roman" w:eastAsia="宋体"/>
                    </w:rPr>
                    <w:t>专用容器单独存放</w:t>
                  </w:r>
                </w:p>
              </w:tc>
              <w:tc>
                <w:tcPr>
                  <w:tcW w:w="420" w:type="pct"/>
                  <w:vMerge w:val="restart"/>
                  <w:tcBorders>
                    <w:top w:val="single" w:color="auto" w:sz="6" w:space="0"/>
                    <w:left w:val="single" w:color="auto" w:sz="6" w:space="0"/>
                    <w:bottom w:val="single" w:color="auto" w:sz="12" w:space="0"/>
                    <w:right w:val="single" w:color="auto" w:sz="6" w:space="0"/>
                  </w:tcBorders>
                  <w:vAlign w:val="center"/>
                </w:tcPr>
                <w:p>
                  <w:pPr>
                    <w:topLinePunct/>
                    <w:adjustRightInd w:val="0"/>
                    <w:snapToGrid w:val="0"/>
                    <w:jc w:val="center"/>
                    <w:rPr>
                      <w:rFonts w:ascii="Times New Roman" w:hAnsi="Times New Roman" w:eastAsia="宋体"/>
                    </w:rPr>
                  </w:pPr>
                  <w:r>
                    <w:rPr>
                      <w:rFonts w:ascii="Times New Roman" w:hAnsi="Times New Roman" w:eastAsia="宋体"/>
                    </w:rPr>
                    <w:t>5t/a</w:t>
                  </w:r>
                </w:p>
              </w:tc>
              <w:tc>
                <w:tcPr>
                  <w:tcW w:w="594" w:type="pct"/>
                  <w:vMerge w:val="restart"/>
                  <w:tcBorders>
                    <w:top w:val="single" w:color="auto" w:sz="6" w:space="0"/>
                    <w:left w:val="single" w:color="auto" w:sz="6" w:space="0"/>
                    <w:bottom w:val="single" w:color="auto" w:sz="12" w:space="0"/>
                    <w:right w:val="nil"/>
                  </w:tcBorders>
                  <w:vAlign w:val="center"/>
                </w:tcPr>
                <w:p>
                  <w:pPr>
                    <w:topLinePunct/>
                    <w:adjustRightInd w:val="0"/>
                    <w:snapToGrid w:val="0"/>
                    <w:jc w:val="center"/>
                    <w:rPr>
                      <w:rFonts w:ascii="Times New Roman" w:hAnsi="Times New Roman" w:eastAsia="宋体"/>
                    </w:rPr>
                  </w:pPr>
                  <w:r>
                    <w:rPr>
                      <w:rFonts w:ascii="Times New Roman" w:hAnsi="Times New Roman" w:eastAsia="宋体"/>
                    </w:rPr>
                    <w:t>100d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75" w:type="pct"/>
                  <w:vMerge w:val="continue"/>
                  <w:tcBorders>
                    <w:top w:val="single" w:color="auto" w:sz="6" w:space="0"/>
                    <w:left w:val="nil"/>
                    <w:bottom w:val="single" w:color="auto" w:sz="12" w:space="0"/>
                    <w:right w:val="single" w:color="auto" w:sz="6" w:space="0"/>
                  </w:tcBorders>
                  <w:vAlign w:val="center"/>
                </w:tcPr>
                <w:p>
                  <w:pPr>
                    <w:widowControl/>
                    <w:jc w:val="left"/>
                    <w:rPr>
                      <w:rFonts w:ascii="Times New Roman" w:hAnsi="Times New Roman" w:eastAsia="宋体"/>
                    </w:rPr>
                  </w:pPr>
                </w:p>
              </w:tc>
              <w:tc>
                <w:tcPr>
                  <w:tcW w:w="619" w:type="pct"/>
                  <w:tcBorders>
                    <w:top w:val="single" w:color="auto" w:sz="6" w:space="0"/>
                    <w:left w:val="single" w:color="auto" w:sz="6" w:space="0"/>
                    <w:bottom w:val="single" w:color="auto" w:sz="12" w:space="0"/>
                    <w:right w:val="single" w:color="auto" w:sz="6" w:space="0"/>
                  </w:tcBorders>
                  <w:vAlign w:val="center"/>
                </w:tcPr>
                <w:p>
                  <w:pPr>
                    <w:topLinePunct/>
                    <w:adjustRightInd w:val="0"/>
                    <w:snapToGrid w:val="0"/>
                    <w:jc w:val="center"/>
                    <w:rPr>
                      <w:rFonts w:ascii="Times New Roman" w:hAnsi="Times New Roman" w:eastAsia="宋体"/>
                    </w:rPr>
                  </w:pPr>
                  <w:r>
                    <w:rPr>
                      <w:rFonts w:ascii="Times New Roman" w:hAnsi="Times New Roman" w:eastAsia="宋体"/>
                    </w:rPr>
                    <w:t>废机油</w:t>
                  </w:r>
                </w:p>
              </w:tc>
              <w:tc>
                <w:tcPr>
                  <w:tcW w:w="626" w:type="pct"/>
                  <w:tcBorders>
                    <w:top w:val="single" w:color="auto" w:sz="6" w:space="0"/>
                    <w:left w:val="single" w:color="auto" w:sz="6" w:space="0"/>
                    <w:bottom w:val="single" w:color="auto" w:sz="12" w:space="0"/>
                    <w:right w:val="single" w:color="auto" w:sz="6" w:space="0"/>
                  </w:tcBorders>
                  <w:vAlign w:val="center"/>
                </w:tcPr>
                <w:p>
                  <w:pPr>
                    <w:topLinePunct/>
                    <w:adjustRightInd w:val="0"/>
                    <w:snapToGrid w:val="0"/>
                    <w:jc w:val="center"/>
                    <w:rPr>
                      <w:rFonts w:ascii="Times New Roman" w:hAnsi="Times New Roman" w:eastAsia="宋体"/>
                    </w:rPr>
                  </w:pPr>
                  <w:r>
                    <w:rPr>
                      <w:rFonts w:ascii="Times New Roman" w:hAnsi="Times New Roman" w:eastAsia="宋体"/>
                    </w:rPr>
                    <w:t>HW08</w:t>
                  </w:r>
                </w:p>
              </w:tc>
              <w:tc>
                <w:tcPr>
                  <w:tcW w:w="703" w:type="pct"/>
                  <w:tcBorders>
                    <w:top w:val="single" w:color="auto" w:sz="6" w:space="0"/>
                    <w:left w:val="single" w:color="auto" w:sz="6" w:space="0"/>
                    <w:bottom w:val="single" w:color="auto" w:sz="12" w:space="0"/>
                    <w:right w:val="single" w:color="auto" w:sz="6" w:space="0"/>
                  </w:tcBorders>
                  <w:vAlign w:val="center"/>
                </w:tcPr>
                <w:p>
                  <w:pPr>
                    <w:topLinePunct/>
                    <w:adjustRightInd w:val="0"/>
                    <w:snapToGrid w:val="0"/>
                    <w:jc w:val="center"/>
                    <w:rPr>
                      <w:rFonts w:ascii="Times New Roman" w:hAnsi="Times New Roman" w:eastAsia="宋体"/>
                    </w:rPr>
                  </w:pPr>
                  <w:r>
                    <w:rPr>
                      <w:rFonts w:ascii="Times New Roman" w:hAnsi="Times New Roman" w:eastAsia="宋体"/>
                    </w:rPr>
                    <w:t>900-249-08</w:t>
                  </w:r>
                </w:p>
              </w:tc>
              <w:tc>
                <w:tcPr>
                  <w:tcW w:w="545" w:type="pct"/>
                  <w:vMerge w:val="continue"/>
                  <w:tcBorders>
                    <w:top w:val="single" w:color="auto" w:sz="6" w:space="0"/>
                    <w:left w:val="single" w:color="auto" w:sz="6" w:space="0"/>
                    <w:bottom w:val="single" w:color="auto" w:sz="12" w:space="0"/>
                    <w:right w:val="single" w:color="auto" w:sz="6" w:space="0"/>
                  </w:tcBorders>
                  <w:vAlign w:val="center"/>
                </w:tcPr>
                <w:p>
                  <w:pPr>
                    <w:widowControl/>
                    <w:jc w:val="left"/>
                    <w:rPr>
                      <w:rFonts w:ascii="Times New Roman" w:hAnsi="Times New Roman" w:eastAsia="宋体"/>
                    </w:rPr>
                  </w:pPr>
                </w:p>
              </w:tc>
              <w:tc>
                <w:tcPr>
                  <w:tcW w:w="415" w:type="pct"/>
                  <w:vMerge w:val="continue"/>
                  <w:tcBorders>
                    <w:top w:val="single" w:color="auto" w:sz="6" w:space="0"/>
                    <w:left w:val="single" w:color="auto" w:sz="6" w:space="0"/>
                    <w:bottom w:val="single" w:color="auto" w:sz="12" w:space="0"/>
                    <w:right w:val="single" w:color="auto" w:sz="6" w:space="0"/>
                  </w:tcBorders>
                  <w:vAlign w:val="center"/>
                </w:tcPr>
                <w:p>
                  <w:pPr>
                    <w:widowControl/>
                    <w:jc w:val="left"/>
                    <w:rPr>
                      <w:rFonts w:ascii="Times New Roman" w:hAnsi="Times New Roman" w:eastAsia="宋体"/>
                    </w:rPr>
                  </w:pPr>
                </w:p>
              </w:tc>
              <w:tc>
                <w:tcPr>
                  <w:tcW w:w="600" w:type="pct"/>
                  <w:vMerge w:val="continue"/>
                  <w:tcBorders>
                    <w:top w:val="single" w:color="auto" w:sz="6" w:space="0"/>
                    <w:left w:val="single" w:color="auto" w:sz="6" w:space="0"/>
                    <w:bottom w:val="single" w:color="auto" w:sz="12" w:space="0"/>
                    <w:right w:val="single" w:color="auto" w:sz="6" w:space="0"/>
                  </w:tcBorders>
                  <w:vAlign w:val="center"/>
                </w:tcPr>
                <w:p>
                  <w:pPr>
                    <w:widowControl/>
                    <w:jc w:val="left"/>
                    <w:rPr>
                      <w:rFonts w:ascii="Times New Roman" w:hAnsi="Times New Roman" w:eastAsia="宋体"/>
                    </w:rPr>
                  </w:pPr>
                </w:p>
              </w:tc>
              <w:tc>
                <w:tcPr>
                  <w:tcW w:w="420" w:type="pct"/>
                  <w:vMerge w:val="continue"/>
                  <w:tcBorders>
                    <w:top w:val="single" w:color="auto" w:sz="6" w:space="0"/>
                    <w:left w:val="single" w:color="auto" w:sz="6" w:space="0"/>
                    <w:bottom w:val="single" w:color="auto" w:sz="12" w:space="0"/>
                    <w:right w:val="single" w:color="auto" w:sz="6" w:space="0"/>
                  </w:tcBorders>
                  <w:vAlign w:val="center"/>
                </w:tcPr>
                <w:p>
                  <w:pPr>
                    <w:widowControl/>
                    <w:jc w:val="left"/>
                    <w:rPr>
                      <w:rFonts w:ascii="Times New Roman" w:hAnsi="Times New Roman" w:eastAsia="宋体"/>
                    </w:rPr>
                  </w:pPr>
                </w:p>
              </w:tc>
              <w:tc>
                <w:tcPr>
                  <w:tcW w:w="594" w:type="pct"/>
                  <w:vMerge w:val="continue"/>
                  <w:tcBorders>
                    <w:top w:val="single" w:color="auto" w:sz="6" w:space="0"/>
                    <w:left w:val="single" w:color="auto" w:sz="6" w:space="0"/>
                    <w:bottom w:val="single" w:color="auto" w:sz="12" w:space="0"/>
                    <w:right w:val="nil"/>
                  </w:tcBorders>
                  <w:vAlign w:val="center"/>
                </w:tcPr>
                <w:p>
                  <w:pPr>
                    <w:widowControl/>
                    <w:jc w:val="left"/>
                    <w:rPr>
                      <w:rFonts w:ascii="Times New Roman" w:hAnsi="Times New Roman" w:eastAsia="宋体"/>
                    </w:rPr>
                  </w:pPr>
                </w:p>
              </w:tc>
            </w:tr>
          </w:tbl>
          <w:p>
            <w:pPr>
              <w:spacing w:line="540" w:lineRule="exact"/>
              <w:ind w:firstLine="437"/>
              <w:rPr>
                <w:rFonts w:ascii="Times New Roman" w:hAnsi="Times New Roman" w:eastAsia="宋体"/>
                <w:sz w:val="24"/>
                <w:szCs w:val="24"/>
              </w:rPr>
            </w:pPr>
            <w:r>
              <w:rPr>
                <w:rFonts w:hint="eastAsia" w:ascii="Times New Roman" w:hAnsi="Times New Roman" w:eastAsia="宋体"/>
                <w:sz w:val="24"/>
                <w:szCs w:val="24"/>
              </w:rPr>
              <w:t>为降低危险废物收集、贮存、处置、转移过程中对周围环境的影响，本项目建设单位采取有以下防治措施：</w:t>
            </w:r>
          </w:p>
          <w:p>
            <w:pPr>
              <w:spacing w:line="540" w:lineRule="exact"/>
              <w:ind w:firstLine="437"/>
              <w:rPr>
                <w:rFonts w:ascii="Times New Roman" w:hAnsi="Times New Roman" w:eastAsia="宋体"/>
                <w:sz w:val="24"/>
                <w:szCs w:val="24"/>
              </w:rPr>
            </w:pPr>
            <w:r>
              <w:rPr>
                <w:rFonts w:hint="eastAsia" w:ascii="Times New Roman" w:hAnsi="Times New Roman" w:eastAsia="宋体"/>
                <w:sz w:val="24"/>
                <w:szCs w:val="24"/>
              </w:rPr>
              <w:t>①危险废物收集过程中采用专用的收集容器（密闭、防腐蚀）进行收集；</w:t>
            </w:r>
          </w:p>
          <w:p>
            <w:pPr>
              <w:spacing w:line="540" w:lineRule="exact"/>
              <w:ind w:firstLine="437"/>
              <w:rPr>
                <w:rFonts w:ascii="Times New Roman" w:hAnsi="Times New Roman" w:eastAsia="宋体"/>
                <w:sz w:val="24"/>
                <w:szCs w:val="24"/>
              </w:rPr>
            </w:pPr>
            <w:r>
              <w:rPr>
                <w:rFonts w:hint="eastAsia" w:ascii="Times New Roman" w:hAnsi="Times New Roman" w:eastAsia="宋体"/>
                <w:sz w:val="24"/>
                <w:szCs w:val="24"/>
              </w:rPr>
              <w:t>②危险废物与其他一般固废分类收集和贮存；</w:t>
            </w:r>
          </w:p>
          <w:p>
            <w:pPr>
              <w:spacing w:line="540" w:lineRule="exact"/>
              <w:ind w:firstLine="437"/>
              <w:rPr>
                <w:rFonts w:ascii="Times New Roman" w:hAnsi="Times New Roman" w:eastAsia="宋体"/>
                <w:sz w:val="24"/>
                <w:szCs w:val="24"/>
              </w:rPr>
            </w:pPr>
            <w:r>
              <w:rPr>
                <w:rFonts w:hint="eastAsia" w:ascii="Times New Roman" w:hAnsi="Times New Roman" w:eastAsia="宋体"/>
                <w:sz w:val="24"/>
                <w:szCs w:val="24"/>
              </w:rPr>
              <w:t>③建设单位做有危险废物管理台账，并设专人负责，对出入库的危险废物如实记录；</w:t>
            </w:r>
          </w:p>
          <w:p>
            <w:pPr>
              <w:spacing w:line="540" w:lineRule="exact"/>
              <w:ind w:firstLine="437"/>
              <w:rPr>
                <w:rFonts w:ascii="Times New Roman" w:hAnsi="Times New Roman" w:eastAsia="宋体"/>
                <w:sz w:val="24"/>
                <w:szCs w:val="24"/>
              </w:rPr>
            </w:pPr>
            <w:r>
              <w:rPr>
                <w:rFonts w:hint="eastAsia" w:ascii="Times New Roman" w:hAnsi="Times New Roman" w:eastAsia="宋体"/>
                <w:sz w:val="24"/>
                <w:szCs w:val="24"/>
              </w:rPr>
              <w:t>④与有资质的危险废物处置</w:t>
            </w:r>
            <w:r>
              <w:rPr>
                <w:rFonts w:hint="eastAsia" w:ascii="Times New Roman" w:hAnsi="Times New Roman" w:eastAsia="宋体"/>
                <w:sz w:val="24"/>
                <w:szCs w:val="24"/>
                <w:lang w:eastAsia="zh-CN"/>
              </w:rPr>
              <w:t>单位</w:t>
            </w:r>
            <w:r>
              <w:rPr>
                <w:rFonts w:hint="eastAsia" w:ascii="Times New Roman" w:hAnsi="Times New Roman" w:eastAsia="宋体"/>
                <w:sz w:val="24"/>
                <w:szCs w:val="24"/>
              </w:rPr>
              <w:t>签订有处置协议；</w:t>
            </w:r>
          </w:p>
          <w:p>
            <w:pPr>
              <w:spacing w:line="540" w:lineRule="exact"/>
              <w:ind w:firstLine="437"/>
              <w:rPr>
                <w:rFonts w:ascii="Times New Roman" w:hAnsi="Times New Roman" w:eastAsia="宋体"/>
                <w:sz w:val="24"/>
                <w:szCs w:val="24"/>
              </w:rPr>
            </w:pPr>
            <w:r>
              <w:rPr>
                <w:rFonts w:hint="eastAsia" w:ascii="Times New Roman" w:hAnsi="Times New Roman" w:eastAsia="宋体"/>
                <w:sz w:val="24"/>
                <w:szCs w:val="24"/>
              </w:rPr>
              <w:t>⑤危险废物的转移严格按照《危险废物转移联单管理办法》的规定执行。</w:t>
            </w:r>
          </w:p>
          <w:p>
            <w:pPr>
              <w:spacing w:line="540" w:lineRule="exact"/>
              <w:ind w:firstLine="437"/>
              <w:rPr>
                <w:rFonts w:ascii="Times New Roman" w:hAnsi="Times New Roman" w:eastAsia="宋体"/>
                <w:sz w:val="24"/>
                <w:szCs w:val="24"/>
              </w:rPr>
            </w:pPr>
            <w:r>
              <w:rPr>
                <w:rFonts w:hint="eastAsia" w:ascii="Times New Roman" w:hAnsi="Times New Roman" w:eastAsia="宋体"/>
                <w:sz w:val="24"/>
                <w:szCs w:val="24"/>
              </w:rPr>
              <w:t>通过采上以上措施后，本项目固体废物均得到资源利用或安全处置，对周围环境影响较小。</w:t>
            </w:r>
          </w:p>
          <w:p>
            <w:pPr>
              <w:pageBreakBefore w:val="0"/>
              <w:widowControl/>
              <w:kinsoku/>
              <w:wordWrap/>
              <w:overflowPunct/>
              <w:topLinePunct w:val="0"/>
              <w:autoSpaceDE/>
              <w:autoSpaceDN/>
              <w:bidi w:val="0"/>
              <w:adjustRightInd/>
              <w:snapToGrid w:val="0"/>
              <w:spacing w:line="520" w:lineRule="exact"/>
              <w:ind w:firstLine="472" w:firstLineChars="196"/>
              <w:textAlignment w:val="auto"/>
              <w:rPr>
                <w:rFonts w:hint="default" w:ascii="Times New Roman" w:hAnsi="Times New Roman" w:eastAsia="宋体" w:cs="Times New Roman"/>
                <w:b/>
                <w:bCs/>
                <w:sz w:val="24"/>
                <w:szCs w:val="24"/>
                <w:lang w:val="en-US" w:eastAsia="zh-CN"/>
              </w:rPr>
            </w:pPr>
            <w:r>
              <w:rPr>
                <w:rFonts w:hint="eastAsia" w:ascii="Times New Roman" w:hAnsi="Times New Roman" w:eastAsia="宋体" w:cs="Times New Roman"/>
                <w:b/>
                <w:bCs/>
                <w:sz w:val="24"/>
                <w:szCs w:val="24"/>
                <w:lang w:val="en-US" w:eastAsia="zh-CN"/>
              </w:rPr>
              <w:t>6</w:t>
            </w:r>
            <w:r>
              <w:rPr>
                <w:rFonts w:hint="default" w:ascii="Times New Roman" w:hAnsi="Times New Roman" w:eastAsia="宋体" w:cs="Times New Roman"/>
                <w:b/>
                <w:bCs/>
                <w:sz w:val="24"/>
                <w:szCs w:val="24"/>
                <w:lang w:val="en-US" w:eastAsia="zh-CN"/>
              </w:rPr>
              <w:t>、土壤环境影响分析</w:t>
            </w:r>
          </w:p>
          <w:p>
            <w:pPr>
              <w:spacing w:line="520" w:lineRule="exact"/>
              <w:ind w:firstLine="480" w:firstLineChars="200"/>
              <w:rPr>
                <w:rFonts w:ascii="Times New Roman" w:hAnsi="Times New Roman" w:eastAsia="宋体"/>
                <w:bCs/>
                <w:sz w:val="24"/>
              </w:rPr>
            </w:pPr>
            <w:r>
              <w:rPr>
                <w:rFonts w:ascii="Times New Roman" w:hAnsi="Times New Roman" w:eastAsia="宋体"/>
                <w:sz w:val="24"/>
              </w:rPr>
              <w:t>本项目位于</w:t>
            </w:r>
            <w:r>
              <w:rPr>
                <w:rFonts w:hint="eastAsia" w:ascii="Times New Roman" w:hAnsi="Times New Roman" w:eastAsia="宋体"/>
                <w:sz w:val="24"/>
                <w:lang w:eastAsia="zh-CN"/>
              </w:rPr>
              <w:t>平顶山市卫东区矿工路59号院</w:t>
            </w:r>
            <w:r>
              <w:rPr>
                <w:rFonts w:ascii="Times New Roman" w:hAnsi="Times New Roman" w:eastAsia="宋体"/>
                <w:bCs/>
                <w:sz w:val="24"/>
              </w:rPr>
              <w:t>。根据《环境影响评价技术导则 土壤环境（试行）》（HJ964-2018）附录A可知，本项目行业类别为制造业中“设备制造、金属制品、汽车制造及其他用品制造”，其中“有电镀工艺的；金属制品表面热处理及热处理加工的；使用有机涂层的（喷粉、喷塑和电泳除外）；有钝化工艺的热镀锌”土壤环境影响评价项目类别为</w:t>
            </w:r>
            <w:r>
              <w:rPr>
                <w:rFonts w:ascii="Times New Roman" w:hAnsi="Times New Roman" w:eastAsia="宋体" w:cs="宋体"/>
                <w:bCs/>
                <w:sz w:val="24"/>
              </w:rPr>
              <w:t>Ⅰ</w:t>
            </w:r>
            <w:r>
              <w:rPr>
                <w:rFonts w:ascii="Times New Roman" w:hAnsi="Times New Roman" w:eastAsia="宋体"/>
                <w:bCs/>
                <w:sz w:val="24"/>
              </w:rPr>
              <w:t>类，“有化学处理工艺的”为</w:t>
            </w:r>
            <w:r>
              <w:rPr>
                <w:rFonts w:hint="eastAsia" w:ascii="Times New Roman" w:hAnsi="Times New Roman" w:eastAsia="宋体" w:cs="宋体"/>
                <w:bCs/>
                <w:sz w:val="24"/>
              </w:rPr>
              <w:t>II</w:t>
            </w:r>
            <w:r>
              <w:rPr>
                <w:rFonts w:ascii="Times New Roman" w:hAnsi="Times New Roman" w:eastAsia="宋体"/>
                <w:bCs/>
                <w:sz w:val="24"/>
              </w:rPr>
              <w:t>类，“其他”为</w:t>
            </w:r>
            <w:r>
              <w:rPr>
                <w:rFonts w:hint="eastAsia" w:ascii="Times New Roman" w:hAnsi="Times New Roman" w:eastAsia="宋体" w:cs="宋体"/>
                <w:bCs/>
                <w:sz w:val="24"/>
              </w:rPr>
              <w:t>III</w:t>
            </w:r>
            <w:r>
              <w:rPr>
                <w:rFonts w:ascii="Times New Roman" w:hAnsi="Times New Roman" w:eastAsia="宋体"/>
                <w:bCs/>
                <w:sz w:val="24"/>
              </w:rPr>
              <w:t>类。本项目属于“其他”，土壤环境影响评价项目类别为</w:t>
            </w:r>
            <w:r>
              <w:rPr>
                <w:rFonts w:hint="eastAsia" w:ascii="Times New Roman" w:hAnsi="Times New Roman" w:eastAsia="宋体" w:cs="宋体"/>
                <w:bCs/>
                <w:sz w:val="24"/>
              </w:rPr>
              <w:t>III</w:t>
            </w:r>
            <w:r>
              <w:rPr>
                <w:rFonts w:ascii="Times New Roman" w:hAnsi="Times New Roman" w:eastAsia="宋体"/>
                <w:bCs/>
                <w:sz w:val="24"/>
              </w:rPr>
              <w:t>类。</w:t>
            </w:r>
          </w:p>
          <w:p>
            <w:pPr>
              <w:spacing w:line="520" w:lineRule="exact"/>
              <w:ind w:firstLine="480" w:firstLineChars="200"/>
              <w:rPr>
                <w:rFonts w:ascii="Times New Roman" w:hAnsi="Times New Roman" w:eastAsia="宋体"/>
                <w:sz w:val="24"/>
              </w:rPr>
            </w:pPr>
            <w:r>
              <w:rPr>
                <w:rFonts w:ascii="Times New Roman" w:hAnsi="Times New Roman" w:eastAsia="宋体"/>
                <w:sz w:val="24"/>
              </w:rPr>
              <w:t>本项目属污染影响型建设项目，土壤环境评价等级划分表如下：</w:t>
            </w:r>
          </w:p>
          <w:p>
            <w:pPr>
              <w:pStyle w:val="7"/>
              <w:spacing w:beforeLines="50"/>
              <w:jc w:val="center"/>
              <w:rPr>
                <w:rFonts w:hint="default" w:ascii="Times New Roman" w:hAnsi="Times New Roman" w:eastAsia="宋体" w:cs="Times New Roman"/>
                <w:b/>
                <w:bCs w:val="0"/>
                <w:sz w:val="24"/>
                <w:szCs w:val="24"/>
                <w:lang w:val="zh-CN" w:eastAsia="zh-CN"/>
              </w:rPr>
            </w:pPr>
            <w:r>
              <w:rPr>
                <w:rFonts w:hint="default" w:ascii="Times New Roman" w:hAnsi="Times New Roman" w:eastAsia="宋体" w:cs="Times New Roman"/>
                <w:b/>
                <w:bCs w:val="0"/>
                <w:sz w:val="24"/>
                <w:szCs w:val="24"/>
                <w:lang w:val="zh-CN" w:eastAsia="zh-CN"/>
              </w:rPr>
              <w:t>表</w:t>
            </w:r>
            <w:r>
              <w:rPr>
                <w:rFonts w:hint="eastAsia" w:ascii="Times New Roman" w:hAnsi="Times New Roman" w:eastAsia="宋体" w:cs="Times New Roman"/>
                <w:b/>
                <w:bCs w:val="0"/>
                <w:sz w:val="24"/>
                <w:szCs w:val="24"/>
                <w:lang w:val="en-US" w:eastAsia="zh-CN"/>
              </w:rPr>
              <w:t>3</w:t>
            </w:r>
            <w:r>
              <w:rPr>
                <w:rFonts w:hint="eastAsia" w:cs="Times New Roman"/>
                <w:b/>
                <w:bCs w:val="0"/>
                <w:sz w:val="24"/>
                <w:szCs w:val="24"/>
                <w:lang w:val="en-US" w:eastAsia="zh-CN"/>
              </w:rPr>
              <w:t>3</w:t>
            </w:r>
            <w:r>
              <w:rPr>
                <w:rFonts w:hint="default" w:ascii="Times New Roman" w:hAnsi="Times New Roman" w:eastAsia="宋体" w:cs="Times New Roman"/>
                <w:b/>
                <w:bCs w:val="0"/>
                <w:sz w:val="24"/>
                <w:szCs w:val="24"/>
                <w:lang w:val="zh-CN" w:eastAsia="zh-CN"/>
              </w:rPr>
              <w:t xml:space="preserve">  污染影响型土壤环境评价等级划分表</w:t>
            </w:r>
          </w:p>
          <w:tbl>
            <w:tblPr>
              <w:tblStyle w:val="23"/>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2242"/>
              <w:gridCol w:w="776"/>
              <w:gridCol w:w="776"/>
              <w:gridCol w:w="776"/>
              <w:gridCol w:w="780"/>
              <w:gridCol w:w="780"/>
              <w:gridCol w:w="782"/>
              <w:gridCol w:w="718"/>
              <w:gridCol w:w="719"/>
              <w:gridCol w:w="721"/>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36" w:type="pct"/>
                  <w:vMerge w:val="restart"/>
                  <w:tcBorders>
                    <w:top w:val="single" w:color="000000" w:sz="12" w:space="0"/>
                    <w:left w:val="nil"/>
                    <w:bottom w:val="single" w:color="000000" w:sz="4" w:space="0"/>
                    <w:right w:val="single" w:color="000000" w:sz="4" w:space="0"/>
                  </w:tcBorders>
                  <w:vAlign w:val="center"/>
                </w:tcPr>
                <w:p>
                  <w:pPr>
                    <w:widowControl/>
                    <w:adjustRightInd w:val="0"/>
                    <w:snapToGrid w:val="0"/>
                    <w:jc w:val="right"/>
                    <w:rPr>
                      <w:rFonts w:ascii="Times New Roman" w:hAnsi="Times New Roman" w:eastAsia="宋体"/>
                      <w:b/>
                      <w:bCs/>
                      <w:szCs w:val="21"/>
                    </w:rPr>
                  </w:pPr>
                  <w:r>
                    <w:rPr>
                      <w:rFonts w:hint="default" w:ascii="Times New Roman" w:hAnsi="Times New Roman" w:eastAsia="宋体" w:cs="Times New Roman"/>
                      <w:b/>
                      <w:bCs w:val="0"/>
                      <w:sz w:val="24"/>
                      <w:szCs w:val="24"/>
                      <w:lang w:val="zh-CN" w:eastAsia="zh-CN"/>
                    </w:rPr>
                    <w:pict>
                      <v:line id="直接连接符 12" o:spid="_x0000_s2050" o:spt="20" style="position:absolute;left:0pt;margin-left:43.15pt;margin-top:0.55pt;height:41.85pt;width:65.75pt;z-index:251655168;mso-width-relative:margin;mso-height-relative:margin;"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qXIzAEAALoDAAAOAAAAZHJzL2Uyb0RvYy54bWysU0uOEzEQ3SNxB8t70t0ZBY1a6cxiRrBB&#10;EPE5gMddTiz8U9mkO5fgAkjsYMWSPbdhOAZlJ+lBzAghxKba5Xqvql65enkxWsN2gFF71/FmVnMG&#10;Tvpeu03H37x+8uics5iE64XxDjq+h8gvVg8fLIfQwtxvvekBGSVxsR1Cx7cphbaqotyCFXHmAzgK&#10;Ko9WJHJxU/UoBspuTTWv68fV4LEP6CXESLdXhyBflfxKgUwvlIqQmOk49ZaKxWKvs61WS9FuUISt&#10;lsc2xD90YYV2VHRKdSWSYO9Q30lltUQfvUoz6W3lldISigZS09S/qXm1FQGKFhpODNOY4v9LK5/v&#10;1sh0T28358wJS2908+Hr9/effnz7SPbmy2dGERrTEGJL6Eu3xqMXwxqz5lGhzV9Sw8Yy2v00WhgT&#10;k3R5fraomwVnkkKLs2bRlNFXt+SAMT0Fb1k+dNxol5WLVuyexUQFCXqCkJObOZQvp7Q3kMHGvQRF&#10;aqhgU9hlj+DSINsJ2oD+bZOlUK6CzBSljZlI9Z9JR2ymQdmtvyVO6FLRuzQRrXYe76uaxlOr6oA/&#10;qT5ozbKvfb8vj1HGQQtSlB2XOW/gr36h3/5yq58AAAD//wMAUEsDBBQABgAIAAAAIQBS1XN43gAA&#10;AAoBAAAPAAAAZHJzL2Rvd25yZXYueG1sTI/LTsMwEEX3SPyDNUjsqBNXWBDiVFUlhNggmsLejV0n&#10;4EdkO2n4e4YVXV7doztn6s3iLJl1TEPwAspVAUT7LqjBGwEfh+e7ByApS6+kDV4L+NEJNs31VS0r&#10;Fc5+r+c2G4IjPlVSQJ/zWFGaul47mVZh1B67U4hOZozRUBXlGcedpawoOHVy8Hihl6Pe9br7bicn&#10;wL7G+dPszDZNL3vefr2f2NthFuL2Ztk+Acl6yf8w/OmjOjTodAyTV4lYzEVZIirgnj0CQYCtGQdy&#10;xGbNOdCmppcvNL8AAAD//wMAUEsBAi0AFAAGAAgAAAAhALaDOJL+AAAA4QEAABMAAAAAAAAAAAAA&#10;AAAAAAAAAFtDb250ZW50X1R5cGVzXS54bWxQSwECLQAUAAYACAAAACEAOP0h/9YAAACUAQAACwAA&#10;AAAAAAAAAAAAAAAvAQAAX3JlbHMvLnJlbHNQSwECLQAUAAYACAAAACEAeKalyMwBAAC6AwAADgAA&#10;AAAAAAAAAAAAAAAuAgAAZHJzL2Uyb0RvYy54bWxQSwECLQAUAAYACAAAACEAUtVzeN4AAAAKAQAA&#10;DwAAAAAAAAAAAAAAAAAmBAAAZHJzL2Rvd25yZXYueG1sUEsFBgAAAAAEAAQA8wAAADEFAAAAAA==&#10;">
                        <v:path arrowok="t"/>
                        <v:fill focussize="0,0"/>
                        <v:stroke weight="0.5pt" color="#000000" joinstyle="miter"/>
                        <v:imagedata o:title=""/>
                        <o:lock v:ext="edit"/>
                      </v:line>
                    </w:pict>
                  </w:r>
                  <w:r>
                    <w:rPr>
                      <w:rFonts w:hint="eastAsia" w:ascii="Times New Roman" w:hAnsi="Times New Roman" w:eastAsia="宋体"/>
                      <w:b/>
                      <w:bCs/>
                      <w:szCs w:val="21"/>
                    </w:rPr>
                    <w:t>占地规模</w:t>
                  </w:r>
                </w:p>
                <w:p>
                  <w:pPr>
                    <w:widowControl/>
                    <w:adjustRightInd w:val="0"/>
                    <w:snapToGrid w:val="0"/>
                    <w:ind w:firstLine="240" w:firstLineChars="100"/>
                    <w:rPr>
                      <w:rFonts w:ascii="Times New Roman" w:hAnsi="Times New Roman" w:eastAsia="宋体"/>
                      <w:b/>
                      <w:bCs/>
                      <w:szCs w:val="21"/>
                    </w:rPr>
                  </w:pPr>
                  <w:r>
                    <w:rPr>
                      <w:rFonts w:ascii="Times New Roman" w:hAnsi="Times New Roman" w:eastAsia="宋体"/>
                      <w:sz w:val="24"/>
                    </w:rPr>
                    <w:pict>
                      <v:line id="直接连接符 13" o:spid="_x0000_s2051" o:spt="20" style="position:absolute;left:0pt;margin-left:-5.2pt;margin-top:5.3pt;height:22.75pt;width:114pt;z-index:251656192;mso-width-relative:margin;mso-height-relative:margin;"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YGvywEAALsDAAAOAAAAZHJzL2Uyb0RvYy54bWysU81u1DAQviP1HSzfu0m2BVbRZnto1V4Q&#10;rPh5ANcZbyz8J9tssi/BCyBxgxNH7rwN5TEYO9kUAUIIcZnYnu+bmW9msr4YtCJ78EFa09BqUVIC&#10;httWml1DX728Pl1REiIzLVPWQEMPEOjF5uTBunc1LG1nVQueYBAT6t41tIvR1UUReAeahYV1YNAp&#10;rNcs4tXvitazHqNrVSzL8lHRW986bzmEgK9Xo5NucnwhgMdnQgSIRDUUa4vZ+mxvky02a1bvPHOd&#10;5FMZ7B+q0EwaTDqHumKRkTde/hJKS+5tsCIuuNWFFUJyyBpQTVX+pOZFxxxkLdic4OY2hf8Xlj/d&#10;bz2RLc7ujBLDNM7o7t3nr28/fPvyHu3dp48EPdim3oUa0Zdm66dbcFufNA/C6/RFNWTIrT3MrYUh&#10;Eo6P1fn541WJE+DoW56tquXDFLS4Zzsf4g1YTdKhoUqaJJ3VbP8kxBF6hCAvVTPmz6d4UJDAyjwH&#10;gXJSxszOiwSXypM9wxVoX1dT2oxMFCGVmknln0kTNtEgL9ffEmd0zmhNnIlaGut/lzUOx1LFiD+q&#10;HrUm2be2PeRp5HbghuSGTtucVvDHe6bf/3Ob7wAAAP//AwBQSwMEFAAGAAgAAAAhAEJEb1ffAAAA&#10;CQEAAA8AAABkcnMvZG93bnJldi54bWxMj01PwzAMhu9I/IfISNy2dKWqSmk6TZMQ4oJYB/es8dpC&#10;Pqok7cq/x5zYybL96PXjarsYzWb0YXBWwGadAEPbOjXYTsDH8XlVAAtRWiW1syjgBwNs69ubSpbK&#10;XewB5yZ2jEJsKKWAPsax5Dy0PRoZ1m5ES7uz80ZGan3HlZcXCjeap0mScyMHSxd6OeK+x/a7mYwA&#10;/ernz27f7cL0csibr/dz+nachbi/W3ZPwCIu8R+GP31Sh5qcTm6yKjAtYPWYEUk1yx6AEZBuihzY&#10;iSZ5Abyu+PUH9S8AAAD//wMAUEsBAi0AFAAGAAgAAAAhALaDOJL+AAAA4QEAABMAAAAAAAAAAAAA&#10;AAAAAAAAAFtDb250ZW50X1R5cGVzXS54bWxQSwECLQAUAAYACAAAACEAOP0h/9YAAACUAQAACwAA&#10;AAAAAAAAAAAAAAAvAQAAX3JlbHMvLnJlbHNQSwECLQAUAAYACAAAACEAITWBr8sBAAC7AwAADgAA&#10;AAAAAAAAAAAAAAAuAgAAZHJzL2Uyb0RvYy54bWxQSwECLQAUAAYACAAAACEAQkRvV98AAAAJAQAA&#10;DwAAAAAAAAAAAAAAAAAlBAAAZHJzL2Rvd25yZXYueG1sUEsFBgAAAAAEAAQA8wAAADEFAAAAAA==&#10;">
                        <v:path arrowok="t"/>
                        <v:fill on="f" focussize="0,0"/>
                        <v:stroke weight="0.5pt" color="#000000" joinstyle="miter"/>
                        <v:imagedata o:title=""/>
                        <o:lock v:ext="edit" aspectratio="f"/>
                      </v:line>
                    </w:pict>
                  </w:r>
                  <w:r>
                    <w:rPr>
                      <w:rFonts w:hint="eastAsia" w:ascii="Times New Roman" w:hAnsi="Times New Roman" w:eastAsia="宋体"/>
                      <w:b/>
                      <w:bCs/>
                      <w:szCs w:val="21"/>
                    </w:rPr>
                    <w:t>评价工作等级</w:t>
                  </w:r>
                </w:p>
                <w:p>
                  <w:pPr>
                    <w:widowControl/>
                    <w:adjustRightInd w:val="0"/>
                    <w:snapToGrid w:val="0"/>
                    <w:rPr>
                      <w:rFonts w:ascii="Times New Roman" w:hAnsi="Times New Roman" w:eastAsia="宋体"/>
                      <w:b/>
                      <w:bCs/>
                      <w:szCs w:val="21"/>
                    </w:rPr>
                  </w:pPr>
                  <w:r>
                    <w:rPr>
                      <w:rFonts w:hint="eastAsia" w:ascii="Times New Roman" w:hAnsi="Times New Roman" w:eastAsia="宋体"/>
                      <w:b/>
                      <w:bCs/>
                      <w:szCs w:val="21"/>
                    </w:rPr>
                    <w:t>敏感程度</w:t>
                  </w:r>
                </w:p>
              </w:tc>
              <w:tc>
                <w:tcPr>
                  <w:tcW w:w="1284" w:type="pct"/>
                  <w:gridSpan w:val="3"/>
                  <w:tcBorders>
                    <w:top w:val="single" w:color="000000" w:sz="12" w:space="0"/>
                    <w:left w:val="single" w:color="000000" w:sz="4" w:space="0"/>
                    <w:bottom w:val="single" w:color="000000" w:sz="4" w:space="0"/>
                    <w:right w:val="single" w:color="000000" w:sz="4" w:space="0"/>
                  </w:tcBorders>
                  <w:vAlign w:val="center"/>
                </w:tcPr>
                <w:p>
                  <w:pPr>
                    <w:widowControl/>
                    <w:adjustRightInd w:val="0"/>
                    <w:snapToGrid w:val="0"/>
                    <w:jc w:val="center"/>
                    <w:rPr>
                      <w:rFonts w:ascii="Times New Roman" w:hAnsi="Times New Roman" w:eastAsia="宋体"/>
                      <w:b/>
                      <w:bCs/>
                      <w:szCs w:val="20"/>
                    </w:rPr>
                  </w:pPr>
                  <w:r>
                    <w:rPr>
                      <w:rFonts w:hint="eastAsia" w:ascii="Times New Roman" w:hAnsi="Times New Roman" w:eastAsia="宋体" w:cs="宋体"/>
                      <w:b/>
                      <w:bCs/>
                      <w:szCs w:val="20"/>
                    </w:rPr>
                    <w:t>I</w:t>
                  </w:r>
                  <w:r>
                    <w:rPr>
                      <w:rFonts w:hint="eastAsia" w:ascii="Times New Roman" w:hAnsi="Times New Roman" w:eastAsia="宋体"/>
                      <w:b/>
                      <w:bCs/>
                      <w:szCs w:val="20"/>
                    </w:rPr>
                    <w:t>类</w:t>
                  </w:r>
                </w:p>
              </w:tc>
              <w:tc>
                <w:tcPr>
                  <w:tcW w:w="1291" w:type="pct"/>
                  <w:gridSpan w:val="3"/>
                  <w:tcBorders>
                    <w:top w:val="single" w:color="000000" w:sz="12" w:space="0"/>
                    <w:left w:val="single" w:color="000000" w:sz="4" w:space="0"/>
                    <w:bottom w:val="single" w:color="000000" w:sz="4" w:space="0"/>
                    <w:right w:val="single" w:color="000000" w:sz="4" w:space="0"/>
                  </w:tcBorders>
                  <w:vAlign w:val="center"/>
                </w:tcPr>
                <w:p>
                  <w:pPr>
                    <w:adjustRightInd w:val="0"/>
                    <w:snapToGrid w:val="0"/>
                    <w:jc w:val="center"/>
                    <w:rPr>
                      <w:rFonts w:ascii="Times New Roman" w:hAnsi="Times New Roman" w:eastAsia="宋体"/>
                      <w:b/>
                      <w:bCs/>
                      <w:szCs w:val="20"/>
                    </w:rPr>
                  </w:pPr>
                  <w:r>
                    <w:rPr>
                      <w:rFonts w:hint="eastAsia" w:ascii="Times New Roman" w:hAnsi="Times New Roman" w:eastAsia="宋体" w:cs="宋体"/>
                      <w:b/>
                      <w:bCs/>
                      <w:szCs w:val="20"/>
                    </w:rPr>
                    <w:t>Ⅱ</w:t>
                  </w:r>
                  <w:r>
                    <w:rPr>
                      <w:rFonts w:hint="eastAsia" w:ascii="Times New Roman" w:hAnsi="Times New Roman" w:eastAsia="宋体"/>
                      <w:b/>
                      <w:bCs/>
                      <w:szCs w:val="20"/>
                    </w:rPr>
                    <w:t>类</w:t>
                  </w:r>
                </w:p>
              </w:tc>
              <w:tc>
                <w:tcPr>
                  <w:tcW w:w="1188" w:type="pct"/>
                  <w:gridSpan w:val="3"/>
                  <w:tcBorders>
                    <w:top w:val="single" w:color="000000" w:sz="12" w:space="0"/>
                    <w:left w:val="single" w:color="000000" w:sz="4" w:space="0"/>
                    <w:bottom w:val="single" w:color="000000" w:sz="4" w:space="0"/>
                    <w:right w:val="nil"/>
                  </w:tcBorders>
                  <w:vAlign w:val="center"/>
                </w:tcPr>
                <w:p>
                  <w:pPr>
                    <w:widowControl/>
                    <w:adjustRightInd w:val="0"/>
                    <w:snapToGrid w:val="0"/>
                    <w:jc w:val="center"/>
                    <w:rPr>
                      <w:rFonts w:ascii="Times New Roman" w:hAnsi="Times New Roman" w:eastAsia="宋体"/>
                      <w:b/>
                      <w:bCs/>
                      <w:szCs w:val="20"/>
                    </w:rPr>
                  </w:pPr>
                  <w:r>
                    <w:rPr>
                      <w:rFonts w:hint="eastAsia" w:ascii="Times New Roman" w:hAnsi="Times New Roman" w:eastAsia="宋体" w:cs="宋体"/>
                      <w:b/>
                      <w:bCs/>
                      <w:szCs w:val="20"/>
                    </w:rPr>
                    <w:t>Ⅲ</w:t>
                  </w:r>
                  <w:r>
                    <w:rPr>
                      <w:rFonts w:hint="eastAsia" w:ascii="Times New Roman" w:hAnsi="Times New Roman" w:eastAsia="宋体"/>
                      <w:b/>
                      <w:bCs/>
                      <w:szCs w:val="20"/>
                    </w:rPr>
                    <w:t>类</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190" w:type="dxa"/>
                  <w:vMerge w:val="continue"/>
                  <w:tcBorders>
                    <w:top w:val="single" w:color="000000" w:sz="12" w:space="0"/>
                    <w:left w:val="nil"/>
                    <w:bottom w:val="single" w:color="000000" w:sz="4" w:space="0"/>
                    <w:right w:val="single" w:color="000000" w:sz="4" w:space="0"/>
                  </w:tcBorders>
                  <w:vAlign w:val="center"/>
                </w:tcPr>
                <w:p>
                  <w:pPr>
                    <w:widowControl/>
                    <w:jc w:val="left"/>
                    <w:rPr>
                      <w:rFonts w:ascii="Times New Roman" w:hAnsi="Times New Roman" w:eastAsia="宋体"/>
                      <w:b/>
                      <w:bCs/>
                      <w:szCs w:val="21"/>
                    </w:rPr>
                  </w:pPr>
                </w:p>
              </w:tc>
              <w:tc>
                <w:tcPr>
                  <w:tcW w:w="428"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rPr>
                      <w:rFonts w:ascii="Times New Roman" w:hAnsi="Times New Roman" w:eastAsia="宋体"/>
                      <w:b/>
                      <w:bCs/>
                      <w:szCs w:val="21"/>
                    </w:rPr>
                  </w:pPr>
                  <w:r>
                    <w:rPr>
                      <w:rFonts w:hint="eastAsia" w:ascii="Times New Roman" w:hAnsi="Times New Roman" w:eastAsia="宋体"/>
                      <w:b/>
                      <w:bCs/>
                      <w:szCs w:val="21"/>
                    </w:rPr>
                    <w:t>大</w:t>
                  </w:r>
                </w:p>
              </w:tc>
              <w:tc>
                <w:tcPr>
                  <w:tcW w:w="428"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rPr>
                      <w:rFonts w:ascii="Times New Roman" w:hAnsi="Times New Roman" w:eastAsia="宋体"/>
                      <w:b/>
                      <w:bCs/>
                      <w:szCs w:val="21"/>
                    </w:rPr>
                  </w:pPr>
                  <w:r>
                    <w:rPr>
                      <w:rFonts w:hint="eastAsia" w:ascii="Times New Roman" w:hAnsi="Times New Roman" w:eastAsia="宋体"/>
                      <w:b/>
                      <w:bCs/>
                      <w:szCs w:val="21"/>
                    </w:rPr>
                    <w:t>中</w:t>
                  </w:r>
                </w:p>
              </w:tc>
              <w:tc>
                <w:tcPr>
                  <w:tcW w:w="428"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rPr>
                      <w:rFonts w:ascii="Times New Roman" w:hAnsi="Times New Roman" w:eastAsia="宋体"/>
                      <w:b/>
                      <w:bCs/>
                      <w:szCs w:val="21"/>
                    </w:rPr>
                  </w:pPr>
                  <w:r>
                    <w:rPr>
                      <w:rFonts w:hint="eastAsia" w:ascii="Times New Roman" w:hAnsi="Times New Roman" w:eastAsia="宋体"/>
                      <w:b/>
                      <w:bCs/>
                      <w:szCs w:val="21"/>
                    </w:rPr>
                    <w:t>小</w:t>
                  </w:r>
                </w:p>
              </w:tc>
              <w:tc>
                <w:tcPr>
                  <w:tcW w:w="430"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rPr>
                      <w:rFonts w:ascii="Times New Roman" w:hAnsi="Times New Roman" w:eastAsia="宋体"/>
                      <w:b/>
                      <w:bCs/>
                      <w:szCs w:val="21"/>
                    </w:rPr>
                  </w:pPr>
                  <w:r>
                    <w:rPr>
                      <w:rFonts w:hint="eastAsia" w:ascii="Times New Roman" w:hAnsi="Times New Roman" w:eastAsia="宋体"/>
                      <w:b/>
                      <w:bCs/>
                      <w:szCs w:val="21"/>
                    </w:rPr>
                    <w:t>大</w:t>
                  </w:r>
                </w:p>
              </w:tc>
              <w:tc>
                <w:tcPr>
                  <w:tcW w:w="430"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rPr>
                      <w:rFonts w:ascii="Times New Roman" w:hAnsi="Times New Roman" w:eastAsia="宋体"/>
                      <w:b/>
                      <w:bCs/>
                      <w:szCs w:val="21"/>
                    </w:rPr>
                  </w:pPr>
                  <w:r>
                    <w:rPr>
                      <w:rFonts w:hint="eastAsia" w:ascii="Times New Roman" w:hAnsi="Times New Roman" w:eastAsia="宋体"/>
                      <w:b/>
                      <w:bCs/>
                      <w:szCs w:val="21"/>
                    </w:rPr>
                    <w:t>中</w:t>
                  </w:r>
                </w:p>
              </w:tc>
              <w:tc>
                <w:tcPr>
                  <w:tcW w:w="431"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rPr>
                      <w:rFonts w:ascii="Times New Roman" w:hAnsi="Times New Roman" w:eastAsia="宋体"/>
                      <w:b/>
                      <w:bCs/>
                      <w:szCs w:val="21"/>
                    </w:rPr>
                  </w:pPr>
                  <w:r>
                    <w:rPr>
                      <w:rFonts w:hint="eastAsia" w:ascii="Times New Roman" w:hAnsi="Times New Roman" w:eastAsia="宋体"/>
                      <w:b/>
                      <w:bCs/>
                      <w:szCs w:val="21"/>
                    </w:rPr>
                    <w:t>小</w:t>
                  </w:r>
                </w:p>
              </w:tc>
              <w:tc>
                <w:tcPr>
                  <w:tcW w:w="396"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rPr>
                      <w:rFonts w:ascii="Times New Roman" w:hAnsi="Times New Roman" w:eastAsia="宋体"/>
                      <w:b/>
                      <w:bCs/>
                      <w:szCs w:val="21"/>
                    </w:rPr>
                  </w:pPr>
                  <w:r>
                    <w:rPr>
                      <w:rFonts w:hint="eastAsia" w:ascii="Times New Roman" w:hAnsi="Times New Roman" w:eastAsia="宋体"/>
                      <w:b/>
                      <w:bCs/>
                      <w:szCs w:val="21"/>
                    </w:rPr>
                    <w:t>大</w:t>
                  </w:r>
                </w:p>
              </w:tc>
              <w:tc>
                <w:tcPr>
                  <w:tcW w:w="396"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rPr>
                      <w:rFonts w:ascii="Times New Roman" w:hAnsi="Times New Roman" w:eastAsia="宋体"/>
                      <w:b/>
                      <w:bCs/>
                      <w:szCs w:val="21"/>
                    </w:rPr>
                  </w:pPr>
                  <w:r>
                    <w:rPr>
                      <w:rFonts w:hint="eastAsia" w:ascii="Times New Roman" w:hAnsi="Times New Roman" w:eastAsia="宋体"/>
                      <w:b/>
                      <w:bCs/>
                      <w:szCs w:val="21"/>
                    </w:rPr>
                    <w:t>中</w:t>
                  </w:r>
                </w:p>
              </w:tc>
              <w:tc>
                <w:tcPr>
                  <w:tcW w:w="396" w:type="pct"/>
                  <w:tcBorders>
                    <w:top w:val="single" w:color="000000" w:sz="4" w:space="0"/>
                    <w:left w:val="single" w:color="000000" w:sz="4" w:space="0"/>
                    <w:bottom w:val="single" w:color="000000" w:sz="4" w:space="0"/>
                    <w:right w:val="nil"/>
                  </w:tcBorders>
                  <w:vAlign w:val="center"/>
                </w:tcPr>
                <w:p>
                  <w:pPr>
                    <w:widowControl/>
                    <w:adjustRightInd w:val="0"/>
                    <w:snapToGrid w:val="0"/>
                    <w:jc w:val="center"/>
                    <w:rPr>
                      <w:rFonts w:ascii="Times New Roman" w:hAnsi="Times New Roman" w:eastAsia="宋体"/>
                      <w:b/>
                      <w:bCs/>
                      <w:szCs w:val="21"/>
                    </w:rPr>
                  </w:pPr>
                  <w:r>
                    <w:rPr>
                      <w:rFonts w:hint="eastAsia" w:ascii="Times New Roman" w:hAnsi="Times New Roman" w:eastAsia="宋体"/>
                      <w:b/>
                      <w:bCs/>
                      <w:szCs w:val="21"/>
                    </w:rPr>
                    <w:t>小</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36" w:type="pct"/>
                  <w:tcBorders>
                    <w:top w:val="single" w:color="000000" w:sz="4" w:space="0"/>
                    <w:left w:val="nil"/>
                    <w:bottom w:val="single" w:color="000000" w:sz="4" w:space="0"/>
                    <w:right w:val="single" w:color="000000" w:sz="4" w:space="0"/>
                  </w:tcBorders>
                  <w:vAlign w:val="center"/>
                </w:tcPr>
                <w:p>
                  <w:pPr>
                    <w:widowControl/>
                    <w:adjustRightInd w:val="0"/>
                    <w:snapToGrid w:val="0"/>
                    <w:jc w:val="center"/>
                    <w:rPr>
                      <w:rFonts w:ascii="Times New Roman" w:hAnsi="Times New Roman" w:eastAsia="宋体"/>
                      <w:szCs w:val="21"/>
                    </w:rPr>
                  </w:pPr>
                  <w:r>
                    <w:rPr>
                      <w:rFonts w:hint="eastAsia" w:ascii="Times New Roman" w:hAnsi="Times New Roman" w:eastAsia="宋体"/>
                      <w:szCs w:val="21"/>
                    </w:rPr>
                    <w:t>敏感</w:t>
                  </w:r>
                </w:p>
              </w:tc>
              <w:tc>
                <w:tcPr>
                  <w:tcW w:w="428"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rPr>
                      <w:rFonts w:ascii="Times New Roman" w:hAnsi="Times New Roman" w:eastAsia="宋体"/>
                      <w:szCs w:val="21"/>
                    </w:rPr>
                  </w:pPr>
                  <w:r>
                    <w:rPr>
                      <w:rFonts w:hint="eastAsia" w:ascii="Times New Roman" w:hAnsi="Times New Roman" w:eastAsia="宋体"/>
                      <w:szCs w:val="21"/>
                    </w:rPr>
                    <w:t>一级</w:t>
                  </w:r>
                </w:p>
              </w:tc>
              <w:tc>
                <w:tcPr>
                  <w:tcW w:w="428"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rPr>
                      <w:rFonts w:ascii="Times New Roman" w:hAnsi="Times New Roman" w:eastAsia="宋体"/>
                      <w:szCs w:val="21"/>
                    </w:rPr>
                  </w:pPr>
                  <w:r>
                    <w:rPr>
                      <w:rFonts w:hint="eastAsia" w:ascii="Times New Roman" w:hAnsi="Times New Roman" w:eastAsia="宋体"/>
                      <w:szCs w:val="21"/>
                    </w:rPr>
                    <w:t>一级</w:t>
                  </w:r>
                </w:p>
              </w:tc>
              <w:tc>
                <w:tcPr>
                  <w:tcW w:w="428"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rPr>
                      <w:rFonts w:ascii="Times New Roman" w:hAnsi="Times New Roman" w:eastAsia="宋体"/>
                      <w:szCs w:val="21"/>
                    </w:rPr>
                  </w:pPr>
                  <w:r>
                    <w:rPr>
                      <w:rFonts w:hint="eastAsia" w:ascii="Times New Roman" w:hAnsi="Times New Roman" w:eastAsia="宋体"/>
                      <w:szCs w:val="21"/>
                    </w:rPr>
                    <w:t>一级</w:t>
                  </w:r>
                </w:p>
              </w:tc>
              <w:tc>
                <w:tcPr>
                  <w:tcW w:w="430"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rPr>
                      <w:rFonts w:ascii="Times New Roman" w:hAnsi="Times New Roman" w:eastAsia="宋体"/>
                      <w:szCs w:val="21"/>
                    </w:rPr>
                  </w:pPr>
                  <w:r>
                    <w:rPr>
                      <w:rFonts w:hint="eastAsia" w:ascii="Times New Roman" w:hAnsi="Times New Roman" w:eastAsia="宋体"/>
                      <w:szCs w:val="21"/>
                    </w:rPr>
                    <w:t>二级</w:t>
                  </w:r>
                </w:p>
              </w:tc>
              <w:tc>
                <w:tcPr>
                  <w:tcW w:w="430"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rPr>
                      <w:rFonts w:ascii="Times New Roman" w:hAnsi="Times New Roman" w:eastAsia="宋体"/>
                      <w:szCs w:val="21"/>
                    </w:rPr>
                  </w:pPr>
                  <w:r>
                    <w:rPr>
                      <w:rFonts w:hint="eastAsia" w:ascii="Times New Roman" w:hAnsi="Times New Roman" w:eastAsia="宋体"/>
                      <w:szCs w:val="21"/>
                    </w:rPr>
                    <w:t>二级</w:t>
                  </w:r>
                </w:p>
              </w:tc>
              <w:tc>
                <w:tcPr>
                  <w:tcW w:w="431"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rPr>
                      <w:rFonts w:ascii="Times New Roman" w:hAnsi="Times New Roman" w:eastAsia="宋体"/>
                      <w:szCs w:val="21"/>
                    </w:rPr>
                  </w:pPr>
                  <w:r>
                    <w:rPr>
                      <w:rFonts w:hint="eastAsia" w:ascii="Times New Roman" w:hAnsi="Times New Roman" w:eastAsia="宋体"/>
                      <w:szCs w:val="21"/>
                    </w:rPr>
                    <w:t>二级</w:t>
                  </w:r>
                </w:p>
              </w:tc>
              <w:tc>
                <w:tcPr>
                  <w:tcW w:w="396"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rPr>
                      <w:rFonts w:ascii="Times New Roman" w:hAnsi="Times New Roman" w:eastAsia="宋体"/>
                      <w:szCs w:val="21"/>
                    </w:rPr>
                  </w:pPr>
                  <w:r>
                    <w:rPr>
                      <w:rFonts w:hint="eastAsia" w:ascii="Times New Roman" w:hAnsi="Times New Roman" w:eastAsia="宋体"/>
                      <w:szCs w:val="21"/>
                    </w:rPr>
                    <w:t>三级</w:t>
                  </w:r>
                </w:p>
              </w:tc>
              <w:tc>
                <w:tcPr>
                  <w:tcW w:w="396"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Times New Roman" w:hAnsi="Times New Roman" w:eastAsia="宋体"/>
                      <w:szCs w:val="21"/>
                    </w:rPr>
                  </w:pPr>
                  <w:r>
                    <w:rPr>
                      <w:rFonts w:hint="eastAsia" w:ascii="Times New Roman" w:hAnsi="Times New Roman" w:eastAsia="宋体"/>
                      <w:szCs w:val="21"/>
                    </w:rPr>
                    <w:t>三级</w:t>
                  </w:r>
                </w:p>
              </w:tc>
              <w:tc>
                <w:tcPr>
                  <w:tcW w:w="396" w:type="pct"/>
                  <w:tcBorders>
                    <w:top w:val="single" w:color="000000" w:sz="4" w:space="0"/>
                    <w:left w:val="single" w:color="000000" w:sz="4" w:space="0"/>
                    <w:bottom w:val="single" w:color="000000" w:sz="4" w:space="0"/>
                    <w:right w:val="nil"/>
                  </w:tcBorders>
                  <w:vAlign w:val="center"/>
                </w:tcPr>
                <w:p>
                  <w:pPr>
                    <w:adjustRightInd w:val="0"/>
                    <w:snapToGrid w:val="0"/>
                    <w:jc w:val="center"/>
                    <w:rPr>
                      <w:rFonts w:ascii="Times New Roman" w:hAnsi="Times New Roman" w:eastAsia="宋体"/>
                      <w:szCs w:val="21"/>
                    </w:rPr>
                  </w:pPr>
                  <w:r>
                    <w:rPr>
                      <w:rFonts w:hint="eastAsia" w:ascii="Times New Roman" w:hAnsi="Times New Roman" w:eastAsia="宋体"/>
                      <w:szCs w:val="21"/>
                    </w:rPr>
                    <w:t>三级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36" w:type="pct"/>
                  <w:tcBorders>
                    <w:top w:val="single" w:color="000000" w:sz="4" w:space="0"/>
                    <w:left w:val="nil"/>
                    <w:bottom w:val="single" w:color="000000" w:sz="4" w:space="0"/>
                    <w:right w:val="single" w:color="000000" w:sz="4" w:space="0"/>
                  </w:tcBorders>
                  <w:vAlign w:val="center"/>
                </w:tcPr>
                <w:p>
                  <w:pPr>
                    <w:widowControl/>
                    <w:adjustRightInd w:val="0"/>
                    <w:snapToGrid w:val="0"/>
                    <w:jc w:val="center"/>
                    <w:rPr>
                      <w:rFonts w:ascii="Times New Roman" w:hAnsi="Times New Roman" w:eastAsia="宋体"/>
                      <w:szCs w:val="21"/>
                    </w:rPr>
                  </w:pPr>
                  <w:r>
                    <w:rPr>
                      <w:rFonts w:hint="eastAsia" w:ascii="Times New Roman" w:hAnsi="Times New Roman" w:eastAsia="宋体"/>
                      <w:szCs w:val="21"/>
                    </w:rPr>
                    <w:t>较敏感</w:t>
                  </w:r>
                </w:p>
              </w:tc>
              <w:tc>
                <w:tcPr>
                  <w:tcW w:w="428"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rPr>
                      <w:rFonts w:ascii="Times New Roman" w:hAnsi="Times New Roman" w:eastAsia="宋体"/>
                      <w:szCs w:val="21"/>
                    </w:rPr>
                  </w:pPr>
                  <w:r>
                    <w:rPr>
                      <w:rFonts w:hint="eastAsia" w:ascii="Times New Roman" w:hAnsi="Times New Roman" w:eastAsia="宋体"/>
                      <w:szCs w:val="21"/>
                    </w:rPr>
                    <w:t>一级</w:t>
                  </w:r>
                </w:p>
              </w:tc>
              <w:tc>
                <w:tcPr>
                  <w:tcW w:w="428"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rPr>
                      <w:rFonts w:ascii="Times New Roman" w:hAnsi="Times New Roman" w:eastAsia="宋体"/>
                      <w:szCs w:val="21"/>
                    </w:rPr>
                  </w:pPr>
                  <w:r>
                    <w:rPr>
                      <w:rFonts w:hint="eastAsia" w:ascii="Times New Roman" w:hAnsi="Times New Roman" w:eastAsia="宋体"/>
                      <w:szCs w:val="21"/>
                    </w:rPr>
                    <w:t>一级</w:t>
                  </w:r>
                </w:p>
              </w:tc>
              <w:tc>
                <w:tcPr>
                  <w:tcW w:w="428"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rPr>
                      <w:rFonts w:ascii="Times New Roman" w:hAnsi="Times New Roman" w:eastAsia="宋体"/>
                      <w:szCs w:val="21"/>
                    </w:rPr>
                  </w:pPr>
                  <w:r>
                    <w:rPr>
                      <w:rFonts w:hint="eastAsia" w:ascii="Times New Roman" w:hAnsi="Times New Roman" w:eastAsia="宋体"/>
                      <w:szCs w:val="21"/>
                    </w:rPr>
                    <w:t>二级</w:t>
                  </w:r>
                </w:p>
              </w:tc>
              <w:tc>
                <w:tcPr>
                  <w:tcW w:w="430"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rPr>
                      <w:rFonts w:ascii="Times New Roman" w:hAnsi="Times New Roman" w:eastAsia="宋体"/>
                      <w:szCs w:val="21"/>
                    </w:rPr>
                  </w:pPr>
                  <w:r>
                    <w:rPr>
                      <w:rFonts w:hint="eastAsia" w:ascii="Times New Roman" w:hAnsi="Times New Roman" w:eastAsia="宋体"/>
                      <w:szCs w:val="21"/>
                    </w:rPr>
                    <w:t>二级</w:t>
                  </w:r>
                </w:p>
              </w:tc>
              <w:tc>
                <w:tcPr>
                  <w:tcW w:w="430"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rPr>
                      <w:rFonts w:ascii="Times New Roman" w:hAnsi="Times New Roman" w:eastAsia="宋体"/>
                      <w:szCs w:val="21"/>
                    </w:rPr>
                  </w:pPr>
                  <w:r>
                    <w:rPr>
                      <w:rFonts w:hint="eastAsia" w:ascii="Times New Roman" w:hAnsi="Times New Roman" w:eastAsia="宋体"/>
                      <w:szCs w:val="21"/>
                    </w:rPr>
                    <w:t>二级</w:t>
                  </w:r>
                </w:p>
              </w:tc>
              <w:tc>
                <w:tcPr>
                  <w:tcW w:w="431"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Times New Roman" w:hAnsi="Times New Roman" w:eastAsia="宋体"/>
                      <w:szCs w:val="21"/>
                    </w:rPr>
                  </w:pPr>
                  <w:r>
                    <w:rPr>
                      <w:rFonts w:hint="eastAsia" w:ascii="Times New Roman" w:hAnsi="Times New Roman" w:eastAsia="宋体"/>
                      <w:szCs w:val="21"/>
                    </w:rPr>
                    <w:t>三级</w:t>
                  </w:r>
                </w:p>
              </w:tc>
              <w:tc>
                <w:tcPr>
                  <w:tcW w:w="396"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Times New Roman" w:hAnsi="Times New Roman" w:eastAsia="宋体"/>
                      <w:szCs w:val="21"/>
                    </w:rPr>
                  </w:pPr>
                  <w:r>
                    <w:rPr>
                      <w:rFonts w:hint="eastAsia" w:ascii="Times New Roman" w:hAnsi="Times New Roman" w:eastAsia="宋体"/>
                      <w:szCs w:val="21"/>
                    </w:rPr>
                    <w:t>三级</w:t>
                  </w:r>
                </w:p>
              </w:tc>
              <w:tc>
                <w:tcPr>
                  <w:tcW w:w="396"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Times New Roman" w:hAnsi="Times New Roman" w:eastAsia="宋体"/>
                      <w:szCs w:val="21"/>
                    </w:rPr>
                  </w:pPr>
                  <w:r>
                    <w:rPr>
                      <w:rFonts w:hint="eastAsia" w:ascii="Times New Roman" w:hAnsi="Times New Roman" w:eastAsia="宋体"/>
                      <w:szCs w:val="21"/>
                    </w:rPr>
                    <w:t>三级</w:t>
                  </w:r>
                </w:p>
              </w:tc>
              <w:tc>
                <w:tcPr>
                  <w:tcW w:w="396" w:type="pct"/>
                  <w:tcBorders>
                    <w:top w:val="single" w:color="000000" w:sz="4" w:space="0"/>
                    <w:left w:val="single" w:color="000000" w:sz="4" w:space="0"/>
                    <w:bottom w:val="single" w:color="000000" w:sz="4" w:space="0"/>
                    <w:right w:val="nil"/>
                  </w:tcBorders>
                  <w:vAlign w:val="center"/>
                </w:tcPr>
                <w:p>
                  <w:pPr>
                    <w:widowControl/>
                    <w:adjustRightInd w:val="0"/>
                    <w:snapToGrid w:val="0"/>
                    <w:jc w:val="center"/>
                    <w:rPr>
                      <w:rFonts w:ascii="Times New Roman" w:hAnsi="Times New Roman" w:eastAsia="宋体"/>
                      <w:szCs w:val="21"/>
                    </w:rPr>
                  </w:pPr>
                  <w:r>
                    <w:rPr>
                      <w:rFonts w:hint="eastAsia" w:ascii="Times New Roman" w:hAnsi="Times New Roman" w:eastAsia="宋体"/>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36" w:type="pct"/>
                  <w:tcBorders>
                    <w:top w:val="single" w:color="000000" w:sz="4" w:space="0"/>
                    <w:left w:val="nil"/>
                    <w:bottom w:val="single" w:color="000000" w:sz="4" w:space="0"/>
                    <w:right w:val="single" w:color="000000" w:sz="4" w:space="0"/>
                  </w:tcBorders>
                  <w:vAlign w:val="center"/>
                </w:tcPr>
                <w:p>
                  <w:pPr>
                    <w:widowControl/>
                    <w:adjustRightInd w:val="0"/>
                    <w:snapToGrid w:val="0"/>
                    <w:jc w:val="center"/>
                    <w:rPr>
                      <w:rFonts w:ascii="Times New Roman" w:hAnsi="Times New Roman" w:eastAsia="宋体"/>
                      <w:szCs w:val="21"/>
                    </w:rPr>
                  </w:pPr>
                  <w:r>
                    <w:rPr>
                      <w:rFonts w:hint="eastAsia" w:ascii="Times New Roman" w:hAnsi="Times New Roman" w:eastAsia="宋体"/>
                      <w:szCs w:val="21"/>
                    </w:rPr>
                    <w:t>不敏感</w:t>
                  </w:r>
                </w:p>
              </w:tc>
              <w:tc>
                <w:tcPr>
                  <w:tcW w:w="428"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rPr>
                      <w:rFonts w:ascii="Times New Roman" w:hAnsi="Times New Roman" w:eastAsia="宋体"/>
                      <w:szCs w:val="21"/>
                    </w:rPr>
                  </w:pPr>
                  <w:r>
                    <w:rPr>
                      <w:rFonts w:hint="eastAsia" w:ascii="Times New Roman" w:hAnsi="Times New Roman" w:eastAsia="宋体"/>
                      <w:szCs w:val="21"/>
                    </w:rPr>
                    <w:t>一级</w:t>
                  </w:r>
                </w:p>
              </w:tc>
              <w:tc>
                <w:tcPr>
                  <w:tcW w:w="428"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rPr>
                      <w:rFonts w:ascii="Times New Roman" w:hAnsi="Times New Roman" w:eastAsia="宋体"/>
                      <w:szCs w:val="21"/>
                    </w:rPr>
                  </w:pPr>
                  <w:r>
                    <w:rPr>
                      <w:rFonts w:hint="eastAsia" w:ascii="Times New Roman" w:hAnsi="Times New Roman" w:eastAsia="宋体"/>
                      <w:szCs w:val="21"/>
                    </w:rPr>
                    <w:t>二级</w:t>
                  </w:r>
                </w:p>
              </w:tc>
              <w:tc>
                <w:tcPr>
                  <w:tcW w:w="428"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rPr>
                      <w:rFonts w:ascii="Times New Roman" w:hAnsi="Times New Roman" w:eastAsia="宋体"/>
                      <w:szCs w:val="21"/>
                    </w:rPr>
                  </w:pPr>
                  <w:r>
                    <w:rPr>
                      <w:rFonts w:hint="eastAsia" w:ascii="Times New Roman" w:hAnsi="Times New Roman" w:eastAsia="宋体"/>
                      <w:szCs w:val="21"/>
                    </w:rPr>
                    <w:t>二级</w:t>
                  </w:r>
                </w:p>
              </w:tc>
              <w:tc>
                <w:tcPr>
                  <w:tcW w:w="430"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rPr>
                      <w:rFonts w:ascii="Times New Roman" w:hAnsi="Times New Roman" w:eastAsia="宋体"/>
                      <w:szCs w:val="21"/>
                    </w:rPr>
                  </w:pPr>
                  <w:r>
                    <w:rPr>
                      <w:rFonts w:hint="eastAsia" w:ascii="Times New Roman" w:hAnsi="Times New Roman" w:eastAsia="宋体"/>
                      <w:szCs w:val="21"/>
                    </w:rPr>
                    <w:t>二级</w:t>
                  </w:r>
                </w:p>
              </w:tc>
              <w:tc>
                <w:tcPr>
                  <w:tcW w:w="430"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Times New Roman" w:hAnsi="Times New Roman" w:eastAsia="宋体"/>
                      <w:szCs w:val="21"/>
                    </w:rPr>
                  </w:pPr>
                  <w:r>
                    <w:rPr>
                      <w:rFonts w:hint="eastAsia" w:ascii="Times New Roman" w:hAnsi="Times New Roman" w:eastAsia="宋体"/>
                      <w:szCs w:val="21"/>
                    </w:rPr>
                    <w:t>三级</w:t>
                  </w:r>
                </w:p>
              </w:tc>
              <w:tc>
                <w:tcPr>
                  <w:tcW w:w="431"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Times New Roman" w:hAnsi="Times New Roman" w:eastAsia="宋体"/>
                      <w:szCs w:val="21"/>
                    </w:rPr>
                  </w:pPr>
                  <w:r>
                    <w:rPr>
                      <w:rFonts w:hint="eastAsia" w:ascii="Times New Roman" w:hAnsi="Times New Roman" w:eastAsia="宋体"/>
                      <w:szCs w:val="21"/>
                    </w:rPr>
                    <w:t>三级</w:t>
                  </w:r>
                </w:p>
              </w:tc>
              <w:tc>
                <w:tcPr>
                  <w:tcW w:w="396" w:type="pct"/>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ascii="Times New Roman" w:hAnsi="Times New Roman" w:eastAsia="宋体"/>
                      <w:szCs w:val="21"/>
                    </w:rPr>
                  </w:pPr>
                  <w:r>
                    <w:rPr>
                      <w:rFonts w:hint="eastAsia" w:ascii="Times New Roman" w:hAnsi="Times New Roman" w:eastAsia="宋体"/>
                      <w:szCs w:val="21"/>
                    </w:rPr>
                    <w:t>三级</w:t>
                  </w:r>
                </w:p>
              </w:tc>
              <w:tc>
                <w:tcPr>
                  <w:tcW w:w="396" w:type="pct"/>
                  <w:tcBorders>
                    <w:top w:val="single" w:color="000000" w:sz="4" w:space="0"/>
                    <w:left w:val="single" w:color="000000" w:sz="4" w:space="0"/>
                    <w:bottom w:val="single" w:color="000000" w:sz="4" w:space="0"/>
                    <w:right w:val="single" w:color="000000" w:sz="4" w:space="0"/>
                  </w:tcBorders>
                  <w:vAlign w:val="center"/>
                </w:tcPr>
                <w:p>
                  <w:pPr>
                    <w:widowControl/>
                    <w:adjustRightInd w:val="0"/>
                    <w:snapToGrid w:val="0"/>
                    <w:jc w:val="center"/>
                    <w:rPr>
                      <w:rFonts w:ascii="Times New Roman" w:hAnsi="Times New Roman" w:eastAsia="宋体"/>
                      <w:szCs w:val="21"/>
                    </w:rPr>
                  </w:pPr>
                  <w:r>
                    <w:rPr>
                      <w:rFonts w:hint="eastAsia" w:ascii="Times New Roman" w:hAnsi="Times New Roman" w:eastAsia="宋体"/>
                      <w:szCs w:val="21"/>
                    </w:rPr>
                    <w:t>—</w:t>
                  </w:r>
                </w:p>
              </w:tc>
              <w:tc>
                <w:tcPr>
                  <w:tcW w:w="396" w:type="pct"/>
                  <w:tcBorders>
                    <w:top w:val="single" w:color="000000" w:sz="4" w:space="0"/>
                    <w:left w:val="single" w:color="000000" w:sz="4" w:space="0"/>
                    <w:bottom w:val="single" w:color="000000" w:sz="4" w:space="0"/>
                    <w:right w:val="nil"/>
                  </w:tcBorders>
                  <w:vAlign w:val="center"/>
                </w:tcPr>
                <w:p>
                  <w:pPr>
                    <w:widowControl/>
                    <w:adjustRightInd w:val="0"/>
                    <w:snapToGrid w:val="0"/>
                    <w:jc w:val="center"/>
                    <w:rPr>
                      <w:rFonts w:ascii="Times New Roman" w:hAnsi="Times New Roman" w:eastAsia="宋体"/>
                      <w:szCs w:val="21"/>
                    </w:rPr>
                  </w:pPr>
                  <w:r>
                    <w:rPr>
                      <w:rFonts w:hint="eastAsia" w:ascii="Times New Roman" w:hAnsi="Times New Roman" w:eastAsia="宋体"/>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5000" w:type="pct"/>
                  <w:gridSpan w:val="10"/>
                  <w:tcBorders>
                    <w:top w:val="single" w:color="000000" w:sz="4" w:space="0"/>
                    <w:left w:val="nil"/>
                    <w:bottom w:val="single" w:color="000000" w:sz="12" w:space="0"/>
                    <w:right w:val="nil"/>
                  </w:tcBorders>
                  <w:vAlign w:val="center"/>
                </w:tcPr>
                <w:p>
                  <w:pPr>
                    <w:widowControl/>
                    <w:adjustRightInd w:val="0"/>
                    <w:snapToGrid w:val="0"/>
                    <w:ind w:firstLine="420" w:firstLineChars="200"/>
                    <w:rPr>
                      <w:rFonts w:ascii="Times New Roman" w:hAnsi="Times New Roman" w:eastAsia="宋体"/>
                      <w:szCs w:val="21"/>
                    </w:rPr>
                  </w:pPr>
                  <w:r>
                    <w:rPr>
                      <w:rFonts w:hint="eastAsia" w:ascii="Times New Roman" w:hAnsi="Times New Roman" w:eastAsia="宋体"/>
                      <w:szCs w:val="21"/>
                    </w:rPr>
                    <w:t>注：“—”表示可不开展土壤环境影响评价工作</w:t>
                  </w:r>
                </w:p>
              </w:tc>
            </w:tr>
          </w:tbl>
          <w:p>
            <w:pPr>
              <w:pStyle w:val="71"/>
              <w:widowControl/>
              <w:snapToGrid w:val="0"/>
              <w:spacing w:line="520" w:lineRule="exact"/>
              <w:ind w:firstLine="480"/>
              <w:jc w:val="both"/>
              <w:rPr>
                <w:rFonts w:hint="eastAsia" w:ascii="Times New Roman" w:hAnsi="Times New Roman" w:eastAsia="宋体" w:cs="Times New Roman"/>
                <w:sz w:val="24"/>
                <w:szCs w:val="24"/>
                <w:lang w:val="en-US" w:eastAsia="zh-CN"/>
              </w:rPr>
            </w:pPr>
            <w:r>
              <w:rPr>
                <w:rFonts w:ascii="Times New Roman" w:hAnsi="Times New Roman" w:eastAsia="宋体"/>
                <w:color w:val="000000" w:themeColor="text1"/>
                <w:sz w:val="24"/>
                <w:szCs w:val="24"/>
              </w:rPr>
              <w:t>本项目占地面积为</w:t>
            </w:r>
            <w:r>
              <w:rPr>
                <w:rFonts w:hint="eastAsia" w:ascii="Times New Roman" w:hAnsi="Times New Roman" w:eastAsia="宋体"/>
                <w:bCs/>
                <w:color w:val="000000" w:themeColor="text1"/>
                <w:kern w:val="0"/>
                <w:sz w:val="24"/>
                <w:szCs w:val="24"/>
                <w:lang w:val="en-US" w:eastAsia="zh-CN"/>
              </w:rPr>
              <w:t>2400</w:t>
            </w:r>
            <w:r>
              <w:rPr>
                <w:rFonts w:ascii="Times New Roman" w:hAnsi="Times New Roman" w:eastAsia="宋体"/>
                <w:color w:val="000000" w:themeColor="text1"/>
                <w:sz w:val="24"/>
                <w:szCs w:val="24"/>
              </w:rPr>
              <w:t>m</w:t>
            </w:r>
            <w:r>
              <w:rPr>
                <w:rFonts w:ascii="Times New Roman" w:hAnsi="Times New Roman" w:eastAsia="宋体"/>
                <w:color w:val="000000" w:themeColor="text1"/>
                <w:sz w:val="24"/>
                <w:szCs w:val="24"/>
                <w:vertAlign w:val="superscript"/>
              </w:rPr>
              <w:t>2</w:t>
            </w:r>
            <w:r>
              <w:rPr>
                <w:rFonts w:ascii="Times New Roman" w:hAnsi="Times New Roman" w:eastAsia="宋体"/>
                <w:color w:val="000000" w:themeColor="text1"/>
                <w:sz w:val="24"/>
                <w:szCs w:val="24"/>
              </w:rPr>
              <w:t>，占地规模</w:t>
            </w:r>
            <w:r>
              <w:rPr>
                <w:rFonts w:ascii="Times New Roman" w:hAnsi="Times New Roman" w:eastAsia="宋体"/>
                <w:sz w:val="24"/>
                <w:szCs w:val="24"/>
              </w:rPr>
              <w:t>小于5hm</w:t>
            </w:r>
            <w:r>
              <w:rPr>
                <w:rFonts w:ascii="Times New Roman" w:hAnsi="Times New Roman" w:eastAsia="宋体"/>
                <w:sz w:val="24"/>
                <w:szCs w:val="24"/>
                <w:vertAlign w:val="superscript"/>
              </w:rPr>
              <w:t>2</w:t>
            </w:r>
            <w:r>
              <w:rPr>
                <w:rFonts w:ascii="Times New Roman" w:hAnsi="Times New Roman" w:eastAsia="宋体"/>
                <w:sz w:val="24"/>
                <w:szCs w:val="24"/>
              </w:rPr>
              <w:t>，属于</w:t>
            </w:r>
            <w:r>
              <w:rPr>
                <w:rFonts w:hint="eastAsia" w:ascii="Times New Roman" w:hAnsi="Times New Roman" w:eastAsia="宋体"/>
                <w:sz w:val="24"/>
                <w:szCs w:val="24"/>
              </w:rPr>
              <w:t>“</w:t>
            </w:r>
            <w:r>
              <w:rPr>
                <w:rFonts w:ascii="Times New Roman" w:hAnsi="Times New Roman" w:eastAsia="宋体"/>
                <w:sz w:val="24"/>
                <w:szCs w:val="24"/>
              </w:rPr>
              <w:t>小型</w:t>
            </w:r>
            <w:r>
              <w:rPr>
                <w:rFonts w:hint="eastAsia" w:ascii="Times New Roman" w:hAnsi="Times New Roman" w:eastAsia="宋体"/>
                <w:sz w:val="24"/>
                <w:szCs w:val="24"/>
              </w:rPr>
              <w:t>”</w:t>
            </w:r>
            <w:r>
              <w:rPr>
                <w:rFonts w:ascii="Times New Roman" w:hAnsi="Times New Roman" w:eastAsia="宋体"/>
                <w:sz w:val="24"/>
                <w:szCs w:val="24"/>
              </w:rPr>
              <w:t>；所在地周边</w:t>
            </w:r>
            <w:r>
              <w:rPr>
                <w:rFonts w:hint="eastAsia" w:ascii="Times New Roman" w:hAnsi="Times New Roman" w:eastAsia="宋体"/>
                <w:sz w:val="24"/>
                <w:szCs w:val="24"/>
              </w:rPr>
              <w:t>200m范围</w:t>
            </w:r>
            <w:r>
              <w:rPr>
                <w:rFonts w:hint="eastAsia" w:ascii="Times New Roman" w:hAnsi="Times New Roman" w:eastAsia="宋体"/>
                <w:sz w:val="24"/>
                <w:szCs w:val="24"/>
                <w:lang w:eastAsia="zh-CN"/>
              </w:rPr>
              <w:t>有</w:t>
            </w:r>
            <w:r>
              <w:rPr>
                <w:rFonts w:ascii="Times New Roman" w:hAnsi="Times New Roman" w:eastAsia="宋体"/>
                <w:sz w:val="24"/>
                <w:szCs w:val="24"/>
              </w:rPr>
              <w:t>居民区土壤环境敏感目标，敏感程度为“敏感”。</w:t>
            </w:r>
            <w:r>
              <w:rPr>
                <w:rFonts w:ascii="Times New Roman" w:hAnsi="Times New Roman" w:eastAsia="宋体"/>
                <w:color w:val="000000" w:themeColor="text1"/>
                <w:sz w:val="24"/>
                <w:szCs w:val="24"/>
              </w:rPr>
              <w:t>由上表对比分析可知</w:t>
            </w:r>
            <w:r>
              <w:rPr>
                <w:rFonts w:ascii="Times New Roman" w:hAnsi="Times New Roman" w:eastAsia="宋体"/>
                <w:bCs/>
                <w:color w:val="000000" w:themeColor="text1"/>
                <w:sz w:val="24"/>
                <w:szCs w:val="24"/>
              </w:rPr>
              <w:t>，本项目</w:t>
            </w:r>
            <w:r>
              <w:rPr>
                <w:rFonts w:ascii="Times New Roman" w:hAnsi="Times New Roman" w:eastAsia="宋体"/>
                <w:color w:val="000000" w:themeColor="text1"/>
                <w:sz w:val="24"/>
                <w:szCs w:val="24"/>
              </w:rPr>
              <w:t>土壤环境评价等级</w:t>
            </w:r>
            <w:r>
              <w:rPr>
                <w:rFonts w:hint="eastAsia" w:ascii="Times New Roman" w:hAnsi="Times New Roman" w:eastAsia="宋体"/>
                <w:color w:val="000000" w:themeColor="text1"/>
                <w:sz w:val="24"/>
                <w:szCs w:val="24"/>
                <w:lang w:eastAsia="zh-CN"/>
              </w:rPr>
              <w:t>为三级</w:t>
            </w:r>
            <w:r>
              <w:rPr>
                <w:rFonts w:ascii="Times New Roman" w:hAnsi="Times New Roman" w:eastAsia="宋体"/>
                <w:bCs/>
                <w:color w:val="000000" w:themeColor="text1"/>
                <w:sz w:val="24"/>
                <w:szCs w:val="24"/>
              </w:rPr>
              <w:t>。</w:t>
            </w:r>
            <w:r>
              <w:rPr>
                <w:rFonts w:hint="eastAsia" w:ascii="Times New Roman" w:hAnsi="Times New Roman" w:eastAsia="宋体" w:cs="Times New Roman"/>
                <w:color w:val="000000" w:themeColor="text1"/>
                <w:sz w:val="24"/>
                <w:szCs w:val="24"/>
                <w:lang w:val="en-US" w:eastAsia="zh-CN"/>
              </w:rPr>
              <w:t>采用定性描述法进行影响预测和评价。</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eastAsia="宋体"/>
                <w:sz w:val="24"/>
                <w:szCs w:val="24"/>
                <w:lang w:eastAsia="zh-CN"/>
              </w:rPr>
            </w:pPr>
            <w:r>
              <w:rPr>
                <w:rFonts w:hint="eastAsia" w:ascii="Times New Roman" w:hAnsi="Times New Roman" w:eastAsia="宋体"/>
                <w:sz w:val="24"/>
                <w:szCs w:val="24"/>
                <w:lang w:eastAsia="zh-CN"/>
              </w:rPr>
              <w:t>（</w:t>
            </w:r>
            <w:r>
              <w:rPr>
                <w:rFonts w:hint="eastAsia" w:ascii="Times New Roman" w:hAnsi="Times New Roman" w:eastAsia="宋体"/>
                <w:sz w:val="24"/>
                <w:szCs w:val="24"/>
                <w:lang w:val="en-US" w:eastAsia="zh-CN"/>
              </w:rPr>
              <w:t>1</w:t>
            </w:r>
            <w:r>
              <w:rPr>
                <w:rFonts w:hint="eastAsia" w:ascii="Times New Roman" w:hAnsi="Times New Roman" w:eastAsia="宋体"/>
                <w:sz w:val="24"/>
                <w:szCs w:val="24"/>
                <w:lang w:eastAsia="zh-CN"/>
              </w:rPr>
              <w:t>）现状调查范围</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eastAsia="宋体"/>
                <w:sz w:val="24"/>
                <w:szCs w:val="24"/>
                <w:lang w:eastAsia="zh-CN"/>
              </w:rPr>
            </w:pPr>
            <w:r>
              <w:rPr>
                <w:rFonts w:hint="eastAsia" w:ascii="Times New Roman" w:hAnsi="Times New Roman" w:eastAsia="宋体"/>
                <w:sz w:val="24"/>
                <w:szCs w:val="24"/>
                <w:lang w:eastAsia="zh-CN"/>
              </w:rPr>
              <w:t>项目调查范围为永久占地范围内及占地范围外0.05km内区域。</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eastAsia="宋体"/>
                <w:sz w:val="24"/>
                <w:szCs w:val="24"/>
                <w:lang w:eastAsia="zh-CN"/>
              </w:rPr>
            </w:pPr>
            <w:r>
              <w:rPr>
                <w:rFonts w:hint="eastAsia" w:ascii="Times New Roman" w:hAnsi="Times New Roman" w:eastAsia="宋体"/>
                <w:sz w:val="24"/>
                <w:szCs w:val="24"/>
                <w:lang w:eastAsia="zh-CN"/>
              </w:rPr>
              <w:t>（</w:t>
            </w:r>
            <w:r>
              <w:rPr>
                <w:rFonts w:hint="eastAsia" w:ascii="Times New Roman" w:hAnsi="Times New Roman" w:eastAsia="宋体"/>
                <w:sz w:val="24"/>
                <w:szCs w:val="24"/>
                <w:lang w:val="en-US" w:eastAsia="zh-CN"/>
              </w:rPr>
              <w:t>2</w:t>
            </w:r>
            <w:r>
              <w:rPr>
                <w:rFonts w:hint="eastAsia" w:ascii="Times New Roman" w:hAnsi="Times New Roman" w:eastAsia="宋体"/>
                <w:sz w:val="24"/>
                <w:szCs w:val="24"/>
                <w:lang w:eastAsia="zh-CN"/>
              </w:rPr>
              <w:t>）评价范围及预测评价时段</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eastAsia="宋体"/>
                <w:sz w:val="24"/>
                <w:szCs w:val="24"/>
                <w:lang w:eastAsia="zh-CN"/>
              </w:rPr>
            </w:pPr>
            <w:r>
              <w:rPr>
                <w:rFonts w:hint="eastAsia" w:ascii="Times New Roman" w:hAnsi="Times New Roman" w:eastAsia="宋体"/>
                <w:sz w:val="24"/>
                <w:szCs w:val="24"/>
                <w:lang w:eastAsia="zh-CN"/>
              </w:rPr>
              <w:t>本项目焊接、下料、机加工过程产生少量颗粒物，经过预测，</w:t>
            </w:r>
            <w:r>
              <w:rPr>
                <w:rFonts w:ascii="Times New Roman" w:hAnsi="Times New Roman" w:eastAsia="宋体"/>
                <w:b w:val="0"/>
                <w:bCs w:val="0"/>
                <w:color w:val="auto"/>
                <w:sz w:val="24"/>
                <w:szCs w:val="24"/>
                <w:u w:val="none"/>
              </w:rPr>
              <w:t>本项目</w:t>
            </w:r>
            <w:r>
              <w:rPr>
                <w:rFonts w:hint="eastAsia" w:ascii="Times New Roman" w:hAnsi="Times New Roman" w:eastAsia="宋体"/>
                <w:b w:val="0"/>
                <w:bCs w:val="0"/>
                <w:color w:val="auto"/>
                <w:sz w:val="24"/>
                <w:szCs w:val="24"/>
                <w:u w:val="none"/>
                <w:lang w:eastAsia="zh-CN"/>
              </w:rPr>
              <w:t>无</w:t>
            </w:r>
            <w:r>
              <w:rPr>
                <w:rFonts w:ascii="Times New Roman" w:hAnsi="Times New Roman" w:eastAsia="宋体"/>
                <w:b w:val="0"/>
                <w:bCs w:val="0"/>
                <w:color w:val="auto"/>
                <w:sz w:val="24"/>
                <w:szCs w:val="24"/>
                <w:u w:val="none"/>
              </w:rPr>
              <w:t>组织颗粒物最大落地浓度为</w:t>
            </w:r>
            <w:r>
              <w:rPr>
                <w:rFonts w:hint="eastAsia" w:ascii="Times New Roman" w:hAnsi="Times New Roman" w:eastAsia="宋体"/>
                <w:sz w:val="24"/>
                <w:szCs w:val="24"/>
              </w:rPr>
              <w:t>0.004167</w:t>
            </w:r>
            <w:r>
              <w:rPr>
                <w:rFonts w:ascii="Times New Roman" w:hAnsi="Times New Roman" w:eastAsia="宋体"/>
                <w:color w:val="000000"/>
                <w:sz w:val="24"/>
                <w:szCs w:val="24"/>
              </w:rPr>
              <w:t>μg/m</w:t>
            </w:r>
            <w:r>
              <w:rPr>
                <w:rFonts w:ascii="Times New Roman" w:hAnsi="Times New Roman" w:eastAsia="宋体"/>
                <w:color w:val="000000"/>
                <w:sz w:val="24"/>
                <w:szCs w:val="24"/>
                <w:vertAlign w:val="superscript"/>
              </w:rPr>
              <w:t>3</w:t>
            </w:r>
            <w:r>
              <w:rPr>
                <w:rFonts w:ascii="Times New Roman" w:hAnsi="Times New Roman" w:eastAsia="宋体"/>
                <w:b w:val="0"/>
                <w:bCs w:val="0"/>
                <w:color w:val="auto"/>
                <w:sz w:val="24"/>
                <w:szCs w:val="24"/>
                <w:u w:val="none"/>
              </w:rPr>
              <w:t>，最大占标率为</w:t>
            </w:r>
            <w:r>
              <w:rPr>
                <w:rFonts w:hint="eastAsia" w:ascii="Times New Roman" w:hAnsi="Times New Roman" w:eastAsia="宋体"/>
                <w:b w:val="0"/>
                <w:bCs w:val="0"/>
                <w:color w:val="auto"/>
                <w:sz w:val="24"/>
                <w:szCs w:val="24"/>
                <w:u w:val="none"/>
                <w:lang w:val="en-US" w:eastAsia="zh-CN"/>
              </w:rPr>
              <w:t>0.93</w:t>
            </w:r>
            <w:r>
              <w:rPr>
                <w:rFonts w:ascii="Times New Roman" w:hAnsi="Times New Roman" w:eastAsia="宋体"/>
                <w:b w:val="0"/>
                <w:bCs w:val="0"/>
                <w:color w:val="auto"/>
                <w:sz w:val="24"/>
                <w:szCs w:val="24"/>
                <w:u w:val="none"/>
              </w:rPr>
              <w:t>%</w:t>
            </w:r>
            <w:r>
              <w:rPr>
                <w:rFonts w:hint="eastAsia" w:ascii="Times New Roman" w:hAnsi="Times New Roman" w:eastAsia="宋体"/>
                <w:b w:val="0"/>
                <w:bCs w:val="0"/>
                <w:color w:val="auto"/>
                <w:sz w:val="24"/>
                <w:szCs w:val="24"/>
                <w:u w:val="none"/>
                <w:lang w:eastAsia="zh-CN"/>
              </w:rPr>
              <w:t>，</w:t>
            </w:r>
            <w:r>
              <w:rPr>
                <w:rFonts w:hint="eastAsia" w:ascii="Times New Roman" w:hAnsi="Times New Roman" w:eastAsia="宋体"/>
                <w:sz w:val="24"/>
                <w:szCs w:val="24"/>
                <w:lang w:eastAsia="zh-CN"/>
              </w:rPr>
              <w:t>出现在下风向</w:t>
            </w:r>
            <w:r>
              <w:rPr>
                <w:rFonts w:hint="eastAsia" w:ascii="Times New Roman" w:hAnsi="Times New Roman" w:eastAsia="宋体"/>
                <w:sz w:val="24"/>
                <w:szCs w:val="24"/>
                <w:lang w:val="en-US" w:eastAsia="zh-CN"/>
              </w:rPr>
              <w:t>99</w:t>
            </w:r>
            <w:r>
              <w:rPr>
                <w:rFonts w:hint="eastAsia" w:ascii="Times New Roman" w:hAnsi="Times New Roman" w:eastAsia="宋体"/>
                <w:sz w:val="24"/>
                <w:szCs w:val="24"/>
                <w:lang w:eastAsia="zh-CN"/>
              </w:rPr>
              <w:t>m处。结合项目污染类型及评价等级，评价范围为占地范围内和占地范围外0.05km范围内。预测时段为运营期和服务期满后，重点影响预测时段为运营期。</w:t>
            </w:r>
          </w:p>
          <w:p>
            <w:pPr>
              <w:pStyle w:val="22"/>
              <w:keepNext w:val="0"/>
              <w:keepLines w:val="0"/>
              <w:pageBreakBefore w:val="0"/>
              <w:widowControl w:val="0"/>
              <w:kinsoku/>
              <w:wordWrap/>
              <w:overflowPunct/>
              <w:topLinePunct w:val="0"/>
              <w:autoSpaceDE/>
              <w:autoSpaceDN/>
              <w:bidi w:val="0"/>
              <w:adjustRightInd/>
              <w:snapToGrid/>
              <w:spacing w:after="0" w:line="520" w:lineRule="exact"/>
              <w:ind w:left="0" w:leftChars="0" w:firstLine="0"/>
              <w:textAlignment w:val="auto"/>
              <w:rPr>
                <w:rFonts w:ascii="Times New Roman" w:hAnsi="Times New Roman" w:eastAsia="宋体"/>
                <w:b/>
                <w:bCs/>
                <w:sz w:val="24"/>
                <w:szCs w:val="24"/>
              </w:rPr>
            </w:pPr>
            <w:r>
              <w:rPr>
                <w:rFonts w:hint="eastAsia" w:ascii="Times New Roman" w:hAnsi="Times New Roman" w:eastAsia="宋体"/>
                <w:b/>
                <w:bCs/>
                <w:sz w:val="24"/>
                <w:szCs w:val="24"/>
                <w:lang w:val="en-US" w:eastAsia="zh-CN"/>
              </w:rPr>
              <w:t>6.1</w:t>
            </w:r>
            <w:r>
              <w:rPr>
                <w:rFonts w:ascii="Times New Roman" w:hAnsi="Times New Roman" w:eastAsia="宋体"/>
                <w:b/>
                <w:bCs/>
                <w:sz w:val="24"/>
                <w:szCs w:val="24"/>
              </w:rPr>
              <w:t xml:space="preserve"> 污染影响分析</w:t>
            </w:r>
          </w:p>
          <w:p>
            <w:pPr>
              <w:pStyle w:val="22"/>
              <w:keepNext w:val="0"/>
              <w:keepLines w:val="0"/>
              <w:pageBreakBefore w:val="0"/>
              <w:widowControl w:val="0"/>
              <w:kinsoku/>
              <w:wordWrap/>
              <w:overflowPunct/>
              <w:topLinePunct w:val="0"/>
              <w:autoSpaceDE/>
              <w:autoSpaceDN/>
              <w:bidi w:val="0"/>
              <w:adjustRightInd/>
              <w:snapToGrid/>
              <w:spacing w:after="0" w:line="520" w:lineRule="exact"/>
              <w:ind w:left="0" w:leftChars="0" w:firstLine="0"/>
              <w:textAlignment w:val="auto"/>
              <w:rPr>
                <w:rFonts w:ascii="Times New Roman" w:hAnsi="Times New Roman" w:eastAsia="宋体"/>
                <w:b/>
                <w:bCs/>
                <w:sz w:val="24"/>
                <w:szCs w:val="24"/>
              </w:rPr>
            </w:pPr>
            <w:r>
              <w:rPr>
                <w:rFonts w:hint="eastAsia" w:ascii="Times New Roman" w:hAnsi="Times New Roman" w:eastAsia="宋体"/>
                <w:b/>
                <w:bCs/>
                <w:sz w:val="24"/>
                <w:szCs w:val="24"/>
                <w:lang w:val="en-US" w:eastAsia="zh-CN"/>
              </w:rPr>
              <w:t>6.1</w:t>
            </w:r>
            <w:r>
              <w:rPr>
                <w:rFonts w:ascii="Times New Roman" w:hAnsi="Times New Roman" w:eastAsia="宋体"/>
                <w:b/>
                <w:bCs/>
                <w:sz w:val="24"/>
                <w:szCs w:val="24"/>
              </w:rPr>
              <w:t>.1 保护措施</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ascii="Times New Roman" w:hAnsi="Times New Roman" w:eastAsia="宋体"/>
                <w:sz w:val="24"/>
                <w:szCs w:val="24"/>
              </w:rPr>
            </w:pPr>
            <w:r>
              <w:rPr>
                <w:rFonts w:ascii="Times New Roman" w:hAnsi="Times New Roman" w:eastAsia="宋体"/>
                <w:sz w:val="24"/>
                <w:szCs w:val="24"/>
              </w:rPr>
              <w:t>（1）源头控制</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ascii="Times New Roman" w:hAnsi="Times New Roman" w:eastAsia="宋体"/>
                <w:sz w:val="24"/>
                <w:szCs w:val="24"/>
              </w:rPr>
            </w:pPr>
            <w:r>
              <w:rPr>
                <w:rFonts w:ascii="Times New Roman" w:hAnsi="Times New Roman" w:eastAsia="宋体"/>
                <w:sz w:val="24"/>
                <w:szCs w:val="24"/>
              </w:rPr>
              <w:t>①本项目选择先进、成熟、可靠的工艺技术和较清洁的原辅材料，并对产生的废物进行合理的回用和治理，以尽可能从源头上减少污染物排放；</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ascii="Times New Roman" w:hAnsi="Times New Roman" w:eastAsia="宋体"/>
                <w:sz w:val="24"/>
                <w:szCs w:val="24"/>
              </w:rPr>
            </w:pPr>
            <w:r>
              <w:rPr>
                <w:rFonts w:ascii="Times New Roman" w:hAnsi="Times New Roman" w:eastAsia="宋体"/>
                <w:sz w:val="24"/>
                <w:szCs w:val="24"/>
              </w:rPr>
              <w:t>②厂区加强管理，对工艺设备定期检查、检修，减少跑冒滴漏，发现问题及时处理，有效降低下渗影响。</w:t>
            </w:r>
          </w:p>
          <w:p>
            <w:pPr>
              <w:pStyle w:val="22"/>
              <w:keepNext w:val="0"/>
              <w:keepLines w:val="0"/>
              <w:pageBreakBefore w:val="0"/>
              <w:widowControl w:val="0"/>
              <w:kinsoku/>
              <w:wordWrap/>
              <w:overflowPunct/>
              <w:topLinePunct w:val="0"/>
              <w:autoSpaceDE/>
              <w:autoSpaceDN/>
              <w:bidi w:val="0"/>
              <w:adjustRightInd/>
              <w:snapToGrid/>
              <w:spacing w:after="0" w:line="520" w:lineRule="exact"/>
              <w:ind w:left="0" w:leftChars="0" w:firstLine="480" w:firstLineChars="200"/>
              <w:jc w:val="both"/>
              <w:textAlignment w:val="auto"/>
              <w:rPr>
                <w:rFonts w:ascii="Times New Roman" w:hAnsi="Times New Roman" w:eastAsia="宋体"/>
                <w:sz w:val="24"/>
                <w:szCs w:val="24"/>
              </w:rPr>
            </w:pPr>
            <w:r>
              <w:rPr>
                <w:rFonts w:ascii="Times New Roman" w:hAnsi="Times New Roman" w:eastAsia="宋体"/>
                <w:sz w:val="24"/>
                <w:szCs w:val="24"/>
              </w:rPr>
              <w:t>（2）过程阻断</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ascii="Times New Roman" w:hAnsi="Times New Roman" w:eastAsia="宋体"/>
                <w:sz w:val="24"/>
                <w:szCs w:val="24"/>
              </w:rPr>
            </w:pPr>
            <w:r>
              <w:rPr>
                <w:rFonts w:ascii="Times New Roman" w:hAnsi="Times New Roman" w:eastAsia="宋体"/>
                <w:sz w:val="24"/>
                <w:szCs w:val="24"/>
              </w:rPr>
              <w:t>①厂区内空闲地带进行乔灌草绿化，降低对土壤的污染影响；</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ascii="Times New Roman" w:hAnsi="Times New Roman" w:eastAsia="宋体"/>
                <w:sz w:val="24"/>
                <w:szCs w:val="24"/>
              </w:rPr>
            </w:pPr>
            <w:r>
              <w:rPr>
                <w:rFonts w:ascii="Times New Roman" w:hAnsi="Times New Roman" w:eastAsia="宋体"/>
                <w:sz w:val="24"/>
                <w:szCs w:val="24"/>
              </w:rPr>
              <w:t>②厂区及生产车间进行地面硬化，并采取防渗措施，通过过程阻断，降低对土壤的污染影响。</w:t>
            </w:r>
          </w:p>
          <w:p>
            <w:pPr>
              <w:pStyle w:val="22"/>
              <w:keepNext w:val="0"/>
              <w:keepLines w:val="0"/>
              <w:pageBreakBefore w:val="0"/>
              <w:widowControl w:val="0"/>
              <w:kinsoku/>
              <w:wordWrap/>
              <w:overflowPunct/>
              <w:topLinePunct w:val="0"/>
              <w:autoSpaceDE/>
              <w:autoSpaceDN/>
              <w:bidi w:val="0"/>
              <w:adjustRightInd/>
              <w:snapToGrid/>
              <w:spacing w:after="0" w:line="520" w:lineRule="exact"/>
              <w:ind w:left="0" w:leftChars="0" w:firstLine="480" w:firstLineChars="200"/>
              <w:jc w:val="both"/>
              <w:textAlignment w:val="auto"/>
              <w:rPr>
                <w:rFonts w:ascii="Times New Roman" w:hAnsi="Times New Roman" w:eastAsia="宋体"/>
                <w:sz w:val="24"/>
                <w:szCs w:val="24"/>
              </w:rPr>
            </w:pPr>
            <w:r>
              <w:rPr>
                <w:rFonts w:ascii="Times New Roman" w:hAnsi="Times New Roman" w:eastAsia="宋体"/>
                <w:sz w:val="24"/>
                <w:szCs w:val="24"/>
              </w:rPr>
              <w:t>（3）分区防控</w:t>
            </w:r>
          </w:p>
          <w:p>
            <w:pPr>
              <w:keepNext w:val="0"/>
              <w:keepLines w:val="0"/>
              <w:pageBreakBefore w:val="0"/>
              <w:widowControl w:val="0"/>
              <w:kinsoku/>
              <w:wordWrap/>
              <w:overflowPunct/>
              <w:topLinePunct w:val="0"/>
              <w:bidi w:val="0"/>
              <w:adjustRightInd/>
              <w:snapToGrid/>
              <w:spacing w:line="520" w:lineRule="exact"/>
              <w:ind w:firstLine="480" w:firstLineChars="200"/>
              <w:jc w:val="both"/>
              <w:textAlignment w:val="auto"/>
              <w:rPr>
                <w:rFonts w:ascii="Times New Roman" w:hAnsi="Times New Roman" w:eastAsia="宋体"/>
                <w:sz w:val="24"/>
                <w:szCs w:val="24"/>
              </w:rPr>
            </w:pPr>
            <w:r>
              <w:rPr>
                <w:rFonts w:ascii="Times New Roman" w:hAnsi="Times New Roman" w:eastAsia="宋体"/>
                <w:sz w:val="24"/>
                <w:szCs w:val="24"/>
              </w:rPr>
              <w:t>①厂区内除绿化外其它区域地面进行硬化；</w:t>
            </w:r>
          </w:p>
          <w:p>
            <w:pPr>
              <w:keepNext w:val="0"/>
              <w:keepLines w:val="0"/>
              <w:pageBreakBefore w:val="0"/>
              <w:widowControl w:val="0"/>
              <w:kinsoku/>
              <w:wordWrap/>
              <w:overflowPunct/>
              <w:topLinePunct w:val="0"/>
              <w:bidi w:val="0"/>
              <w:adjustRightInd/>
              <w:snapToGrid/>
              <w:spacing w:line="520" w:lineRule="exact"/>
              <w:ind w:firstLine="480" w:firstLineChars="200"/>
              <w:jc w:val="both"/>
              <w:textAlignment w:val="auto"/>
              <w:rPr>
                <w:rFonts w:ascii="Times New Roman" w:hAnsi="Times New Roman" w:eastAsia="宋体"/>
                <w:sz w:val="24"/>
                <w:szCs w:val="24"/>
              </w:rPr>
            </w:pPr>
            <w:r>
              <w:rPr>
                <w:rFonts w:ascii="Times New Roman" w:hAnsi="Times New Roman" w:eastAsia="宋体"/>
                <w:sz w:val="24"/>
                <w:szCs w:val="24"/>
              </w:rPr>
              <w:t>②</w:t>
            </w:r>
            <w:r>
              <w:rPr>
                <w:rFonts w:hint="eastAsia" w:ascii="Times New Roman" w:hAnsi="Times New Roman" w:eastAsia="宋体"/>
                <w:sz w:val="24"/>
                <w:szCs w:val="24"/>
                <w:lang w:eastAsia="zh-CN"/>
              </w:rPr>
              <w:t>危废暂存间</w:t>
            </w:r>
            <w:r>
              <w:rPr>
                <w:rFonts w:ascii="Times New Roman" w:hAnsi="Times New Roman" w:eastAsia="宋体"/>
                <w:sz w:val="24"/>
                <w:szCs w:val="24"/>
              </w:rPr>
              <w:t>进行防渗</w:t>
            </w:r>
          </w:p>
          <w:p>
            <w:pPr>
              <w:pStyle w:val="22"/>
              <w:keepNext w:val="0"/>
              <w:keepLines w:val="0"/>
              <w:pageBreakBefore w:val="0"/>
              <w:widowControl w:val="0"/>
              <w:kinsoku/>
              <w:wordWrap/>
              <w:overflowPunct/>
              <w:topLinePunct w:val="0"/>
              <w:bidi w:val="0"/>
              <w:adjustRightInd/>
              <w:snapToGrid/>
              <w:spacing w:after="0" w:line="520" w:lineRule="exact"/>
              <w:ind w:left="0" w:leftChars="0" w:firstLine="480" w:firstLineChars="200"/>
              <w:jc w:val="both"/>
              <w:textAlignment w:val="auto"/>
              <w:rPr>
                <w:rFonts w:ascii="Times New Roman" w:hAnsi="Times New Roman" w:eastAsia="宋体"/>
                <w:sz w:val="24"/>
                <w:szCs w:val="24"/>
              </w:rPr>
            </w:pPr>
            <w:r>
              <w:rPr>
                <w:rFonts w:ascii="Times New Roman" w:hAnsi="Times New Roman" w:eastAsia="宋体"/>
                <w:sz w:val="24"/>
                <w:szCs w:val="24"/>
              </w:rPr>
              <w:t>（4）污染物削减：</w:t>
            </w:r>
          </w:p>
          <w:p>
            <w:pPr>
              <w:keepNext w:val="0"/>
              <w:keepLines w:val="0"/>
              <w:pageBreakBefore w:val="0"/>
              <w:widowControl w:val="0"/>
              <w:kinsoku/>
              <w:wordWrap/>
              <w:overflowPunct/>
              <w:topLinePunct w:val="0"/>
              <w:bidi w:val="0"/>
              <w:adjustRightInd/>
              <w:snapToGrid/>
              <w:spacing w:line="520" w:lineRule="exact"/>
              <w:ind w:firstLine="480" w:firstLineChars="200"/>
              <w:jc w:val="both"/>
              <w:textAlignment w:val="auto"/>
              <w:rPr>
                <w:rFonts w:hint="eastAsia" w:ascii="Times New Roman" w:hAnsi="Times New Roman" w:eastAsia="宋体"/>
                <w:sz w:val="24"/>
                <w:szCs w:val="24"/>
                <w:lang w:eastAsia="zh-CN"/>
              </w:rPr>
            </w:pPr>
            <w:r>
              <w:rPr>
                <w:rFonts w:ascii="Times New Roman" w:hAnsi="Times New Roman" w:eastAsia="宋体"/>
                <w:sz w:val="24"/>
                <w:szCs w:val="24"/>
              </w:rPr>
              <w:t>采取</w:t>
            </w:r>
            <w:r>
              <w:rPr>
                <w:rFonts w:hint="eastAsia" w:ascii="Times New Roman" w:hAnsi="Times New Roman" w:eastAsia="宋体"/>
                <w:sz w:val="24"/>
                <w:szCs w:val="24"/>
                <w:lang w:eastAsia="zh-CN"/>
              </w:rPr>
              <w:t>车间密闭</w:t>
            </w:r>
            <w:r>
              <w:rPr>
                <w:rFonts w:ascii="Times New Roman" w:hAnsi="Times New Roman" w:eastAsia="宋体"/>
                <w:sz w:val="24"/>
                <w:szCs w:val="24"/>
              </w:rPr>
              <w:t>及</w:t>
            </w:r>
            <w:r>
              <w:rPr>
                <w:rFonts w:hint="eastAsia" w:ascii="Times New Roman" w:hAnsi="Times New Roman" w:eastAsia="宋体"/>
                <w:sz w:val="24"/>
                <w:szCs w:val="24"/>
                <w:lang w:eastAsia="zh-CN"/>
              </w:rPr>
              <w:t>移动式烟尘净化器收集处理</w:t>
            </w:r>
            <w:r>
              <w:rPr>
                <w:rFonts w:ascii="Times New Roman" w:hAnsi="Times New Roman" w:eastAsia="宋体"/>
                <w:sz w:val="24"/>
                <w:szCs w:val="24"/>
              </w:rPr>
              <w:t>等措施，降低颗粒物等排放量</w:t>
            </w:r>
            <w:r>
              <w:rPr>
                <w:rFonts w:hint="eastAsia" w:ascii="Times New Roman" w:hAnsi="Times New Roman" w:eastAsia="宋体"/>
                <w:sz w:val="24"/>
                <w:szCs w:val="24"/>
                <w:lang w:eastAsia="zh-CN"/>
              </w:rPr>
              <w:t>。</w:t>
            </w:r>
          </w:p>
          <w:p>
            <w:pPr>
              <w:pStyle w:val="22"/>
              <w:keepNext w:val="0"/>
              <w:keepLines w:val="0"/>
              <w:pageBreakBefore w:val="0"/>
              <w:widowControl w:val="0"/>
              <w:kinsoku/>
              <w:wordWrap/>
              <w:overflowPunct/>
              <w:topLinePunct w:val="0"/>
              <w:bidi w:val="0"/>
              <w:adjustRightInd/>
              <w:snapToGrid/>
              <w:spacing w:after="0" w:line="520" w:lineRule="exact"/>
              <w:ind w:left="0" w:leftChars="0" w:firstLine="0"/>
              <w:jc w:val="both"/>
              <w:textAlignment w:val="auto"/>
              <w:rPr>
                <w:rFonts w:ascii="Times New Roman" w:hAnsi="Times New Roman" w:eastAsia="宋体"/>
                <w:b/>
                <w:bCs/>
                <w:sz w:val="24"/>
                <w:szCs w:val="24"/>
              </w:rPr>
            </w:pPr>
            <w:r>
              <w:rPr>
                <w:rFonts w:hint="eastAsia" w:ascii="Times New Roman" w:hAnsi="Times New Roman" w:eastAsia="宋体"/>
                <w:b/>
                <w:bCs/>
                <w:sz w:val="24"/>
                <w:szCs w:val="24"/>
                <w:lang w:val="en-US" w:eastAsia="zh-CN"/>
              </w:rPr>
              <w:t>6.1.</w:t>
            </w:r>
            <w:r>
              <w:rPr>
                <w:rFonts w:hint="eastAsia" w:ascii="Times New Roman" w:hAnsi="Times New Roman" w:eastAsia="宋体"/>
                <w:b/>
                <w:bCs/>
                <w:sz w:val="24"/>
                <w:szCs w:val="24"/>
              </w:rPr>
              <w:t>2运营期土壤</w:t>
            </w:r>
            <w:r>
              <w:rPr>
                <w:rFonts w:ascii="Times New Roman" w:hAnsi="Times New Roman" w:eastAsia="宋体"/>
                <w:b/>
                <w:bCs/>
                <w:sz w:val="24"/>
                <w:szCs w:val="24"/>
              </w:rPr>
              <w:t>环境影响</w:t>
            </w:r>
          </w:p>
          <w:p>
            <w:pPr>
              <w:pStyle w:val="2"/>
              <w:keepNext w:val="0"/>
              <w:keepLines w:val="0"/>
              <w:pageBreakBefore w:val="0"/>
              <w:widowControl w:val="0"/>
              <w:kinsoku/>
              <w:wordWrap/>
              <w:overflowPunct/>
              <w:topLinePunct w:val="0"/>
              <w:bidi w:val="0"/>
              <w:adjustRightInd/>
              <w:snapToGrid/>
              <w:spacing w:before="0" w:line="520" w:lineRule="exact"/>
              <w:ind w:left="0" w:right="0" w:firstLine="480" w:firstLineChars="200"/>
              <w:jc w:val="both"/>
              <w:textAlignment w:val="auto"/>
              <w:rPr>
                <w:rFonts w:ascii="Times New Roman" w:hAnsi="Times New Roman" w:eastAsia="宋体"/>
                <w:sz w:val="24"/>
                <w:szCs w:val="24"/>
              </w:rPr>
            </w:pPr>
            <w:r>
              <w:rPr>
                <w:rFonts w:hint="eastAsia" w:ascii="Times New Roman" w:hAnsi="Times New Roman" w:eastAsia="宋体"/>
                <w:sz w:val="24"/>
                <w:szCs w:val="24"/>
              </w:rPr>
              <w:t>运营期</w:t>
            </w:r>
            <w:r>
              <w:rPr>
                <w:rFonts w:hint="eastAsia" w:ascii="Times New Roman" w:hAnsi="Times New Roman" w:eastAsia="宋体"/>
                <w:sz w:val="24"/>
                <w:szCs w:val="24"/>
                <w:lang w:eastAsia="zh-CN"/>
              </w:rPr>
              <w:t>生产</w:t>
            </w:r>
            <w:r>
              <w:rPr>
                <w:rFonts w:hint="eastAsia" w:ascii="Times New Roman" w:hAnsi="Times New Roman" w:eastAsia="宋体"/>
                <w:sz w:val="24"/>
                <w:szCs w:val="24"/>
              </w:rPr>
              <w:t>过程产生少量颗粒物排放，降落至项目</w:t>
            </w:r>
            <w:r>
              <w:rPr>
                <w:rFonts w:hint="eastAsia" w:ascii="Times New Roman" w:hAnsi="Times New Roman" w:eastAsia="宋体"/>
                <w:sz w:val="24"/>
                <w:szCs w:val="24"/>
                <w:lang w:eastAsia="zh-CN"/>
              </w:rPr>
              <w:t>租赁</w:t>
            </w:r>
            <w:r>
              <w:rPr>
                <w:rFonts w:hint="eastAsia" w:ascii="Times New Roman" w:hAnsi="Times New Roman" w:eastAsia="宋体"/>
                <w:sz w:val="24"/>
                <w:szCs w:val="24"/>
              </w:rPr>
              <w:t>厂区、道路沿线及厂区周边，厂区内空地进行乔灌草绿化，项目周边有林地等植被，同时运营期采取设备及厂房封闭、设置</w:t>
            </w:r>
            <w:r>
              <w:rPr>
                <w:rFonts w:hint="eastAsia" w:ascii="Times New Roman" w:hAnsi="Times New Roman" w:eastAsia="宋体"/>
                <w:sz w:val="24"/>
                <w:szCs w:val="24"/>
                <w:lang w:eastAsia="zh-CN"/>
              </w:rPr>
              <w:t>移动式烟尘净化器</w:t>
            </w:r>
            <w:r>
              <w:rPr>
                <w:rFonts w:hint="eastAsia" w:ascii="Times New Roman" w:hAnsi="Times New Roman" w:eastAsia="宋体"/>
                <w:sz w:val="24"/>
                <w:szCs w:val="24"/>
              </w:rPr>
              <w:t>、洒水抑尘等措施，可有效降低加工过程中大气沉降或洒落地表对土壤造成的污染影响。</w:t>
            </w:r>
          </w:p>
          <w:p>
            <w:pPr>
              <w:pStyle w:val="2"/>
              <w:keepNext w:val="0"/>
              <w:keepLines w:val="0"/>
              <w:pageBreakBefore w:val="0"/>
              <w:widowControl w:val="0"/>
              <w:kinsoku/>
              <w:wordWrap/>
              <w:overflowPunct/>
              <w:topLinePunct w:val="0"/>
              <w:bidi w:val="0"/>
              <w:adjustRightInd/>
              <w:snapToGrid/>
              <w:spacing w:before="0" w:line="520" w:lineRule="exact"/>
              <w:ind w:left="0" w:right="0" w:firstLine="480" w:firstLineChars="200"/>
              <w:jc w:val="both"/>
              <w:textAlignment w:val="auto"/>
              <w:rPr>
                <w:rFonts w:ascii="Times New Roman" w:hAnsi="Times New Roman" w:eastAsia="宋体"/>
                <w:sz w:val="24"/>
                <w:szCs w:val="24"/>
              </w:rPr>
            </w:pPr>
            <w:r>
              <w:rPr>
                <w:rFonts w:hint="eastAsia" w:ascii="Times New Roman" w:hAnsi="Times New Roman" w:eastAsia="宋体"/>
                <w:sz w:val="24"/>
                <w:szCs w:val="24"/>
              </w:rPr>
              <w:t>厂区内除厂房及绿化外其它区域地面进行硬化，</w:t>
            </w:r>
            <w:r>
              <w:rPr>
                <w:rFonts w:hint="eastAsia" w:ascii="Times New Roman" w:hAnsi="Times New Roman" w:eastAsia="宋体"/>
                <w:sz w:val="24"/>
                <w:szCs w:val="24"/>
                <w:lang w:eastAsia="zh-CN"/>
              </w:rPr>
              <w:t>项目产生的废水经管道</w:t>
            </w:r>
            <w:r>
              <w:rPr>
                <w:rFonts w:hint="eastAsia" w:ascii="Times New Roman" w:hAnsi="Times New Roman" w:eastAsia="宋体"/>
                <w:sz w:val="24"/>
                <w:szCs w:val="24"/>
              </w:rPr>
              <w:t>收集后进入</w:t>
            </w:r>
            <w:r>
              <w:rPr>
                <w:rFonts w:hint="eastAsia" w:ascii="Times New Roman" w:hAnsi="Times New Roman" w:eastAsia="宋体"/>
                <w:sz w:val="24"/>
                <w:szCs w:val="24"/>
                <w:lang w:eastAsia="zh-CN"/>
              </w:rPr>
              <w:t>厂区化粪池</w:t>
            </w:r>
            <w:r>
              <w:rPr>
                <w:rFonts w:hint="eastAsia" w:ascii="Times New Roman" w:hAnsi="Times New Roman" w:eastAsia="宋体"/>
                <w:sz w:val="24"/>
                <w:szCs w:val="24"/>
              </w:rPr>
              <w:t>处理后</w:t>
            </w:r>
            <w:r>
              <w:rPr>
                <w:rFonts w:hint="eastAsia" w:ascii="Times New Roman" w:hAnsi="Times New Roman" w:eastAsia="宋体"/>
                <w:sz w:val="24"/>
                <w:szCs w:val="24"/>
                <w:lang w:eastAsia="zh-CN"/>
              </w:rPr>
              <w:t>经市政污水管网进入城市污水处理厂</w:t>
            </w:r>
            <w:r>
              <w:rPr>
                <w:rFonts w:hint="eastAsia" w:ascii="Times New Roman" w:hAnsi="Times New Roman" w:eastAsia="宋体"/>
                <w:sz w:val="24"/>
                <w:szCs w:val="24"/>
              </w:rPr>
              <w:t>，有效避免地表漫流及入渗影响。</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ascii="Times New Roman" w:hAnsi="Times New Roman" w:eastAsia="宋体"/>
                <w:sz w:val="24"/>
                <w:szCs w:val="24"/>
              </w:rPr>
            </w:pPr>
            <w:r>
              <w:rPr>
                <w:rFonts w:hint="eastAsia" w:ascii="Times New Roman" w:hAnsi="Times New Roman" w:eastAsia="宋体"/>
                <w:sz w:val="24"/>
                <w:szCs w:val="24"/>
              </w:rPr>
              <w:t>同时，土壤对污染物有一定的净化作用，主要原理为：</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eastAsia="宋体" w:cs="Times New Roman"/>
                <w:kern w:val="0"/>
                <w:sz w:val="24"/>
                <w:szCs w:val="24"/>
                <w:lang w:val="en-US" w:eastAsia="zh-CN" w:bidi="ar-SA"/>
              </w:rPr>
            </w:pPr>
            <w:r>
              <w:rPr>
                <w:rFonts w:hint="eastAsia" w:ascii="Times New Roman" w:hAnsi="Times New Roman" w:eastAsia="宋体" w:cs="Times New Roman"/>
                <w:kern w:val="0"/>
                <w:sz w:val="24"/>
                <w:szCs w:val="24"/>
                <w:lang w:val="en-US" w:eastAsia="zh-CN" w:bidi="ar-SA"/>
              </w:rPr>
              <w:t>①由于土壤中含有各种各样的微生物与土壤动物，对外界进入土壤的各种物质都能分解转化。</w:t>
            </w:r>
          </w:p>
          <w:p>
            <w:pPr>
              <w:keepNext w:val="0"/>
              <w:keepLines w:val="0"/>
              <w:pageBreakBefore w:val="0"/>
              <w:widowControl w:val="0"/>
              <w:kinsoku/>
              <w:wordWrap/>
              <w:overflowPunct/>
              <w:topLinePunct w:val="0"/>
              <w:bidi w:val="0"/>
              <w:adjustRightInd/>
              <w:snapToGrid/>
              <w:spacing w:line="520" w:lineRule="exact"/>
              <w:ind w:firstLine="480" w:firstLineChars="200"/>
              <w:jc w:val="both"/>
              <w:textAlignment w:val="auto"/>
              <w:rPr>
                <w:rFonts w:hint="eastAsia" w:ascii="Times New Roman" w:hAnsi="Times New Roman" w:eastAsia="宋体" w:cs="Times New Roman"/>
                <w:kern w:val="0"/>
                <w:sz w:val="24"/>
                <w:szCs w:val="24"/>
                <w:lang w:val="en-US" w:eastAsia="zh-CN" w:bidi="ar-SA"/>
              </w:rPr>
            </w:pPr>
            <w:r>
              <w:rPr>
                <w:rFonts w:hint="eastAsia" w:ascii="Times New Roman" w:hAnsi="Times New Roman" w:eastAsia="宋体" w:cs="Times New Roman"/>
                <w:kern w:val="0"/>
                <w:sz w:val="24"/>
                <w:szCs w:val="24"/>
                <w:lang w:val="en-US" w:eastAsia="zh-CN" w:bidi="ar-SA"/>
              </w:rPr>
              <w:t>②由于土壤中存在有复杂的土壤有机胶体与土壤无机胶体体系，通过吸附、解吸、代换等过程，对外界进入土壤中的各种物质起着“蓄积作用”，使污染发生形态变化。</w:t>
            </w:r>
          </w:p>
          <w:p>
            <w:pPr>
              <w:keepNext w:val="0"/>
              <w:keepLines w:val="0"/>
              <w:pageBreakBefore w:val="0"/>
              <w:widowControl w:val="0"/>
              <w:kinsoku/>
              <w:wordWrap/>
              <w:overflowPunct/>
              <w:topLinePunct w:val="0"/>
              <w:bidi w:val="0"/>
              <w:adjustRightInd/>
              <w:snapToGrid/>
              <w:spacing w:line="520" w:lineRule="exact"/>
              <w:ind w:firstLine="480" w:firstLineChars="200"/>
              <w:jc w:val="both"/>
              <w:textAlignment w:val="auto"/>
              <w:rPr>
                <w:rFonts w:hint="eastAsia" w:ascii="Times New Roman" w:hAnsi="Times New Roman" w:eastAsia="宋体" w:cs="Times New Roman"/>
                <w:kern w:val="0"/>
                <w:sz w:val="24"/>
                <w:szCs w:val="24"/>
                <w:lang w:val="en-US" w:eastAsia="zh-CN" w:bidi="ar-SA"/>
              </w:rPr>
            </w:pPr>
            <w:r>
              <w:rPr>
                <w:rFonts w:hint="eastAsia" w:ascii="Times New Roman" w:hAnsi="Times New Roman" w:eastAsia="宋体" w:cs="Times New Roman"/>
                <w:kern w:val="0"/>
                <w:sz w:val="24"/>
                <w:szCs w:val="24"/>
                <w:lang w:val="en-US" w:eastAsia="zh-CN" w:bidi="ar-SA"/>
              </w:rPr>
              <w:t>③土壤是绿色植物生长的基地，通过植物的吸收作用，土壤中的污染物质发生迁移转化的作用。</w:t>
            </w:r>
          </w:p>
          <w:p>
            <w:pPr>
              <w:pStyle w:val="2"/>
              <w:keepNext w:val="0"/>
              <w:keepLines w:val="0"/>
              <w:pageBreakBefore w:val="0"/>
              <w:widowControl w:val="0"/>
              <w:kinsoku/>
              <w:wordWrap/>
              <w:overflowPunct/>
              <w:topLinePunct w:val="0"/>
              <w:autoSpaceDE w:val="0"/>
              <w:autoSpaceDN w:val="0"/>
              <w:bidi w:val="0"/>
              <w:adjustRightInd/>
              <w:snapToGrid/>
              <w:spacing w:before="0" w:line="520" w:lineRule="exact"/>
              <w:ind w:left="0" w:right="0" w:firstLine="480" w:firstLineChars="200"/>
              <w:jc w:val="both"/>
              <w:textAlignment w:val="auto"/>
              <w:rPr>
                <w:rFonts w:hint="eastAsia" w:ascii="Times New Roman" w:hAnsi="Times New Roman" w:eastAsia="宋体"/>
                <w:sz w:val="24"/>
                <w:szCs w:val="24"/>
                <w:lang w:val="en-US" w:eastAsia="zh-CN"/>
              </w:rPr>
            </w:pPr>
            <w:r>
              <w:rPr>
                <w:rFonts w:hint="eastAsia" w:ascii="Times New Roman" w:hAnsi="Times New Roman" w:eastAsia="宋体"/>
                <w:sz w:val="24"/>
                <w:szCs w:val="24"/>
              </w:rPr>
              <w:t>通过上述原理，污染物在土壤中可通过挥发、扩散、分解等作用，逐步降低污染物浓度，减少毒性或被分解成无害的物质；经沉淀、胶体吸附等作用可使污染物发生形态变化，或通过生物降解与化学降解，污染物变为毒性较小或无毒性，甚至有营养的物质。有些污染物在土体中还会被分解，因此，</w:t>
            </w:r>
            <w:r>
              <w:rPr>
                <w:rFonts w:hint="eastAsia" w:ascii="Times New Roman" w:hAnsi="Times New Roman" w:eastAsia="宋体"/>
                <w:kern w:val="24"/>
                <w:sz w:val="24"/>
                <w:szCs w:val="24"/>
              </w:rPr>
              <w:t>经采取各项污染防治措施后，项目建设对土壤环境影响较小。</w:t>
            </w:r>
          </w:p>
          <w:p>
            <w:pPr>
              <w:pageBreakBefore w:val="0"/>
              <w:widowControl/>
              <w:kinsoku/>
              <w:wordWrap/>
              <w:overflowPunct/>
              <w:topLinePunct w:val="0"/>
              <w:autoSpaceDE/>
              <w:autoSpaceDN/>
              <w:bidi w:val="0"/>
              <w:adjustRightInd/>
              <w:snapToGrid w:val="0"/>
              <w:spacing w:line="520" w:lineRule="exact"/>
              <w:ind w:firstLine="472" w:firstLineChars="196"/>
              <w:textAlignment w:val="auto"/>
              <w:rPr>
                <w:rFonts w:hint="eastAsia" w:ascii="Times New Roman" w:hAnsi="Times New Roman" w:eastAsia="宋体" w:cs="Times New Roman"/>
                <w:b/>
                <w:bCs/>
                <w:sz w:val="24"/>
                <w:szCs w:val="24"/>
                <w:lang w:val="en-US" w:eastAsia="zh-CN"/>
              </w:rPr>
            </w:pPr>
            <w:r>
              <w:rPr>
                <w:rFonts w:hint="eastAsia" w:ascii="Times New Roman" w:hAnsi="Times New Roman" w:eastAsia="宋体" w:cs="Times New Roman"/>
                <w:b/>
                <w:bCs/>
                <w:sz w:val="24"/>
                <w:szCs w:val="24"/>
                <w:lang w:val="en-US" w:eastAsia="zh-CN"/>
              </w:rPr>
              <w:t>7、总量申请</w:t>
            </w:r>
          </w:p>
          <w:p>
            <w:pPr>
              <w:spacing w:line="520" w:lineRule="exact"/>
              <w:ind w:firstLine="482"/>
              <w:rPr>
                <w:rFonts w:ascii="Times New Roman" w:hAnsi="Times New Roman" w:eastAsia="宋体"/>
                <w:sz w:val="24"/>
                <w:szCs w:val="24"/>
              </w:rPr>
            </w:pPr>
            <w:r>
              <w:rPr>
                <w:rFonts w:ascii="Times New Roman" w:hAnsi="Times New Roman" w:eastAsia="宋体"/>
                <w:sz w:val="24"/>
                <w:szCs w:val="24"/>
              </w:rPr>
              <w:t>总量控制是国家环保部对我国各个地市污染物控制的一项指令性指标，总量控制制度对我国污</w:t>
            </w:r>
            <w:r>
              <w:rPr>
                <w:rFonts w:hint="eastAsia" w:ascii="Times New Roman" w:hAnsi="Times New Roman" w:eastAsia="宋体"/>
                <w:sz w:val="24"/>
                <w:szCs w:val="24"/>
              </w:rPr>
              <w:t>染物排放的限制起了一定作用。国家环保部根据实际污染物排放情况在每一个“五年”计</w:t>
            </w:r>
            <w:r>
              <w:rPr>
                <w:rFonts w:ascii="Times New Roman" w:hAnsi="Times New Roman" w:eastAsia="宋体"/>
                <w:sz w:val="24"/>
                <w:szCs w:val="24"/>
              </w:rPr>
              <w:t>划下达不同的污染物总量控制指标。</w:t>
            </w:r>
            <w:r>
              <w:rPr>
                <w:rFonts w:hint="eastAsia" w:ascii="Times New Roman" w:hAnsi="Times New Roman" w:eastAsia="宋体"/>
                <w:sz w:val="24"/>
                <w:szCs w:val="24"/>
              </w:rPr>
              <w:t>国家现行总量</w:t>
            </w:r>
            <w:r>
              <w:rPr>
                <w:rFonts w:ascii="Times New Roman" w:hAnsi="Times New Roman" w:eastAsia="宋体"/>
                <w:sz w:val="24"/>
                <w:szCs w:val="24"/>
              </w:rPr>
              <w:t>控制指标为COD、NH</w:t>
            </w:r>
            <w:r>
              <w:rPr>
                <w:rFonts w:ascii="Times New Roman" w:hAnsi="Times New Roman" w:eastAsia="宋体"/>
                <w:sz w:val="24"/>
                <w:szCs w:val="24"/>
                <w:vertAlign w:val="subscript"/>
              </w:rPr>
              <w:t>3</w:t>
            </w:r>
            <w:r>
              <w:rPr>
                <w:rFonts w:ascii="Times New Roman" w:hAnsi="Times New Roman" w:eastAsia="宋体"/>
                <w:sz w:val="24"/>
                <w:szCs w:val="24"/>
              </w:rPr>
              <w:t>-N、SO</w:t>
            </w:r>
            <w:r>
              <w:rPr>
                <w:rFonts w:ascii="Times New Roman" w:hAnsi="Times New Roman" w:eastAsia="宋体"/>
                <w:sz w:val="24"/>
                <w:szCs w:val="24"/>
                <w:vertAlign w:val="subscript"/>
              </w:rPr>
              <w:t>2</w:t>
            </w:r>
            <w:r>
              <w:rPr>
                <w:rFonts w:ascii="Times New Roman" w:hAnsi="Times New Roman" w:eastAsia="宋体"/>
                <w:sz w:val="24"/>
                <w:szCs w:val="24"/>
              </w:rPr>
              <w:t>和NOx。</w:t>
            </w:r>
          </w:p>
          <w:p>
            <w:pPr>
              <w:adjustRightInd w:val="0"/>
              <w:snapToGrid w:val="0"/>
              <w:spacing w:line="500" w:lineRule="exact"/>
              <w:ind w:firstLine="480" w:firstLineChars="200"/>
              <w:rPr>
                <w:rFonts w:hint="eastAsia" w:ascii="Times New Roman" w:hAnsi="Times New Roman" w:eastAsia="宋体"/>
              </w:rPr>
            </w:pPr>
            <w:r>
              <w:rPr>
                <w:rFonts w:hint="eastAsia" w:ascii="Times New Roman" w:hAnsi="Times New Roman" w:eastAsia="宋体"/>
                <w:sz w:val="24"/>
                <w:szCs w:val="24"/>
                <w:lang w:eastAsia="zh-CN"/>
              </w:rPr>
              <w:t>项目</w:t>
            </w:r>
            <w:r>
              <w:rPr>
                <w:rFonts w:hint="default" w:ascii="Times New Roman" w:hAnsi="Times New Roman" w:eastAsia="宋体"/>
                <w:sz w:val="24"/>
                <w:szCs w:val="24"/>
              </w:rPr>
              <w:t>职工生活污水产生量为</w:t>
            </w:r>
            <w:r>
              <w:rPr>
                <w:rFonts w:hint="eastAsia" w:ascii="Times New Roman" w:hAnsi="Times New Roman" w:eastAsia="宋体"/>
                <w:sz w:val="24"/>
                <w:szCs w:val="24"/>
                <w:lang w:val="en-US" w:eastAsia="zh-CN"/>
              </w:rPr>
              <w:t>0.64</w:t>
            </w:r>
            <w:r>
              <w:rPr>
                <w:rFonts w:hint="default" w:ascii="Times New Roman" w:hAnsi="Times New Roman" w:eastAsia="宋体"/>
                <w:sz w:val="24"/>
                <w:szCs w:val="24"/>
              </w:rPr>
              <w:t>m</w:t>
            </w:r>
            <w:r>
              <w:rPr>
                <w:rFonts w:hint="default" w:ascii="Times New Roman" w:hAnsi="Times New Roman" w:eastAsia="宋体"/>
                <w:sz w:val="24"/>
                <w:szCs w:val="24"/>
                <w:vertAlign w:val="superscript"/>
              </w:rPr>
              <w:t>3</w:t>
            </w:r>
            <w:r>
              <w:rPr>
                <w:rFonts w:hint="default" w:ascii="Times New Roman" w:hAnsi="Times New Roman" w:eastAsia="宋体"/>
                <w:sz w:val="24"/>
                <w:szCs w:val="24"/>
              </w:rPr>
              <w:t>/d，</w:t>
            </w:r>
            <w:r>
              <w:rPr>
                <w:rFonts w:hint="eastAsia" w:ascii="Times New Roman" w:hAnsi="Times New Roman" w:eastAsia="宋体"/>
                <w:sz w:val="24"/>
                <w:szCs w:val="24"/>
                <w:lang w:val="en-US" w:eastAsia="zh-CN"/>
              </w:rPr>
              <w:t>192</w:t>
            </w:r>
            <w:r>
              <w:rPr>
                <w:rFonts w:hint="default" w:ascii="Times New Roman" w:hAnsi="Times New Roman" w:eastAsia="宋体"/>
                <w:sz w:val="24"/>
                <w:szCs w:val="24"/>
              </w:rPr>
              <w:t>m</w:t>
            </w:r>
            <w:r>
              <w:rPr>
                <w:rFonts w:hint="default" w:ascii="Times New Roman" w:hAnsi="Times New Roman" w:eastAsia="宋体"/>
                <w:sz w:val="24"/>
                <w:szCs w:val="24"/>
                <w:vertAlign w:val="superscript"/>
              </w:rPr>
              <w:t>3</w:t>
            </w:r>
            <w:r>
              <w:rPr>
                <w:rFonts w:hint="default" w:ascii="Times New Roman" w:hAnsi="Times New Roman" w:eastAsia="宋体"/>
                <w:sz w:val="24"/>
                <w:szCs w:val="24"/>
              </w:rPr>
              <w:t>/a</w:t>
            </w:r>
            <w:r>
              <w:rPr>
                <w:rFonts w:hint="eastAsia" w:ascii="Times New Roman" w:hAnsi="Times New Roman" w:eastAsia="宋体"/>
                <w:sz w:val="24"/>
                <w:szCs w:val="24"/>
                <w:lang w:eastAsia="zh-CN"/>
              </w:rPr>
              <w:t>，依托豫中地质勘查工程公司平顶山第四工程处</w:t>
            </w:r>
            <w:r>
              <w:rPr>
                <w:rFonts w:hint="eastAsia" w:ascii="Times New Roman" w:hAnsi="Times New Roman" w:eastAsia="宋体"/>
                <w:sz w:val="24"/>
                <w:szCs w:val="24"/>
                <w:lang w:val="en-US" w:eastAsia="zh-CN"/>
              </w:rPr>
              <w:t>院内化粪池处理后经市政管网最终进入城市污水处理厂做进一步处理</w:t>
            </w:r>
            <w:r>
              <w:rPr>
                <w:rFonts w:hint="eastAsia" w:ascii="Times New Roman" w:hAnsi="Times New Roman" w:eastAsia="宋体"/>
                <w:sz w:val="24"/>
                <w:szCs w:val="24"/>
              </w:rPr>
              <w:t>。出水执行《城镇污水处理厂污染物排放标准》（GB18918-2002）一级A标准（COD≤50mg/L、氨氮≤5mg/L），污染物排放浓度以该标准核算后，本项目</w:t>
            </w:r>
            <w:r>
              <w:rPr>
                <w:rFonts w:hint="eastAsia" w:ascii="Times New Roman" w:hAnsi="Times New Roman" w:eastAsia="宋体"/>
                <w:sz w:val="24"/>
                <w:szCs w:val="24"/>
                <w:lang w:eastAsia="zh-CN"/>
              </w:rPr>
              <w:t>申请</w:t>
            </w:r>
            <w:r>
              <w:rPr>
                <w:rFonts w:hint="eastAsia" w:ascii="Times New Roman" w:hAnsi="Times New Roman" w:eastAsia="宋体"/>
                <w:sz w:val="24"/>
                <w:szCs w:val="24"/>
              </w:rPr>
              <w:t>各污染物的排放量为：COD</w:t>
            </w:r>
            <w:r>
              <w:rPr>
                <w:rFonts w:hint="eastAsia" w:ascii="Times New Roman" w:hAnsi="Times New Roman" w:eastAsia="宋体"/>
                <w:sz w:val="24"/>
                <w:szCs w:val="24"/>
                <w:lang w:val="en-US" w:eastAsia="zh-CN"/>
              </w:rPr>
              <w:t>0.0096</w:t>
            </w:r>
            <w:r>
              <w:rPr>
                <w:rFonts w:hint="eastAsia" w:ascii="Times New Roman" w:hAnsi="Times New Roman" w:eastAsia="宋体"/>
                <w:sz w:val="24"/>
                <w:szCs w:val="24"/>
              </w:rPr>
              <w:t>t/a，氨氮</w:t>
            </w:r>
            <w:r>
              <w:rPr>
                <w:rFonts w:hint="eastAsia" w:ascii="Times New Roman" w:hAnsi="Times New Roman" w:eastAsia="宋体"/>
                <w:sz w:val="24"/>
                <w:szCs w:val="24"/>
                <w:lang w:val="en-US" w:eastAsia="zh-CN"/>
              </w:rPr>
              <w:t>0.00096</w:t>
            </w:r>
            <w:r>
              <w:rPr>
                <w:rFonts w:hint="eastAsia" w:ascii="Times New Roman" w:hAnsi="Times New Roman" w:eastAsia="宋体"/>
                <w:sz w:val="24"/>
                <w:szCs w:val="24"/>
              </w:rPr>
              <w:t>t/a</w:t>
            </w:r>
            <w:r>
              <w:rPr>
                <w:rFonts w:hint="eastAsia" w:ascii="Times New Roman" w:hAnsi="Times New Roman" w:eastAsia="宋体"/>
                <w:sz w:val="24"/>
                <w:szCs w:val="24"/>
                <w:lang w:eastAsia="zh-CN"/>
              </w:rPr>
              <w:t>（入环境量）</w:t>
            </w:r>
            <w:r>
              <w:rPr>
                <w:rFonts w:hint="eastAsia" w:ascii="Times New Roman" w:hAnsi="Times New Roman" w:eastAsia="宋体"/>
                <w:sz w:val="24"/>
                <w:szCs w:val="24"/>
              </w:rPr>
              <w:t>。</w:t>
            </w:r>
          </w:p>
          <w:p>
            <w:pPr>
              <w:pageBreakBefore w:val="0"/>
              <w:widowControl/>
              <w:kinsoku/>
              <w:wordWrap/>
              <w:overflowPunct/>
              <w:topLinePunct w:val="0"/>
              <w:autoSpaceDE/>
              <w:autoSpaceDN/>
              <w:bidi w:val="0"/>
              <w:adjustRightInd/>
              <w:snapToGrid w:val="0"/>
              <w:spacing w:line="520" w:lineRule="exact"/>
              <w:ind w:firstLine="472" w:firstLineChars="196"/>
              <w:textAlignment w:val="auto"/>
              <w:rPr>
                <w:rFonts w:hint="eastAsia" w:ascii="Times New Roman" w:hAnsi="Times New Roman" w:eastAsia="宋体" w:cs="Times New Roman"/>
                <w:b/>
                <w:bCs/>
                <w:sz w:val="24"/>
                <w:szCs w:val="24"/>
                <w:lang w:val="en-US" w:eastAsia="zh-CN"/>
              </w:rPr>
            </w:pPr>
            <w:r>
              <w:rPr>
                <w:rFonts w:hint="eastAsia" w:ascii="Times New Roman" w:hAnsi="Times New Roman" w:cs="Times New Roman"/>
                <w:b/>
                <w:bCs/>
                <w:sz w:val="24"/>
                <w:szCs w:val="24"/>
                <w:lang w:val="en-US" w:eastAsia="zh-CN"/>
              </w:rPr>
              <w:t>8</w:t>
            </w:r>
            <w:r>
              <w:rPr>
                <w:rFonts w:hint="eastAsia" w:ascii="Times New Roman" w:hAnsi="Times New Roman" w:eastAsia="宋体" w:cs="Times New Roman"/>
                <w:b/>
                <w:bCs/>
                <w:sz w:val="24"/>
                <w:szCs w:val="24"/>
                <w:lang w:val="en-US" w:eastAsia="zh-CN"/>
              </w:rPr>
              <w:t>、环境管理</w:t>
            </w:r>
          </w:p>
          <w:p>
            <w:pPr>
              <w:pStyle w:val="37"/>
              <w:spacing w:line="520" w:lineRule="atLeast"/>
              <w:ind w:firstLine="480"/>
              <w:rPr>
                <w:rFonts w:ascii="Times New Roman" w:hAnsi="Times New Roman" w:eastAsia="宋体"/>
                <w:sz w:val="24"/>
                <w:szCs w:val="24"/>
              </w:rPr>
            </w:pPr>
            <w:r>
              <w:rPr>
                <w:rFonts w:ascii="Times New Roman" w:hAnsi="Times New Roman" w:eastAsia="宋体"/>
                <w:sz w:val="24"/>
                <w:szCs w:val="24"/>
              </w:rPr>
              <w:t>（1）环境管理的目的</w:t>
            </w:r>
          </w:p>
          <w:p>
            <w:pPr>
              <w:pStyle w:val="37"/>
              <w:spacing w:line="520" w:lineRule="atLeast"/>
              <w:ind w:firstLine="480"/>
              <w:rPr>
                <w:rFonts w:ascii="Times New Roman" w:hAnsi="Times New Roman" w:eastAsia="宋体"/>
                <w:sz w:val="24"/>
                <w:szCs w:val="24"/>
              </w:rPr>
            </w:pPr>
            <w:r>
              <w:rPr>
                <w:rFonts w:ascii="Times New Roman" w:hAnsi="Times New Roman" w:eastAsia="宋体"/>
                <w:sz w:val="24"/>
                <w:szCs w:val="24"/>
              </w:rPr>
              <w:t>为了保证环保措施的切实落实，使项目的社会、经济和环境效益协调发展，必须加强环境管理，使项目建设符合国家要求经济建设、社会发展和环境建设的同步规划、同步发展和同步实施的方针。</w:t>
            </w:r>
          </w:p>
          <w:p>
            <w:pPr>
              <w:pStyle w:val="37"/>
              <w:spacing w:line="520" w:lineRule="atLeast"/>
              <w:ind w:firstLine="480"/>
              <w:rPr>
                <w:rFonts w:ascii="Times New Roman" w:hAnsi="Times New Roman" w:eastAsia="宋体"/>
                <w:sz w:val="24"/>
                <w:szCs w:val="24"/>
              </w:rPr>
            </w:pPr>
            <w:r>
              <w:rPr>
                <w:rFonts w:ascii="Times New Roman" w:hAnsi="Times New Roman" w:eastAsia="宋体"/>
                <w:sz w:val="24"/>
                <w:szCs w:val="24"/>
              </w:rPr>
              <w:t>（2）环保机构设置及职责</w:t>
            </w:r>
          </w:p>
          <w:p>
            <w:pPr>
              <w:spacing w:line="520" w:lineRule="exact"/>
              <w:ind w:firstLine="480" w:firstLineChars="200"/>
              <w:rPr>
                <w:rFonts w:ascii="Times New Roman" w:hAnsi="Times New Roman" w:eastAsia="宋体"/>
                <w:sz w:val="24"/>
                <w:szCs w:val="24"/>
              </w:rPr>
            </w:pPr>
            <w:r>
              <w:rPr>
                <w:rFonts w:hint="eastAsia" w:ascii="Times New Roman" w:hAnsi="Times New Roman" w:eastAsia="宋体"/>
                <w:sz w:val="24"/>
                <w:szCs w:val="24"/>
              </w:rPr>
              <w:t>本项目建设单位设置有环境管理制度，配置有环保管理小组，评价要求建设单位将本项目纳入全厂的环境管理中。为使项目投入的环保设施能够发挥作用，对其进行科学的管理，企业需要加强环保机构的管理，环保机构的具体职责如下：</w:t>
            </w:r>
          </w:p>
          <w:p>
            <w:pPr>
              <w:pStyle w:val="37"/>
              <w:spacing w:line="520" w:lineRule="atLeast"/>
              <w:ind w:firstLine="480"/>
              <w:rPr>
                <w:rFonts w:ascii="Times New Roman" w:hAnsi="Times New Roman" w:eastAsia="宋体"/>
                <w:sz w:val="24"/>
                <w:szCs w:val="24"/>
              </w:rPr>
            </w:pPr>
            <w:r>
              <w:rPr>
                <w:rFonts w:ascii="Times New Roman" w:hAnsi="Times New Roman" w:eastAsia="宋体"/>
                <w:sz w:val="24"/>
                <w:szCs w:val="24"/>
              </w:rPr>
              <w:t>①组织制定环保管理、年度实施计划和远期环保规划，并负责监督贯彻执行，以保证厂区环境优美，空气清新，感官舒适；</w:t>
            </w:r>
          </w:p>
          <w:p>
            <w:pPr>
              <w:pStyle w:val="37"/>
              <w:spacing w:line="520" w:lineRule="atLeast"/>
              <w:ind w:firstLine="480"/>
              <w:rPr>
                <w:rFonts w:ascii="Times New Roman" w:hAnsi="Times New Roman" w:eastAsia="宋体"/>
                <w:sz w:val="24"/>
                <w:szCs w:val="24"/>
              </w:rPr>
            </w:pPr>
            <w:r>
              <w:rPr>
                <w:rFonts w:ascii="Times New Roman" w:hAnsi="Times New Roman" w:eastAsia="宋体"/>
                <w:sz w:val="24"/>
                <w:szCs w:val="24"/>
              </w:rPr>
              <w:t>②组织宣传贯彻国家环保方针政策、进行员工环保知识教育；</w:t>
            </w:r>
          </w:p>
          <w:p>
            <w:pPr>
              <w:pStyle w:val="37"/>
              <w:spacing w:line="520" w:lineRule="atLeast"/>
              <w:ind w:firstLine="480"/>
              <w:rPr>
                <w:rFonts w:ascii="Times New Roman" w:hAnsi="Times New Roman" w:eastAsia="宋体"/>
                <w:sz w:val="24"/>
                <w:szCs w:val="24"/>
              </w:rPr>
            </w:pPr>
            <w:r>
              <w:rPr>
                <w:rFonts w:ascii="Times New Roman" w:hAnsi="Times New Roman" w:eastAsia="宋体"/>
                <w:sz w:val="24"/>
                <w:szCs w:val="24"/>
              </w:rPr>
              <w:t>③定期对厂区内环保设施运行状况进行全面检查；</w:t>
            </w:r>
          </w:p>
          <w:p>
            <w:pPr>
              <w:pStyle w:val="37"/>
              <w:spacing w:line="520" w:lineRule="atLeast"/>
              <w:ind w:firstLine="480"/>
              <w:rPr>
                <w:rFonts w:ascii="Times New Roman" w:hAnsi="Times New Roman" w:eastAsia="宋体"/>
                <w:sz w:val="24"/>
                <w:szCs w:val="24"/>
              </w:rPr>
            </w:pPr>
            <w:r>
              <w:rPr>
                <w:rFonts w:ascii="Times New Roman" w:hAnsi="Times New Roman" w:eastAsia="宋体"/>
                <w:sz w:val="24"/>
                <w:szCs w:val="24"/>
              </w:rPr>
              <w:t>④强化对环保设施运行的监督，加强对环保设施操作人员的技术培训和管理、建立环保设施运行、维护、维修等技术档案，确保环保设施运行正常，杜绝污染事故发生。</w:t>
            </w:r>
          </w:p>
          <w:p>
            <w:pPr>
              <w:pStyle w:val="37"/>
              <w:spacing w:line="520" w:lineRule="atLeast"/>
              <w:ind w:firstLine="480"/>
              <w:rPr>
                <w:rFonts w:ascii="Times New Roman" w:hAnsi="Times New Roman" w:eastAsia="宋体"/>
                <w:sz w:val="24"/>
                <w:szCs w:val="24"/>
              </w:rPr>
            </w:pPr>
            <w:r>
              <w:rPr>
                <w:rFonts w:ascii="Times New Roman" w:hAnsi="Times New Roman" w:eastAsia="宋体"/>
                <w:sz w:val="24"/>
                <w:szCs w:val="24"/>
              </w:rPr>
              <w:t>（3）环保管理要求</w:t>
            </w:r>
          </w:p>
          <w:p>
            <w:pPr>
              <w:pStyle w:val="37"/>
              <w:spacing w:line="520" w:lineRule="atLeast"/>
              <w:ind w:firstLine="480"/>
              <w:rPr>
                <w:rFonts w:ascii="Times New Roman" w:hAnsi="Times New Roman" w:eastAsia="宋体"/>
                <w:sz w:val="24"/>
                <w:szCs w:val="24"/>
              </w:rPr>
            </w:pPr>
            <w:r>
              <w:rPr>
                <w:rFonts w:ascii="Times New Roman" w:hAnsi="Times New Roman" w:eastAsia="宋体"/>
                <w:sz w:val="24"/>
                <w:szCs w:val="24"/>
              </w:rPr>
              <w:t>①按</w:t>
            </w:r>
            <w:r>
              <w:rPr>
                <w:rFonts w:hint="eastAsia" w:ascii="Times New Roman" w:hAnsi="Times New Roman" w:eastAsia="宋体"/>
                <w:sz w:val="24"/>
                <w:szCs w:val="24"/>
              </w:rPr>
              <w:t>“</w:t>
            </w:r>
            <w:r>
              <w:rPr>
                <w:rFonts w:ascii="Times New Roman" w:hAnsi="Times New Roman" w:eastAsia="宋体"/>
                <w:sz w:val="24"/>
                <w:szCs w:val="24"/>
              </w:rPr>
              <w:t>三同时</w:t>
            </w:r>
            <w:r>
              <w:rPr>
                <w:rFonts w:hint="eastAsia" w:ascii="Times New Roman" w:hAnsi="Times New Roman" w:eastAsia="宋体"/>
                <w:sz w:val="24"/>
                <w:szCs w:val="24"/>
              </w:rPr>
              <w:t>”</w:t>
            </w:r>
            <w:r>
              <w:rPr>
                <w:rFonts w:ascii="Times New Roman" w:hAnsi="Times New Roman" w:eastAsia="宋体"/>
                <w:sz w:val="24"/>
                <w:szCs w:val="24"/>
              </w:rPr>
              <w:t>原则，各项环境治理设施须与主体工程同时设计，同时施工、同时投入使用；</w:t>
            </w:r>
          </w:p>
          <w:p>
            <w:pPr>
              <w:pStyle w:val="37"/>
              <w:spacing w:line="520" w:lineRule="atLeast"/>
              <w:ind w:firstLine="480"/>
              <w:rPr>
                <w:rFonts w:ascii="Times New Roman" w:hAnsi="Times New Roman" w:eastAsia="宋体"/>
                <w:sz w:val="24"/>
                <w:szCs w:val="24"/>
              </w:rPr>
            </w:pPr>
            <w:r>
              <w:rPr>
                <w:rFonts w:ascii="Times New Roman" w:hAnsi="Times New Roman" w:eastAsia="宋体"/>
                <w:sz w:val="24"/>
                <w:szCs w:val="24"/>
              </w:rPr>
              <w:t>②</w:t>
            </w:r>
            <w:r>
              <w:rPr>
                <w:rFonts w:hint="eastAsia" w:ascii="Times New Roman" w:hAnsi="Times New Roman" w:eastAsia="宋体"/>
                <w:sz w:val="24"/>
                <w:szCs w:val="24"/>
              </w:rPr>
              <w:t>建设单位成立</w:t>
            </w:r>
            <w:r>
              <w:rPr>
                <w:rFonts w:ascii="Times New Roman" w:hAnsi="Times New Roman" w:eastAsia="宋体"/>
                <w:sz w:val="24"/>
                <w:szCs w:val="24"/>
              </w:rPr>
              <w:t>环保机构</w:t>
            </w:r>
            <w:r>
              <w:rPr>
                <w:rFonts w:hint="eastAsia" w:ascii="Times New Roman" w:hAnsi="Times New Roman" w:eastAsia="宋体"/>
                <w:sz w:val="24"/>
                <w:szCs w:val="24"/>
              </w:rPr>
              <w:t>，</w:t>
            </w:r>
            <w:r>
              <w:rPr>
                <w:rFonts w:ascii="Times New Roman" w:hAnsi="Times New Roman" w:eastAsia="宋体"/>
                <w:sz w:val="24"/>
                <w:szCs w:val="24"/>
              </w:rPr>
              <w:t>并配备</w:t>
            </w:r>
            <w:r>
              <w:rPr>
                <w:rFonts w:hint="eastAsia" w:ascii="Times New Roman" w:hAnsi="Times New Roman" w:eastAsia="宋体"/>
                <w:sz w:val="24"/>
                <w:szCs w:val="24"/>
                <w:lang w:val="en-US" w:eastAsia="zh-CN"/>
              </w:rPr>
              <w:t>1</w:t>
            </w:r>
            <w:r>
              <w:rPr>
                <w:rFonts w:hint="eastAsia" w:ascii="Times New Roman" w:hAnsi="Times New Roman" w:eastAsia="宋体"/>
                <w:sz w:val="24"/>
                <w:szCs w:val="24"/>
              </w:rPr>
              <w:t>名环境管理人员</w:t>
            </w:r>
            <w:r>
              <w:rPr>
                <w:rFonts w:ascii="Times New Roman" w:hAnsi="Times New Roman" w:eastAsia="宋体"/>
                <w:sz w:val="24"/>
                <w:szCs w:val="24"/>
              </w:rPr>
              <w:t>；</w:t>
            </w:r>
          </w:p>
          <w:p>
            <w:pPr>
              <w:pStyle w:val="37"/>
              <w:spacing w:line="500" w:lineRule="atLeast"/>
              <w:ind w:firstLine="480"/>
              <w:rPr>
                <w:rFonts w:ascii="Times New Roman" w:hAnsi="Times New Roman" w:eastAsia="宋体"/>
              </w:rPr>
            </w:pPr>
            <w:r>
              <w:rPr>
                <w:rFonts w:hint="eastAsia" w:ascii="Times New Roman" w:hAnsi="Times New Roman" w:eastAsia="宋体"/>
                <w:sz w:val="24"/>
                <w:szCs w:val="24"/>
              </w:rPr>
              <w:t>③</w:t>
            </w:r>
            <w:r>
              <w:rPr>
                <w:rFonts w:ascii="Times New Roman" w:hAnsi="Times New Roman" w:eastAsia="宋体"/>
                <w:sz w:val="24"/>
                <w:szCs w:val="24"/>
              </w:rPr>
              <w:t>企业</w:t>
            </w:r>
            <w:r>
              <w:rPr>
                <w:rFonts w:hint="eastAsia" w:ascii="Times New Roman" w:hAnsi="Times New Roman" w:eastAsia="宋体"/>
                <w:sz w:val="24"/>
                <w:szCs w:val="24"/>
              </w:rPr>
              <w:t>按照环境管理要求，加强危废间的管理和登记记录</w:t>
            </w:r>
            <w:r>
              <w:rPr>
                <w:rFonts w:ascii="Times New Roman" w:hAnsi="Times New Roman" w:eastAsia="宋体"/>
                <w:sz w:val="24"/>
                <w:szCs w:val="24"/>
              </w:rPr>
              <w:t>。</w:t>
            </w:r>
          </w:p>
          <w:p>
            <w:pPr>
              <w:pageBreakBefore w:val="0"/>
              <w:widowControl/>
              <w:kinsoku/>
              <w:wordWrap/>
              <w:overflowPunct/>
              <w:topLinePunct w:val="0"/>
              <w:autoSpaceDE/>
              <w:autoSpaceDN/>
              <w:bidi w:val="0"/>
              <w:adjustRightInd/>
              <w:snapToGrid w:val="0"/>
              <w:spacing w:line="520" w:lineRule="exact"/>
              <w:ind w:firstLine="472" w:firstLineChars="196"/>
              <w:textAlignment w:val="auto"/>
              <w:rPr>
                <w:rFonts w:hint="eastAsia" w:ascii="Times New Roman" w:hAnsi="Times New Roman" w:cs="Times New Roman"/>
                <w:b/>
                <w:bCs/>
                <w:sz w:val="24"/>
                <w:szCs w:val="24"/>
                <w:lang w:val="en-US" w:eastAsia="zh-CN"/>
              </w:rPr>
            </w:pPr>
            <w:r>
              <w:rPr>
                <w:rFonts w:hint="eastAsia" w:ascii="Times New Roman" w:hAnsi="Times New Roman" w:cs="Times New Roman"/>
                <w:b/>
                <w:bCs/>
                <w:sz w:val="24"/>
                <w:szCs w:val="24"/>
                <w:lang w:val="en-US" w:eastAsia="zh-CN"/>
              </w:rPr>
              <w:t>9、环境监测</w:t>
            </w:r>
          </w:p>
          <w:p>
            <w:pPr>
              <w:spacing w:line="520" w:lineRule="exact"/>
              <w:ind w:firstLine="480" w:firstLineChars="200"/>
              <w:rPr>
                <w:rFonts w:ascii="Times New Roman" w:hAnsi="Times New Roman" w:eastAsia="宋体"/>
                <w:sz w:val="24"/>
                <w:szCs w:val="24"/>
              </w:rPr>
            </w:pPr>
            <w:r>
              <w:rPr>
                <w:rFonts w:hint="eastAsia" w:ascii="Times New Roman" w:hAnsi="Times New Roman" w:eastAsia="宋体"/>
                <w:sz w:val="24"/>
                <w:szCs w:val="24"/>
              </w:rPr>
              <w:t>（1）环境监测的目的</w:t>
            </w:r>
          </w:p>
          <w:p>
            <w:pPr>
              <w:pStyle w:val="35"/>
              <w:ind w:firstLine="480"/>
              <w:rPr>
                <w:rFonts w:ascii="Times New Roman" w:hAnsi="Times New Roman" w:eastAsia="宋体"/>
                <w:sz w:val="24"/>
                <w:szCs w:val="24"/>
              </w:rPr>
            </w:pPr>
            <w:r>
              <w:rPr>
                <w:rFonts w:ascii="Times New Roman" w:hAnsi="Times New Roman" w:eastAsia="宋体"/>
                <w:sz w:val="24"/>
                <w:szCs w:val="24"/>
              </w:rPr>
              <w:t>环境监测是企业搞好环境管理，促进污染治理设施正常运行的主要保障。通过定期的环境监测，了解邻近地区的环境质量状况，可以及时发现问题、解决问题，从而有利于监督各项环保措施的落实，并根据监测结果适时调整环境保护计划。</w:t>
            </w:r>
          </w:p>
          <w:p>
            <w:pPr>
              <w:spacing w:line="520" w:lineRule="exact"/>
              <w:ind w:firstLine="480" w:firstLineChars="200"/>
              <w:rPr>
                <w:rFonts w:ascii="Times New Roman" w:hAnsi="Times New Roman" w:eastAsia="宋体"/>
                <w:sz w:val="24"/>
                <w:szCs w:val="24"/>
              </w:rPr>
            </w:pPr>
            <w:r>
              <w:rPr>
                <w:rFonts w:hint="eastAsia" w:ascii="Times New Roman" w:hAnsi="Times New Roman" w:eastAsia="宋体"/>
                <w:sz w:val="24"/>
                <w:szCs w:val="24"/>
              </w:rPr>
              <w:t>（2）环境监测机构</w:t>
            </w:r>
          </w:p>
          <w:p>
            <w:pPr>
              <w:pStyle w:val="35"/>
              <w:ind w:firstLine="480"/>
              <w:rPr>
                <w:rFonts w:ascii="Times New Roman" w:hAnsi="Times New Roman" w:eastAsia="宋体"/>
                <w:sz w:val="24"/>
                <w:szCs w:val="24"/>
              </w:rPr>
            </w:pPr>
            <w:r>
              <w:rPr>
                <w:rFonts w:hint="eastAsia" w:ascii="Times New Roman" w:hAnsi="Times New Roman" w:eastAsia="宋体"/>
                <w:sz w:val="24"/>
                <w:szCs w:val="24"/>
              </w:rPr>
              <w:t>根据项目污染因素特点，结合建设单位实际情况，本次评价建议废气、噪声委托当地环境检测机构进行监测。</w:t>
            </w:r>
          </w:p>
          <w:p>
            <w:pPr>
              <w:pStyle w:val="35"/>
              <w:ind w:firstLine="480"/>
              <w:rPr>
                <w:rFonts w:ascii="Times New Roman" w:hAnsi="Times New Roman" w:eastAsia="宋体"/>
                <w:sz w:val="24"/>
                <w:szCs w:val="24"/>
              </w:rPr>
            </w:pPr>
            <w:r>
              <w:rPr>
                <w:rFonts w:hint="eastAsia" w:ascii="Times New Roman" w:hAnsi="Times New Roman" w:eastAsia="宋体"/>
                <w:sz w:val="24"/>
                <w:szCs w:val="24"/>
              </w:rPr>
              <w:t>（3）环境监测计划</w:t>
            </w:r>
          </w:p>
          <w:p>
            <w:pPr>
              <w:pStyle w:val="35"/>
              <w:ind w:firstLine="480"/>
              <w:rPr>
                <w:rFonts w:ascii="Times New Roman" w:hAnsi="Times New Roman" w:eastAsia="宋体"/>
                <w:sz w:val="24"/>
                <w:szCs w:val="24"/>
              </w:rPr>
            </w:pPr>
            <w:r>
              <w:rPr>
                <w:rFonts w:hint="eastAsia" w:ascii="Times New Roman" w:hAnsi="Times New Roman" w:eastAsia="宋体"/>
                <w:sz w:val="24"/>
                <w:szCs w:val="24"/>
              </w:rPr>
              <w:t>建设单位在运行中对原有项目制定有环境监测计划，本项目运行后纳入原有项目的监测计划，本技改项目监测内容包括：焊接烟尘的达标排放情况；厂界噪声的达标情况。根据本项目的具体情况，提出如下监测计划见下表：</w:t>
            </w:r>
          </w:p>
          <w:p>
            <w:pPr>
              <w:pStyle w:val="7"/>
              <w:spacing w:beforeLines="50"/>
              <w:jc w:val="center"/>
              <w:rPr>
                <w:rFonts w:hint="default" w:ascii="Times New Roman" w:hAnsi="Times New Roman" w:eastAsia="宋体" w:cs="Times New Roman"/>
                <w:b/>
                <w:bCs w:val="0"/>
                <w:sz w:val="24"/>
                <w:szCs w:val="24"/>
                <w:lang w:val="zh-CN" w:eastAsia="zh-CN"/>
              </w:rPr>
            </w:pPr>
            <w:r>
              <w:rPr>
                <w:rFonts w:hint="default" w:ascii="Times New Roman" w:hAnsi="Times New Roman" w:eastAsia="宋体" w:cs="Times New Roman"/>
                <w:b/>
                <w:bCs w:val="0"/>
                <w:sz w:val="24"/>
                <w:szCs w:val="24"/>
                <w:lang w:val="zh-CN" w:eastAsia="zh-CN"/>
              </w:rPr>
              <w:t>表</w:t>
            </w:r>
            <w:r>
              <w:rPr>
                <w:rFonts w:hint="eastAsia" w:ascii="Times New Roman" w:hAnsi="Times New Roman" w:eastAsia="宋体" w:cs="Times New Roman"/>
                <w:b/>
                <w:bCs w:val="0"/>
                <w:sz w:val="24"/>
                <w:szCs w:val="24"/>
                <w:lang w:val="en-US" w:eastAsia="zh-CN"/>
              </w:rPr>
              <w:t>3</w:t>
            </w:r>
            <w:r>
              <w:rPr>
                <w:rFonts w:hint="eastAsia" w:cs="Times New Roman"/>
                <w:b/>
                <w:bCs w:val="0"/>
                <w:sz w:val="24"/>
                <w:szCs w:val="24"/>
                <w:lang w:val="en-US" w:eastAsia="zh-CN"/>
              </w:rPr>
              <w:t>4</w:t>
            </w:r>
            <w:r>
              <w:rPr>
                <w:rFonts w:hint="default" w:ascii="Times New Roman" w:hAnsi="Times New Roman" w:eastAsia="宋体" w:cs="Times New Roman"/>
                <w:b/>
                <w:bCs w:val="0"/>
                <w:sz w:val="24"/>
                <w:szCs w:val="24"/>
                <w:lang w:val="zh-CN" w:eastAsia="zh-CN"/>
              </w:rPr>
              <w:t xml:space="preserve">  营运期环境监测内容及监测频率</w:t>
            </w:r>
          </w:p>
          <w:tbl>
            <w:tblPr>
              <w:tblStyle w:val="23"/>
              <w:tblW w:w="903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7"/>
              <w:gridCol w:w="2865"/>
              <w:gridCol w:w="2050"/>
              <w:gridCol w:w="1520"/>
              <w:gridCol w:w="172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trPr>
              <w:tc>
                <w:tcPr>
                  <w:tcW w:w="877" w:type="dxa"/>
                  <w:vAlign w:val="center"/>
                </w:tcPr>
                <w:p>
                  <w:pPr>
                    <w:jc w:val="center"/>
                    <w:rPr>
                      <w:rFonts w:ascii="Times New Roman" w:hAnsi="Times New Roman" w:eastAsia="宋体"/>
                    </w:rPr>
                  </w:pPr>
                  <w:r>
                    <w:rPr>
                      <w:rFonts w:hint="eastAsia" w:ascii="Times New Roman" w:hAnsi="Times New Roman" w:eastAsia="宋体"/>
                    </w:rPr>
                    <w:t>项目</w:t>
                  </w:r>
                </w:p>
              </w:tc>
              <w:tc>
                <w:tcPr>
                  <w:tcW w:w="2865" w:type="dxa"/>
                  <w:vAlign w:val="center"/>
                </w:tcPr>
                <w:p>
                  <w:pPr>
                    <w:jc w:val="center"/>
                    <w:rPr>
                      <w:rFonts w:ascii="Times New Roman" w:hAnsi="Times New Roman" w:eastAsia="宋体"/>
                    </w:rPr>
                  </w:pPr>
                  <w:r>
                    <w:rPr>
                      <w:rFonts w:ascii="Times New Roman" w:hAnsi="Times New Roman" w:eastAsia="宋体"/>
                    </w:rPr>
                    <w:t>监测位置</w:t>
                  </w:r>
                </w:p>
              </w:tc>
              <w:tc>
                <w:tcPr>
                  <w:tcW w:w="2050" w:type="dxa"/>
                  <w:vAlign w:val="center"/>
                </w:tcPr>
                <w:p>
                  <w:pPr>
                    <w:jc w:val="center"/>
                    <w:rPr>
                      <w:rFonts w:ascii="Times New Roman" w:hAnsi="Times New Roman" w:eastAsia="宋体"/>
                    </w:rPr>
                  </w:pPr>
                  <w:r>
                    <w:rPr>
                      <w:rFonts w:ascii="Times New Roman" w:hAnsi="Times New Roman" w:eastAsia="宋体"/>
                    </w:rPr>
                    <w:t>监测项目</w:t>
                  </w:r>
                </w:p>
              </w:tc>
              <w:tc>
                <w:tcPr>
                  <w:tcW w:w="1520" w:type="dxa"/>
                  <w:vAlign w:val="center"/>
                </w:tcPr>
                <w:p>
                  <w:pPr>
                    <w:jc w:val="center"/>
                    <w:rPr>
                      <w:rFonts w:ascii="Times New Roman" w:hAnsi="Times New Roman" w:eastAsia="宋体"/>
                    </w:rPr>
                  </w:pPr>
                  <w:r>
                    <w:rPr>
                      <w:rFonts w:ascii="Times New Roman" w:hAnsi="Times New Roman" w:eastAsia="宋体"/>
                    </w:rPr>
                    <w:t>监测频率</w:t>
                  </w:r>
                </w:p>
              </w:tc>
              <w:tc>
                <w:tcPr>
                  <w:tcW w:w="1720" w:type="dxa"/>
                  <w:vAlign w:val="center"/>
                </w:tcPr>
                <w:p>
                  <w:pPr>
                    <w:jc w:val="center"/>
                    <w:rPr>
                      <w:rFonts w:ascii="Times New Roman" w:hAnsi="Times New Roman" w:eastAsia="宋体"/>
                    </w:rPr>
                  </w:pPr>
                  <w:r>
                    <w:rPr>
                      <w:rFonts w:ascii="Times New Roman" w:hAnsi="Times New Roman" w:eastAsia="宋体"/>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7" w:type="dxa"/>
                  <w:vAlign w:val="center"/>
                </w:tcPr>
                <w:p>
                  <w:pPr>
                    <w:jc w:val="center"/>
                    <w:rPr>
                      <w:rFonts w:ascii="Times New Roman" w:hAnsi="Times New Roman" w:eastAsia="宋体"/>
                    </w:rPr>
                  </w:pPr>
                  <w:r>
                    <w:rPr>
                      <w:rFonts w:ascii="Times New Roman" w:hAnsi="Times New Roman" w:eastAsia="宋体"/>
                    </w:rPr>
                    <w:t>废气</w:t>
                  </w:r>
                </w:p>
              </w:tc>
              <w:tc>
                <w:tcPr>
                  <w:tcW w:w="2865" w:type="dxa"/>
                  <w:vAlign w:val="center"/>
                </w:tcPr>
                <w:p>
                  <w:pPr>
                    <w:widowControl/>
                    <w:jc w:val="center"/>
                    <w:rPr>
                      <w:rFonts w:hint="eastAsia" w:ascii="Times New Roman" w:hAnsi="Times New Roman" w:eastAsia="宋体"/>
                      <w:lang w:eastAsia="zh-CN"/>
                    </w:rPr>
                  </w:pPr>
                  <w:r>
                    <w:rPr>
                      <w:rFonts w:hint="eastAsia" w:ascii="Times New Roman" w:hAnsi="Times New Roman" w:eastAsia="宋体"/>
                    </w:rPr>
                    <w:t>焊接烟尘</w:t>
                  </w:r>
                  <w:r>
                    <w:rPr>
                      <w:rFonts w:hint="eastAsia" w:ascii="Times New Roman" w:hAnsi="Times New Roman" w:eastAsia="宋体"/>
                      <w:lang w:eastAsia="zh-CN"/>
                    </w:rPr>
                    <w:t>，下料、机加工粉尘</w:t>
                  </w:r>
                </w:p>
              </w:tc>
              <w:tc>
                <w:tcPr>
                  <w:tcW w:w="2050" w:type="dxa"/>
                  <w:vAlign w:val="center"/>
                </w:tcPr>
                <w:p>
                  <w:pPr>
                    <w:jc w:val="center"/>
                    <w:rPr>
                      <w:rFonts w:ascii="Times New Roman" w:hAnsi="Times New Roman" w:eastAsia="宋体"/>
                    </w:rPr>
                  </w:pPr>
                  <w:r>
                    <w:rPr>
                      <w:rFonts w:hint="eastAsia" w:ascii="Times New Roman" w:hAnsi="Times New Roman" w:eastAsia="宋体"/>
                      <w:lang w:eastAsia="zh-CN"/>
                    </w:rPr>
                    <w:t>无</w:t>
                  </w:r>
                  <w:r>
                    <w:rPr>
                      <w:rFonts w:hint="eastAsia" w:ascii="Times New Roman" w:hAnsi="Times New Roman" w:eastAsia="宋体"/>
                    </w:rPr>
                    <w:t>组织排放：颗粒物</w:t>
                  </w:r>
                </w:p>
              </w:tc>
              <w:tc>
                <w:tcPr>
                  <w:tcW w:w="1520" w:type="dxa"/>
                  <w:vAlign w:val="center"/>
                </w:tcPr>
                <w:p>
                  <w:pPr>
                    <w:jc w:val="center"/>
                    <w:rPr>
                      <w:rFonts w:ascii="Times New Roman" w:hAnsi="Times New Roman" w:eastAsia="宋体"/>
                    </w:rPr>
                  </w:pPr>
                  <w:r>
                    <w:rPr>
                      <w:rFonts w:hint="eastAsia" w:ascii="Times New Roman" w:hAnsi="Times New Roman" w:eastAsia="宋体"/>
                    </w:rPr>
                    <w:t>每半年</w:t>
                  </w:r>
                  <w:r>
                    <w:rPr>
                      <w:rFonts w:ascii="Times New Roman" w:hAnsi="Times New Roman" w:eastAsia="宋体"/>
                    </w:rPr>
                    <w:t>1次</w:t>
                  </w:r>
                </w:p>
              </w:tc>
              <w:tc>
                <w:tcPr>
                  <w:tcW w:w="1720" w:type="dxa"/>
                  <w:vMerge w:val="restart"/>
                  <w:vAlign w:val="center"/>
                </w:tcPr>
                <w:p>
                  <w:pPr>
                    <w:jc w:val="center"/>
                    <w:rPr>
                      <w:rFonts w:ascii="Times New Roman" w:hAnsi="Times New Roman" w:eastAsia="宋体"/>
                    </w:rPr>
                  </w:pPr>
                  <w:r>
                    <w:rPr>
                      <w:rFonts w:ascii="Times New Roman" w:hAnsi="Times New Roman" w:eastAsia="宋体"/>
                    </w:rPr>
                    <w:t>委托有监测资质的单位实施监测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7" w:type="dxa"/>
                  <w:vAlign w:val="center"/>
                </w:tcPr>
                <w:p>
                  <w:pPr>
                    <w:jc w:val="center"/>
                    <w:rPr>
                      <w:rFonts w:ascii="Times New Roman" w:hAnsi="Times New Roman" w:eastAsia="宋体"/>
                    </w:rPr>
                  </w:pPr>
                  <w:r>
                    <w:rPr>
                      <w:rFonts w:ascii="Times New Roman" w:hAnsi="Times New Roman" w:eastAsia="宋体"/>
                    </w:rPr>
                    <w:t>噪声</w:t>
                  </w:r>
                </w:p>
              </w:tc>
              <w:tc>
                <w:tcPr>
                  <w:tcW w:w="2865" w:type="dxa"/>
                  <w:vAlign w:val="center"/>
                </w:tcPr>
                <w:p>
                  <w:pPr>
                    <w:jc w:val="center"/>
                    <w:rPr>
                      <w:rFonts w:ascii="Times New Roman" w:hAnsi="Times New Roman" w:eastAsia="宋体"/>
                    </w:rPr>
                  </w:pPr>
                  <w:r>
                    <w:rPr>
                      <w:rFonts w:ascii="Times New Roman" w:hAnsi="Times New Roman" w:eastAsia="宋体"/>
                    </w:rPr>
                    <w:t>厂界外1m</w:t>
                  </w:r>
                </w:p>
              </w:tc>
              <w:tc>
                <w:tcPr>
                  <w:tcW w:w="2050" w:type="dxa"/>
                  <w:vAlign w:val="center"/>
                </w:tcPr>
                <w:p>
                  <w:pPr>
                    <w:jc w:val="center"/>
                    <w:rPr>
                      <w:rFonts w:ascii="Times New Roman" w:hAnsi="Times New Roman" w:eastAsia="宋体"/>
                    </w:rPr>
                  </w:pPr>
                  <w:r>
                    <w:rPr>
                      <w:rFonts w:ascii="Times New Roman" w:hAnsi="Times New Roman" w:eastAsia="宋体"/>
                    </w:rPr>
                    <w:t>昼间、夜间Leq（A）</w:t>
                  </w:r>
                </w:p>
              </w:tc>
              <w:tc>
                <w:tcPr>
                  <w:tcW w:w="1520" w:type="dxa"/>
                  <w:vAlign w:val="center"/>
                </w:tcPr>
                <w:p>
                  <w:pPr>
                    <w:jc w:val="center"/>
                    <w:rPr>
                      <w:rFonts w:ascii="Times New Roman" w:hAnsi="Times New Roman" w:eastAsia="宋体"/>
                    </w:rPr>
                  </w:pPr>
                  <w:r>
                    <w:rPr>
                      <w:rFonts w:hint="eastAsia" w:ascii="Times New Roman" w:hAnsi="Times New Roman" w:eastAsia="宋体"/>
                    </w:rPr>
                    <w:t>半年</w:t>
                  </w:r>
                  <w:r>
                    <w:rPr>
                      <w:rFonts w:ascii="Times New Roman" w:hAnsi="Times New Roman" w:eastAsia="宋体"/>
                    </w:rPr>
                    <w:t>1次，昼夜各</w:t>
                  </w:r>
                  <w:r>
                    <w:rPr>
                      <w:rFonts w:hint="eastAsia" w:ascii="Times New Roman" w:hAnsi="Times New Roman" w:eastAsia="宋体"/>
                    </w:rPr>
                    <w:t>1</w:t>
                  </w:r>
                  <w:r>
                    <w:rPr>
                      <w:rFonts w:ascii="Times New Roman" w:hAnsi="Times New Roman" w:eastAsia="宋体"/>
                    </w:rPr>
                    <w:t>次</w:t>
                  </w:r>
                </w:p>
              </w:tc>
              <w:tc>
                <w:tcPr>
                  <w:tcW w:w="1720" w:type="dxa"/>
                  <w:vMerge w:val="continue"/>
                  <w:vAlign w:val="center"/>
                </w:tcPr>
                <w:p>
                  <w:pPr>
                    <w:pStyle w:val="71"/>
                    <w:rPr>
                      <w:rFonts w:ascii="Times New Roman" w:hAnsi="Times New Roman" w:eastAsia="宋体"/>
                    </w:rPr>
                  </w:pPr>
                </w:p>
              </w:tc>
            </w:tr>
          </w:tbl>
          <w:p>
            <w:pPr>
              <w:pStyle w:val="35"/>
              <w:ind w:firstLine="480"/>
              <w:rPr>
                <w:rFonts w:ascii="Times New Roman" w:hAnsi="Times New Roman" w:eastAsia="宋体"/>
              </w:rPr>
            </w:pPr>
            <w:r>
              <w:rPr>
                <w:rFonts w:ascii="Times New Roman" w:hAnsi="Times New Roman" w:eastAsia="宋体"/>
              </w:rPr>
              <w:t>在监测单位出具环境监测报告之后，企业应当将监测数据归类、归档，妥善保存。对于监测结果所反映的环保问题应及时采取措施，及时纠正，确保污染物排放达标。</w:t>
            </w:r>
          </w:p>
          <w:p>
            <w:pPr>
              <w:spacing w:line="500" w:lineRule="atLeast"/>
              <w:ind w:firstLine="480"/>
              <w:rPr>
                <w:rFonts w:ascii="Times New Roman" w:hAnsi="Times New Roman" w:eastAsia="宋体"/>
                <w:b/>
                <w:bCs/>
                <w:sz w:val="24"/>
                <w:szCs w:val="24"/>
              </w:rPr>
            </w:pPr>
            <w:r>
              <w:rPr>
                <w:rFonts w:hint="eastAsia" w:ascii="Times New Roman" w:hAnsi="Times New Roman" w:eastAsia="宋体"/>
                <w:b/>
                <w:bCs/>
                <w:sz w:val="24"/>
                <w:szCs w:val="24"/>
              </w:rPr>
              <w:t>10</w:t>
            </w:r>
            <w:r>
              <w:rPr>
                <w:rFonts w:ascii="Times New Roman" w:hAnsi="Times New Roman" w:eastAsia="宋体"/>
                <w:b/>
                <w:bCs/>
                <w:sz w:val="24"/>
                <w:szCs w:val="24"/>
              </w:rPr>
              <w:t>、环保治理措施及环保投资</w:t>
            </w:r>
          </w:p>
          <w:p>
            <w:pPr>
              <w:pStyle w:val="35"/>
              <w:spacing w:line="500" w:lineRule="atLeast"/>
              <w:ind w:firstLine="480"/>
              <w:rPr>
                <w:rFonts w:hint="eastAsia" w:ascii="Times New Roman" w:hAnsi="Times New Roman" w:eastAsia="宋体"/>
                <w:sz w:val="24"/>
                <w:szCs w:val="24"/>
                <w:lang w:val="zh-CN"/>
              </w:rPr>
            </w:pPr>
            <w:r>
              <w:rPr>
                <w:rFonts w:ascii="Times New Roman" w:hAnsi="Times New Roman" w:eastAsia="宋体"/>
                <w:sz w:val="24"/>
                <w:szCs w:val="24"/>
                <w:lang w:val="zh-CN"/>
              </w:rPr>
              <w:t>本项目总投资</w:t>
            </w:r>
            <w:r>
              <w:rPr>
                <w:rFonts w:hint="eastAsia" w:ascii="Times New Roman" w:hAnsi="Times New Roman" w:eastAsia="宋体"/>
                <w:sz w:val="24"/>
                <w:szCs w:val="24"/>
                <w:lang w:val="en-US" w:eastAsia="zh-CN"/>
              </w:rPr>
              <w:t>100</w:t>
            </w:r>
            <w:r>
              <w:rPr>
                <w:rFonts w:ascii="Times New Roman" w:hAnsi="Times New Roman" w:eastAsia="宋体"/>
                <w:sz w:val="24"/>
                <w:szCs w:val="24"/>
                <w:lang w:val="zh-CN"/>
              </w:rPr>
              <w:t>万元，其中环保投资</w:t>
            </w:r>
            <w:r>
              <w:rPr>
                <w:rFonts w:hint="eastAsia" w:ascii="Times New Roman" w:hAnsi="Times New Roman" w:eastAsia="宋体"/>
                <w:sz w:val="24"/>
                <w:szCs w:val="24"/>
                <w:lang w:val="en-US" w:eastAsia="zh-CN"/>
              </w:rPr>
              <w:t>6.3</w:t>
            </w:r>
            <w:r>
              <w:rPr>
                <w:rFonts w:ascii="Times New Roman" w:hAnsi="Times New Roman" w:eastAsia="宋体"/>
                <w:sz w:val="24"/>
                <w:szCs w:val="24"/>
                <w:lang w:val="zh-CN"/>
              </w:rPr>
              <w:t>万</w:t>
            </w:r>
            <w:r>
              <w:rPr>
                <w:rFonts w:hint="eastAsia" w:ascii="Times New Roman" w:hAnsi="Times New Roman" w:eastAsia="宋体"/>
                <w:sz w:val="24"/>
                <w:szCs w:val="24"/>
                <w:lang w:val="zh-CN"/>
              </w:rPr>
              <w:t>元</w:t>
            </w:r>
            <w:r>
              <w:rPr>
                <w:rFonts w:ascii="Times New Roman" w:hAnsi="Times New Roman" w:eastAsia="宋体"/>
                <w:sz w:val="24"/>
                <w:szCs w:val="24"/>
                <w:lang w:val="zh-CN"/>
              </w:rPr>
              <w:t>，约占总投资的</w:t>
            </w:r>
            <w:r>
              <w:rPr>
                <w:rFonts w:hint="eastAsia" w:ascii="Times New Roman" w:hAnsi="Times New Roman" w:eastAsia="宋体"/>
                <w:sz w:val="24"/>
                <w:szCs w:val="24"/>
                <w:lang w:val="en-US" w:eastAsia="zh-CN"/>
              </w:rPr>
              <w:t>6.3</w:t>
            </w:r>
            <w:r>
              <w:rPr>
                <w:rFonts w:ascii="Times New Roman" w:hAnsi="Times New Roman" w:eastAsia="宋体"/>
                <w:sz w:val="24"/>
                <w:szCs w:val="24"/>
                <w:lang w:val="zh-CN"/>
              </w:rPr>
              <w:t>%。本项目环保投资及竣工验收一览表见下表</w:t>
            </w:r>
            <w:r>
              <w:rPr>
                <w:rFonts w:hint="eastAsia" w:ascii="Times New Roman" w:hAnsi="Times New Roman" w:eastAsia="宋体"/>
                <w:sz w:val="24"/>
                <w:szCs w:val="24"/>
                <w:lang w:val="zh-CN"/>
              </w:rPr>
              <w:t>：</w:t>
            </w:r>
          </w:p>
          <w:p>
            <w:pPr>
              <w:pStyle w:val="35"/>
              <w:spacing w:line="500" w:lineRule="atLeast"/>
              <w:ind w:firstLine="480"/>
              <w:rPr>
                <w:rFonts w:hint="eastAsia" w:ascii="Times New Roman" w:hAnsi="Times New Roman" w:eastAsia="宋体"/>
                <w:sz w:val="24"/>
                <w:szCs w:val="24"/>
                <w:lang w:val="zh-CN"/>
              </w:rPr>
            </w:pPr>
          </w:p>
          <w:p>
            <w:pPr>
              <w:pStyle w:val="35"/>
              <w:spacing w:line="500" w:lineRule="atLeast"/>
              <w:ind w:firstLine="480"/>
              <w:rPr>
                <w:rFonts w:hint="eastAsia" w:ascii="Times New Roman" w:hAnsi="Times New Roman" w:eastAsia="宋体"/>
                <w:sz w:val="24"/>
                <w:szCs w:val="24"/>
                <w:lang w:val="zh-CN"/>
              </w:rPr>
            </w:pPr>
          </w:p>
          <w:p>
            <w:pPr>
              <w:pStyle w:val="7"/>
              <w:spacing w:beforeLines="50"/>
              <w:jc w:val="center"/>
              <w:rPr>
                <w:rFonts w:hint="default" w:ascii="Times New Roman" w:hAnsi="Times New Roman" w:eastAsia="宋体" w:cs="Times New Roman"/>
                <w:b/>
                <w:bCs w:val="0"/>
                <w:sz w:val="24"/>
                <w:szCs w:val="24"/>
                <w:lang w:val="zh-CN" w:eastAsia="zh-CN"/>
              </w:rPr>
            </w:pPr>
            <w:r>
              <w:rPr>
                <w:rFonts w:hint="default" w:ascii="Times New Roman" w:hAnsi="Times New Roman" w:eastAsia="宋体" w:cs="Times New Roman"/>
                <w:b/>
                <w:bCs w:val="0"/>
                <w:sz w:val="24"/>
                <w:szCs w:val="24"/>
                <w:lang w:val="zh-CN" w:eastAsia="zh-CN"/>
              </w:rPr>
              <w:t>表</w:t>
            </w:r>
            <w:r>
              <w:rPr>
                <w:rFonts w:hint="eastAsia" w:ascii="Times New Roman" w:hAnsi="Times New Roman" w:eastAsia="宋体" w:cs="Times New Roman"/>
                <w:b/>
                <w:bCs w:val="0"/>
                <w:sz w:val="24"/>
                <w:szCs w:val="24"/>
                <w:lang w:val="en-US" w:eastAsia="zh-CN"/>
              </w:rPr>
              <w:t>3</w:t>
            </w:r>
            <w:r>
              <w:rPr>
                <w:rFonts w:hint="eastAsia" w:cs="Times New Roman"/>
                <w:b/>
                <w:bCs w:val="0"/>
                <w:sz w:val="24"/>
                <w:szCs w:val="24"/>
                <w:lang w:val="en-US" w:eastAsia="zh-CN"/>
              </w:rPr>
              <w:t>5</w:t>
            </w:r>
            <w:r>
              <w:rPr>
                <w:rFonts w:hint="default" w:ascii="Times New Roman" w:hAnsi="Times New Roman" w:eastAsia="宋体" w:cs="Times New Roman"/>
                <w:b/>
                <w:bCs w:val="0"/>
                <w:sz w:val="24"/>
                <w:szCs w:val="24"/>
                <w:lang w:val="zh-CN" w:eastAsia="zh-CN"/>
              </w:rPr>
              <w:t xml:space="preserve">  环保投资及竣工验收一览表  单位：万元</w:t>
            </w:r>
          </w:p>
          <w:tbl>
            <w:tblPr>
              <w:tblStyle w:val="23"/>
              <w:tblW w:w="9084"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03"/>
              <w:gridCol w:w="1405"/>
              <w:gridCol w:w="3240"/>
              <w:gridCol w:w="2020"/>
              <w:gridCol w:w="18"/>
              <w:gridCol w:w="1480"/>
              <w:gridCol w:w="1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9" w:type="pct"/>
                <w:trHeight w:val="90" w:hRule="atLeast"/>
                <w:jc w:val="center"/>
              </w:trPr>
              <w:tc>
                <w:tcPr>
                  <w:tcW w:w="1270" w:type="pct"/>
                  <w:gridSpan w:val="2"/>
                  <w:tcBorders>
                    <w:tl2br w:val="nil"/>
                    <w:tr2bl w:val="nil"/>
                  </w:tcBorders>
                  <w:vAlign w:val="center"/>
                </w:tcPr>
                <w:p>
                  <w:pPr>
                    <w:spacing w:line="240" w:lineRule="auto"/>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项目分类</w:t>
                  </w:r>
                </w:p>
              </w:tc>
              <w:tc>
                <w:tcPr>
                  <w:tcW w:w="1783" w:type="pct"/>
                  <w:tcBorders>
                    <w:tl2br w:val="nil"/>
                    <w:tr2bl w:val="nil"/>
                  </w:tcBorders>
                  <w:vAlign w:val="center"/>
                </w:tcPr>
                <w:p>
                  <w:pPr>
                    <w:spacing w:line="240" w:lineRule="auto"/>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环保措施</w:t>
                  </w:r>
                </w:p>
              </w:tc>
              <w:tc>
                <w:tcPr>
                  <w:tcW w:w="1111" w:type="pct"/>
                  <w:tcBorders>
                    <w:tl2br w:val="nil"/>
                    <w:tr2bl w:val="nil"/>
                  </w:tcBorders>
                  <w:vAlign w:val="center"/>
                </w:tcPr>
                <w:p>
                  <w:pPr>
                    <w:spacing w:line="240" w:lineRule="auto"/>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数量</w:t>
                  </w:r>
                </w:p>
              </w:tc>
              <w:tc>
                <w:tcPr>
                  <w:tcW w:w="824" w:type="pct"/>
                  <w:gridSpan w:val="2"/>
                  <w:tcBorders>
                    <w:tl2br w:val="nil"/>
                    <w:tr2bl w:val="nil"/>
                  </w:tcBorders>
                  <w:vAlign w:val="center"/>
                </w:tcPr>
                <w:p>
                  <w:pPr>
                    <w:spacing w:line="240" w:lineRule="auto"/>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投资额（万元）</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9" w:type="pct"/>
                <w:trHeight w:val="312" w:hRule="atLeast"/>
                <w:jc w:val="center"/>
              </w:trPr>
              <w:tc>
                <w:tcPr>
                  <w:tcW w:w="497" w:type="pct"/>
                  <w:vMerge w:val="restart"/>
                  <w:tcBorders>
                    <w:tl2br w:val="nil"/>
                    <w:tr2bl w:val="nil"/>
                  </w:tcBorders>
                  <w:vAlign w:val="center"/>
                </w:tcPr>
                <w:p>
                  <w:pPr>
                    <w:spacing w:line="240" w:lineRule="auto"/>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废水</w:t>
                  </w:r>
                </w:p>
              </w:tc>
              <w:tc>
                <w:tcPr>
                  <w:tcW w:w="773" w:type="pct"/>
                  <w:vMerge w:val="restart"/>
                  <w:tcBorders>
                    <w:tl2br w:val="nil"/>
                    <w:tr2bl w:val="nil"/>
                  </w:tcBorders>
                  <w:vAlign w:val="center"/>
                </w:tcPr>
                <w:p>
                  <w:pPr>
                    <w:spacing w:line="240" w:lineRule="auto"/>
                    <w:jc w:val="center"/>
                    <w:textAlignment w:val="baseline"/>
                    <w:rPr>
                      <w:rFonts w:hint="eastAsia"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生活污水</w:t>
                  </w:r>
                </w:p>
              </w:tc>
              <w:tc>
                <w:tcPr>
                  <w:tcW w:w="1783" w:type="pct"/>
                  <w:vMerge w:val="restart"/>
                  <w:tcBorders>
                    <w:tl2br w:val="nil"/>
                    <w:tr2bl w:val="nil"/>
                  </w:tcBorders>
                  <w:vAlign w:val="center"/>
                </w:tcPr>
                <w:p>
                  <w:pPr>
                    <w:spacing w:line="240" w:lineRule="auto"/>
                    <w:jc w:val="center"/>
                    <w:textAlignment w:val="baseline"/>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eastAsia="zh-CN"/>
                    </w:rPr>
                    <w:t>经豫中地质勘查工程公司平顶山第四工程处</w:t>
                  </w:r>
                  <w:r>
                    <w:rPr>
                      <w:rFonts w:hint="eastAsia" w:ascii="Times New Roman" w:hAnsi="Times New Roman" w:eastAsia="宋体" w:cs="Times New Roman"/>
                      <w:sz w:val="21"/>
                      <w:szCs w:val="21"/>
                      <w:lang w:val="en-US" w:eastAsia="zh-CN"/>
                    </w:rPr>
                    <w:t>院内</w:t>
                  </w:r>
                  <w:r>
                    <w:rPr>
                      <w:rFonts w:hint="eastAsia" w:ascii="Times New Roman" w:hAnsi="Times New Roman" w:eastAsia="宋体" w:cs="Times New Roman"/>
                      <w:sz w:val="21"/>
                      <w:szCs w:val="21"/>
                      <w:lang w:eastAsia="zh-CN"/>
                    </w:rPr>
                    <w:t>化粪池处理后排入附近市政管网</w:t>
                  </w:r>
                </w:p>
              </w:tc>
              <w:tc>
                <w:tcPr>
                  <w:tcW w:w="1111" w:type="pct"/>
                  <w:vMerge w:val="restart"/>
                  <w:tcBorders>
                    <w:tl2br w:val="nil"/>
                    <w:tr2bl w:val="nil"/>
                  </w:tcBorders>
                  <w:vAlign w:val="center"/>
                </w:tcPr>
                <w:p>
                  <w:pPr>
                    <w:spacing w:line="240" w:lineRule="auto"/>
                    <w:jc w:val="center"/>
                    <w:textAlignment w:val="baseline"/>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val="en-US" w:eastAsia="zh-CN"/>
                    </w:rPr>
                    <w:t>1</w:t>
                  </w:r>
                </w:p>
              </w:tc>
              <w:tc>
                <w:tcPr>
                  <w:tcW w:w="824" w:type="pct"/>
                  <w:gridSpan w:val="2"/>
                  <w:vMerge w:val="restart"/>
                  <w:tcBorders>
                    <w:tl2br w:val="nil"/>
                    <w:tr2bl w:val="nil"/>
                  </w:tcBorders>
                  <w:vAlign w:val="center"/>
                </w:tcPr>
                <w:p>
                  <w:pPr>
                    <w:spacing w:line="240" w:lineRule="auto"/>
                    <w:jc w:val="center"/>
                    <w:textAlignment w:val="baseline"/>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9" w:type="pct"/>
                <w:trHeight w:val="312" w:hRule="atLeast"/>
                <w:jc w:val="center"/>
              </w:trPr>
              <w:tc>
                <w:tcPr>
                  <w:tcW w:w="497" w:type="pct"/>
                  <w:vMerge w:val="continue"/>
                  <w:tcBorders>
                    <w:tl2br w:val="nil"/>
                    <w:tr2bl w:val="nil"/>
                  </w:tcBorders>
                  <w:vAlign w:val="center"/>
                </w:tcPr>
                <w:p>
                  <w:pPr>
                    <w:spacing w:line="240" w:lineRule="auto"/>
                    <w:jc w:val="center"/>
                    <w:textAlignment w:val="baseline"/>
                    <w:rPr>
                      <w:rFonts w:hint="default" w:ascii="Times New Roman" w:hAnsi="Times New Roman" w:eastAsia="宋体" w:cs="Times New Roman"/>
                      <w:sz w:val="21"/>
                      <w:szCs w:val="21"/>
                    </w:rPr>
                  </w:pPr>
                </w:p>
              </w:tc>
              <w:tc>
                <w:tcPr>
                  <w:tcW w:w="773" w:type="pct"/>
                  <w:vMerge w:val="continue"/>
                  <w:tcBorders>
                    <w:tl2br w:val="nil"/>
                    <w:tr2bl w:val="nil"/>
                  </w:tcBorders>
                  <w:vAlign w:val="center"/>
                </w:tcPr>
                <w:p>
                  <w:pPr>
                    <w:spacing w:line="240" w:lineRule="auto"/>
                    <w:jc w:val="center"/>
                    <w:textAlignment w:val="baseline"/>
                    <w:rPr>
                      <w:rFonts w:hint="eastAsia" w:ascii="Times New Roman" w:hAnsi="Times New Roman" w:eastAsia="宋体"/>
                      <w:color w:val="000000" w:themeColor="text1"/>
                      <w:sz w:val="21"/>
                      <w:szCs w:val="21"/>
                      <w:highlight w:val="none"/>
                      <w:lang w:val="en-US" w:eastAsia="zh-CN"/>
                    </w:rPr>
                  </w:pPr>
                </w:p>
              </w:tc>
              <w:tc>
                <w:tcPr>
                  <w:tcW w:w="1783" w:type="pct"/>
                  <w:vMerge w:val="continue"/>
                  <w:tcBorders>
                    <w:tl2br w:val="nil"/>
                    <w:tr2bl w:val="nil"/>
                  </w:tcBorders>
                  <w:vAlign w:val="center"/>
                </w:tcPr>
                <w:p>
                  <w:pPr>
                    <w:spacing w:line="240" w:lineRule="auto"/>
                    <w:jc w:val="center"/>
                    <w:textAlignment w:val="baseline"/>
                    <w:rPr>
                      <w:rFonts w:hint="default" w:ascii="Times New Roman" w:hAnsi="Times New Roman" w:eastAsia="宋体"/>
                      <w:color w:val="000000" w:themeColor="text1"/>
                      <w:sz w:val="21"/>
                      <w:szCs w:val="21"/>
                      <w:highlight w:val="none"/>
                      <w:lang w:val="en-US" w:eastAsia="zh-CN"/>
                    </w:rPr>
                  </w:pPr>
                </w:p>
              </w:tc>
              <w:tc>
                <w:tcPr>
                  <w:tcW w:w="1111" w:type="pct"/>
                  <w:vMerge w:val="continue"/>
                  <w:tcBorders>
                    <w:tl2br w:val="nil"/>
                    <w:tr2bl w:val="nil"/>
                  </w:tcBorders>
                  <w:vAlign w:val="center"/>
                </w:tcPr>
                <w:p>
                  <w:pPr>
                    <w:spacing w:line="240" w:lineRule="auto"/>
                    <w:jc w:val="center"/>
                    <w:textAlignment w:val="baseline"/>
                    <w:rPr>
                      <w:rFonts w:hint="eastAsia" w:ascii="Times New Roman" w:hAnsi="Times New Roman" w:eastAsia="宋体" w:cs="Times New Roman"/>
                      <w:sz w:val="21"/>
                      <w:szCs w:val="21"/>
                      <w:lang w:val="en-US" w:eastAsia="zh-CN"/>
                    </w:rPr>
                  </w:pPr>
                </w:p>
              </w:tc>
              <w:tc>
                <w:tcPr>
                  <w:tcW w:w="824" w:type="pct"/>
                  <w:gridSpan w:val="2"/>
                  <w:vMerge w:val="continue"/>
                  <w:tcBorders>
                    <w:tl2br w:val="nil"/>
                    <w:tr2bl w:val="nil"/>
                  </w:tcBorders>
                  <w:vAlign w:val="center"/>
                </w:tcPr>
                <w:p>
                  <w:pPr>
                    <w:spacing w:line="240" w:lineRule="auto"/>
                    <w:jc w:val="center"/>
                    <w:textAlignment w:val="baseline"/>
                    <w:rPr>
                      <w:rFonts w:hint="default" w:ascii="Times New Roman" w:hAnsi="Times New Roman" w:eastAsia="宋体" w:cs="Times New Roman"/>
                      <w:sz w:val="21"/>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9" w:type="pct"/>
                <w:trHeight w:val="312" w:hRule="atLeast"/>
                <w:jc w:val="center"/>
              </w:trPr>
              <w:tc>
                <w:tcPr>
                  <w:tcW w:w="497" w:type="pct"/>
                  <w:vMerge w:val="continue"/>
                  <w:tcBorders>
                    <w:tl2br w:val="nil"/>
                    <w:tr2bl w:val="nil"/>
                  </w:tcBorders>
                  <w:vAlign w:val="center"/>
                </w:tcPr>
                <w:p>
                  <w:pPr>
                    <w:spacing w:line="240" w:lineRule="auto"/>
                    <w:jc w:val="center"/>
                    <w:textAlignment w:val="baseline"/>
                    <w:rPr>
                      <w:rFonts w:hint="default" w:ascii="Times New Roman" w:hAnsi="Times New Roman" w:eastAsia="宋体" w:cs="Times New Roman"/>
                      <w:sz w:val="21"/>
                      <w:szCs w:val="21"/>
                    </w:rPr>
                  </w:pPr>
                </w:p>
              </w:tc>
              <w:tc>
                <w:tcPr>
                  <w:tcW w:w="773" w:type="pct"/>
                  <w:vMerge w:val="continue"/>
                  <w:tcBorders>
                    <w:tl2br w:val="nil"/>
                    <w:tr2bl w:val="nil"/>
                  </w:tcBorders>
                  <w:vAlign w:val="center"/>
                </w:tcPr>
                <w:p>
                  <w:pPr>
                    <w:spacing w:line="240" w:lineRule="auto"/>
                    <w:jc w:val="center"/>
                    <w:textAlignment w:val="baseline"/>
                    <w:rPr>
                      <w:rFonts w:hint="eastAsia" w:ascii="Times New Roman" w:hAnsi="Times New Roman" w:eastAsia="宋体" w:cs="Times New Roman"/>
                      <w:sz w:val="21"/>
                      <w:szCs w:val="21"/>
                      <w:lang w:eastAsia="zh-CN"/>
                    </w:rPr>
                  </w:pPr>
                </w:p>
              </w:tc>
              <w:tc>
                <w:tcPr>
                  <w:tcW w:w="1783" w:type="pct"/>
                  <w:vMerge w:val="continue"/>
                  <w:tcBorders>
                    <w:tl2br w:val="nil"/>
                    <w:tr2bl w:val="nil"/>
                  </w:tcBorders>
                  <w:vAlign w:val="center"/>
                </w:tcPr>
                <w:p>
                  <w:pPr>
                    <w:spacing w:line="240" w:lineRule="auto"/>
                    <w:jc w:val="center"/>
                    <w:textAlignment w:val="baseline"/>
                    <w:rPr>
                      <w:rFonts w:hint="default" w:ascii="Times New Roman" w:hAnsi="Times New Roman" w:eastAsia="宋体" w:cs="Times New Roman"/>
                      <w:sz w:val="21"/>
                      <w:szCs w:val="21"/>
                    </w:rPr>
                  </w:pPr>
                </w:p>
              </w:tc>
              <w:tc>
                <w:tcPr>
                  <w:tcW w:w="1111" w:type="pct"/>
                  <w:vMerge w:val="continue"/>
                  <w:tcBorders>
                    <w:tl2br w:val="nil"/>
                    <w:tr2bl w:val="nil"/>
                  </w:tcBorders>
                  <w:vAlign w:val="center"/>
                </w:tcPr>
                <w:p>
                  <w:pPr>
                    <w:spacing w:line="240" w:lineRule="auto"/>
                    <w:jc w:val="center"/>
                    <w:textAlignment w:val="baseline"/>
                    <w:rPr>
                      <w:rFonts w:hint="eastAsia" w:ascii="Times New Roman" w:hAnsi="Times New Roman" w:eastAsia="宋体" w:cs="Times New Roman"/>
                      <w:sz w:val="21"/>
                      <w:szCs w:val="21"/>
                      <w:lang w:val="en-US" w:eastAsia="zh-CN"/>
                    </w:rPr>
                  </w:pPr>
                </w:p>
              </w:tc>
              <w:tc>
                <w:tcPr>
                  <w:tcW w:w="824" w:type="pct"/>
                  <w:gridSpan w:val="2"/>
                  <w:vMerge w:val="continue"/>
                  <w:tcBorders>
                    <w:tl2br w:val="nil"/>
                    <w:tr2bl w:val="nil"/>
                  </w:tcBorders>
                  <w:vAlign w:val="center"/>
                </w:tcPr>
                <w:p>
                  <w:pPr>
                    <w:spacing w:line="240" w:lineRule="auto"/>
                    <w:jc w:val="center"/>
                    <w:textAlignment w:val="baseline"/>
                    <w:rPr>
                      <w:rFonts w:hint="default" w:ascii="Times New Roman" w:hAnsi="Times New Roman" w:eastAsia="宋体" w:cs="Times New Roman"/>
                      <w:sz w:val="21"/>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9" w:type="pct"/>
                <w:trHeight w:val="312" w:hRule="atLeast"/>
                <w:jc w:val="center"/>
              </w:trPr>
              <w:tc>
                <w:tcPr>
                  <w:tcW w:w="497" w:type="pct"/>
                  <w:vMerge w:val="restart"/>
                  <w:tcBorders>
                    <w:tl2br w:val="nil"/>
                    <w:tr2bl w:val="nil"/>
                  </w:tcBorders>
                  <w:vAlign w:val="center"/>
                </w:tcPr>
                <w:p>
                  <w:pPr>
                    <w:spacing w:line="240" w:lineRule="auto"/>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废气</w:t>
                  </w:r>
                </w:p>
              </w:tc>
              <w:tc>
                <w:tcPr>
                  <w:tcW w:w="773" w:type="pct"/>
                  <w:vMerge w:val="restart"/>
                  <w:tcBorders>
                    <w:tl2br w:val="nil"/>
                    <w:tr2bl w:val="nil"/>
                  </w:tcBorders>
                  <w:vAlign w:val="center"/>
                </w:tcPr>
                <w:p>
                  <w:pPr>
                    <w:spacing w:line="240" w:lineRule="auto"/>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焊接烟尘</w:t>
                  </w:r>
                </w:p>
              </w:tc>
              <w:tc>
                <w:tcPr>
                  <w:tcW w:w="1783" w:type="pct"/>
                  <w:vMerge w:val="restart"/>
                  <w:tcBorders>
                    <w:tl2br w:val="nil"/>
                    <w:tr2bl w:val="nil"/>
                  </w:tcBorders>
                  <w:vAlign w:val="center"/>
                </w:tcPr>
                <w:p>
                  <w:pPr>
                    <w:spacing w:line="240" w:lineRule="auto"/>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eastAsia="zh-CN"/>
                    </w:rPr>
                    <w:t>移动式</w:t>
                  </w:r>
                  <w:r>
                    <w:rPr>
                      <w:rFonts w:hint="default" w:ascii="Times New Roman" w:hAnsi="Times New Roman" w:eastAsia="宋体" w:cs="Times New Roman"/>
                      <w:sz w:val="21"/>
                      <w:szCs w:val="21"/>
                    </w:rPr>
                    <w:t>焊接烟尘处理器收集处理焊接烟尘</w:t>
                  </w:r>
                  <w:r>
                    <w:rPr>
                      <w:rFonts w:hint="default" w:ascii="Times New Roman" w:hAnsi="Times New Roman" w:eastAsia="宋体" w:cs="Times New Roman"/>
                      <w:sz w:val="21"/>
                      <w:szCs w:val="21"/>
                      <w:lang w:eastAsia="zh-CN"/>
                    </w:rPr>
                    <w:t>，焊机位于全封闭车间内</w:t>
                  </w:r>
                </w:p>
              </w:tc>
              <w:tc>
                <w:tcPr>
                  <w:tcW w:w="1111" w:type="pct"/>
                  <w:vMerge w:val="restart"/>
                  <w:tcBorders>
                    <w:tl2br w:val="nil"/>
                    <w:tr2bl w:val="nil"/>
                  </w:tcBorders>
                  <w:vAlign w:val="center"/>
                </w:tcPr>
                <w:p>
                  <w:pPr>
                    <w:spacing w:line="240" w:lineRule="auto"/>
                    <w:jc w:val="center"/>
                    <w:textAlignment w:val="baseline"/>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w:t>
                  </w:r>
                </w:p>
              </w:tc>
              <w:tc>
                <w:tcPr>
                  <w:tcW w:w="824" w:type="pct"/>
                  <w:gridSpan w:val="2"/>
                  <w:vMerge w:val="restart"/>
                  <w:tcBorders>
                    <w:tl2br w:val="nil"/>
                    <w:tr2bl w:val="nil"/>
                  </w:tcBorders>
                  <w:vAlign w:val="center"/>
                </w:tcPr>
                <w:p>
                  <w:pPr>
                    <w:spacing w:line="240" w:lineRule="auto"/>
                    <w:jc w:val="center"/>
                    <w:textAlignment w:val="baseline"/>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9" w:type="pct"/>
                <w:trHeight w:val="312" w:hRule="atLeast"/>
                <w:jc w:val="center"/>
              </w:trPr>
              <w:tc>
                <w:tcPr>
                  <w:tcW w:w="497" w:type="pct"/>
                  <w:vMerge w:val="continue"/>
                  <w:tcBorders>
                    <w:tl2br w:val="nil"/>
                    <w:tr2bl w:val="nil"/>
                  </w:tcBorders>
                  <w:vAlign w:val="center"/>
                </w:tcPr>
                <w:p>
                  <w:pPr>
                    <w:spacing w:line="240" w:lineRule="auto"/>
                    <w:jc w:val="center"/>
                    <w:textAlignment w:val="baseline"/>
                    <w:rPr>
                      <w:rFonts w:hint="default" w:ascii="Times New Roman" w:hAnsi="Times New Roman" w:eastAsia="宋体" w:cs="Times New Roman"/>
                      <w:sz w:val="21"/>
                      <w:szCs w:val="21"/>
                    </w:rPr>
                  </w:pPr>
                </w:p>
              </w:tc>
              <w:tc>
                <w:tcPr>
                  <w:tcW w:w="773" w:type="pct"/>
                  <w:vMerge w:val="continue"/>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eastAsia" w:ascii="Times New Roman" w:hAnsi="Times New Roman" w:eastAsia="宋体"/>
                      <w:color w:val="000000" w:themeColor="text1"/>
                      <w:sz w:val="21"/>
                      <w:szCs w:val="21"/>
                      <w:highlight w:val="none"/>
                      <w:lang w:val="en-US" w:eastAsia="zh-CN"/>
                    </w:rPr>
                    <w:t>单体柱制造车间</w:t>
                  </w:r>
                  <w:r>
                    <w:rPr>
                      <w:rFonts w:hint="default" w:ascii="Times New Roman" w:hAnsi="Times New Roman" w:eastAsia="宋体" w:cs="Times New Roman"/>
                      <w:sz w:val="21"/>
                      <w:szCs w:val="21"/>
                    </w:rPr>
                    <w:t>焊接烟尘</w:t>
                  </w:r>
                </w:p>
              </w:tc>
              <w:tc>
                <w:tcPr>
                  <w:tcW w:w="1783" w:type="pct"/>
                  <w:vMerge w:val="continue"/>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eastAsia="zh-CN"/>
                    </w:rPr>
                    <w:t>设置</w:t>
                  </w:r>
                  <w:r>
                    <w:rPr>
                      <w:rFonts w:hint="eastAsia" w:ascii="Times New Roman" w:hAnsi="Times New Roman" w:eastAsia="宋体" w:cs="Times New Roman"/>
                      <w:sz w:val="21"/>
                      <w:szCs w:val="21"/>
                      <w:lang w:val="en-US" w:eastAsia="zh-CN"/>
                    </w:rPr>
                    <w:t>1套中央高效滤筒除尘器系统+18m高排气筒</w:t>
                  </w:r>
                </w:p>
              </w:tc>
              <w:tc>
                <w:tcPr>
                  <w:tcW w:w="1111" w:type="pct"/>
                  <w:vMerge w:val="continue"/>
                  <w:tcBorders>
                    <w:tl2br w:val="nil"/>
                    <w:tr2bl w:val="nil"/>
                  </w:tcBorders>
                  <w:vAlign w:val="center"/>
                </w:tcPr>
                <w:p>
                  <w:pPr>
                    <w:spacing w:line="240" w:lineRule="auto"/>
                    <w:jc w:val="center"/>
                    <w:textAlignment w:val="baseline"/>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w:t>
                  </w:r>
                </w:p>
              </w:tc>
              <w:tc>
                <w:tcPr>
                  <w:tcW w:w="824" w:type="pct"/>
                  <w:gridSpan w:val="2"/>
                  <w:vMerge w:val="continue"/>
                  <w:tcBorders>
                    <w:tl2br w:val="nil"/>
                    <w:tr2bl w:val="nil"/>
                  </w:tcBorders>
                  <w:vAlign w:val="center"/>
                </w:tcPr>
                <w:p>
                  <w:pPr>
                    <w:spacing w:line="240" w:lineRule="auto"/>
                    <w:jc w:val="center"/>
                    <w:textAlignment w:val="baseline"/>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9" w:type="pct"/>
                <w:trHeight w:val="352" w:hRule="atLeast"/>
                <w:jc w:val="center"/>
              </w:trPr>
              <w:tc>
                <w:tcPr>
                  <w:tcW w:w="497" w:type="pct"/>
                  <w:vMerge w:val="restart"/>
                  <w:tcBorders>
                    <w:tl2br w:val="nil"/>
                    <w:tr2bl w:val="nil"/>
                  </w:tcBorders>
                  <w:vAlign w:val="center"/>
                </w:tcPr>
                <w:p>
                  <w:pPr>
                    <w:spacing w:line="240" w:lineRule="auto"/>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固</w:t>
                  </w:r>
                </w:p>
                <w:p>
                  <w:pPr>
                    <w:spacing w:line="240" w:lineRule="auto"/>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废</w:t>
                  </w:r>
                </w:p>
              </w:tc>
              <w:tc>
                <w:tcPr>
                  <w:tcW w:w="773" w:type="pct"/>
                  <w:tcBorders>
                    <w:tl2br w:val="nil"/>
                    <w:tr2bl w:val="nil"/>
                  </w:tcBorders>
                  <w:vAlign w:val="center"/>
                </w:tcPr>
                <w:p>
                  <w:pPr>
                    <w:spacing w:line="240" w:lineRule="auto"/>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生活垃圾</w:t>
                  </w:r>
                </w:p>
              </w:tc>
              <w:tc>
                <w:tcPr>
                  <w:tcW w:w="1783" w:type="pct"/>
                  <w:tcBorders>
                    <w:tl2br w:val="nil"/>
                    <w:tr2bl w:val="nil"/>
                  </w:tcBorders>
                  <w:vAlign w:val="center"/>
                </w:tcPr>
                <w:p>
                  <w:pPr>
                    <w:spacing w:line="240" w:lineRule="auto"/>
                    <w:jc w:val="center"/>
                    <w:textAlignment w:val="baseline"/>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垃圾箱</w:t>
                  </w:r>
                  <w:r>
                    <w:rPr>
                      <w:rFonts w:hint="eastAsia" w:ascii="Times New Roman" w:hAnsi="Times New Roman" w:eastAsia="宋体" w:cs="Times New Roman"/>
                      <w:sz w:val="21"/>
                      <w:szCs w:val="21"/>
                      <w:lang w:eastAsia="zh-CN"/>
                    </w:rPr>
                    <w:t>若干</w:t>
                  </w:r>
                </w:p>
              </w:tc>
              <w:tc>
                <w:tcPr>
                  <w:tcW w:w="1111" w:type="pct"/>
                  <w:tcBorders>
                    <w:tl2br w:val="nil"/>
                    <w:tr2bl w:val="nil"/>
                  </w:tcBorders>
                  <w:vAlign w:val="center"/>
                </w:tcPr>
                <w:p>
                  <w:pPr>
                    <w:spacing w:line="240" w:lineRule="auto"/>
                    <w:jc w:val="center"/>
                    <w:textAlignment w:val="baseline"/>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eastAsia="zh-CN"/>
                    </w:rPr>
                    <w:t>若干</w:t>
                  </w:r>
                </w:p>
              </w:tc>
              <w:tc>
                <w:tcPr>
                  <w:tcW w:w="824" w:type="pct"/>
                  <w:gridSpan w:val="2"/>
                  <w:tcBorders>
                    <w:tl2br w:val="nil"/>
                    <w:tr2bl w:val="nil"/>
                  </w:tcBorders>
                  <w:vAlign w:val="center"/>
                </w:tcPr>
                <w:p>
                  <w:pPr>
                    <w:spacing w:line="240" w:lineRule="auto"/>
                    <w:jc w:val="center"/>
                    <w:textAlignment w:val="baseline"/>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9" w:type="pct"/>
                <w:trHeight w:val="352" w:hRule="atLeast"/>
                <w:jc w:val="center"/>
              </w:trPr>
              <w:tc>
                <w:tcPr>
                  <w:tcW w:w="497" w:type="pct"/>
                  <w:vMerge w:val="continue"/>
                  <w:tcBorders>
                    <w:tl2br w:val="nil"/>
                    <w:tr2bl w:val="nil"/>
                  </w:tcBorders>
                  <w:vAlign w:val="center"/>
                </w:tcPr>
                <w:p>
                  <w:pPr>
                    <w:spacing w:line="240" w:lineRule="auto"/>
                    <w:jc w:val="center"/>
                    <w:textAlignment w:val="baseline"/>
                    <w:rPr>
                      <w:rFonts w:hint="default" w:ascii="Times New Roman" w:hAnsi="Times New Roman" w:eastAsia="宋体" w:cs="Times New Roman"/>
                      <w:sz w:val="21"/>
                      <w:szCs w:val="21"/>
                    </w:rPr>
                  </w:pPr>
                </w:p>
              </w:tc>
              <w:tc>
                <w:tcPr>
                  <w:tcW w:w="773" w:type="pct"/>
                  <w:tcBorders>
                    <w:tl2br w:val="nil"/>
                    <w:tr2bl w:val="nil"/>
                  </w:tcBorders>
                  <w:vAlign w:val="center"/>
                </w:tcPr>
                <w:p>
                  <w:pPr>
                    <w:spacing w:line="240" w:lineRule="auto"/>
                    <w:jc w:val="center"/>
                    <w:textAlignment w:val="baseline"/>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危废</w:t>
                  </w:r>
                </w:p>
              </w:tc>
              <w:tc>
                <w:tcPr>
                  <w:tcW w:w="1783" w:type="pct"/>
                  <w:tcBorders>
                    <w:tl2br w:val="nil"/>
                    <w:tr2bl w:val="nil"/>
                  </w:tcBorders>
                  <w:vAlign w:val="center"/>
                </w:tcPr>
                <w:p>
                  <w:pPr>
                    <w:spacing w:line="240" w:lineRule="auto"/>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密闭容器、危废暂存间</w:t>
                  </w:r>
                </w:p>
              </w:tc>
              <w:tc>
                <w:tcPr>
                  <w:tcW w:w="1111" w:type="pct"/>
                  <w:tcBorders>
                    <w:tl2br w:val="nil"/>
                    <w:tr2bl w:val="nil"/>
                  </w:tcBorders>
                  <w:vAlign w:val="center"/>
                </w:tcPr>
                <w:p>
                  <w:pPr>
                    <w:spacing w:line="240" w:lineRule="auto"/>
                    <w:jc w:val="center"/>
                    <w:textAlignment w:val="baseline"/>
                    <w:rPr>
                      <w:rFonts w:hint="eastAsia" w:ascii="Times New Roman" w:hAnsi="Times New Roman" w:eastAsia="宋体" w:cs="Times New Roman"/>
                      <w:sz w:val="21"/>
                      <w:szCs w:val="21"/>
                      <w:lang w:eastAsia="zh-CN"/>
                    </w:rPr>
                  </w:pPr>
                  <w:r>
                    <w:rPr>
                      <w:rFonts w:hint="default" w:ascii="Times New Roman" w:hAnsi="Times New Roman" w:eastAsia="宋体" w:cs="Times New Roman"/>
                      <w:sz w:val="21"/>
                      <w:szCs w:val="21"/>
                    </w:rPr>
                    <w:t>危废暂存间</w:t>
                  </w:r>
                  <w:r>
                    <w:rPr>
                      <w:rFonts w:hint="eastAsia" w:ascii="Times New Roman" w:hAnsi="Times New Roman" w:eastAsia="宋体" w:cs="Times New Roman"/>
                      <w:sz w:val="21"/>
                      <w:szCs w:val="21"/>
                      <w:lang w:val="en-US" w:eastAsia="zh-CN"/>
                    </w:rPr>
                    <w:t>10</w:t>
                  </w:r>
                  <w:r>
                    <w:rPr>
                      <w:rFonts w:hint="default" w:ascii="Times New Roman" w:hAnsi="Times New Roman" w:eastAsia="宋体" w:cs="Times New Roman"/>
                      <w:sz w:val="21"/>
                      <w:szCs w:val="21"/>
                    </w:rPr>
                    <w:t>m</w:t>
                  </w:r>
                  <w:r>
                    <w:rPr>
                      <w:rFonts w:hint="default" w:ascii="Times New Roman" w:hAnsi="Times New Roman" w:eastAsia="宋体" w:cs="Times New Roman"/>
                      <w:sz w:val="21"/>
                      <w:szCs w:val="21"/>
                      <w:vertAlign w:val="superscript"/>
                    </w:rPr>
                    <w:t>2</w:t>
                  </w:r>
                  <w:r>
                    <w:rPr>
                      <w:rFonts w:hint="default" w:ascii="Times New Roman" w:hAnsi="Times New Roman" w:eastAsia="宋体" w:cs="Times New Roman"/>
                      <w:sz w:val="21"/>
                      <w:szCs w:val="21"/>
                    </w:rPr>
                    <w:t>，进行防渗处理</w:t>
                  </w:r>
                </w:p>
              </w:tc>
              <w:tc>
                <w:tcPr>
                  <w:tcW w:w="824" w:type="pct"/>
                  <w:gridSpan w:val="2"/>
                  <w:tcBorders>
                    <w:tl2br w:val="nil"/>
                    <w:tr2bl w:val="nil"/>
                  </w:tcBorders>
                  <w:vAlign w:val="center"/>
                </w:tcPr>
                <w:p>
                  <w:pPr>
                    <w:spacing w:line="240" w:lineRule="auto"/>
                    <w:jc w:val="center"/>
                    <w:textAlignment w:val="baseline"/>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9" w:type="pct"/>
                <w:trHeight w:val="352" w:hRule="atLeast"/>
                <w:jc w:val="center"/>
              </w:trPr>
              <w:tc>
                <w:tcPr>
                  <w:tcW w:w="497" w:type="pct"/>
                  <w:vMerge w:val="continue"/>
                  <w:tcBorders>
                    <w:tl2br w:val="nil"/>
                    <w:tr2bl w:val="nil"/>
                  </w:tcBorders>
                  <w:vAlign w:val="center"/>
                </w:tcPr>
                <w:p>
                  <w:pPr>
                    <w:spacing w:line="240" w:lineRule="auto"/>
                    <w:jc w:val="center"/>
                    <w:textAlignment w:val="baseline"/>
                    <w:rPr>
                      <w:rFonts w:hint="default" w:ascii="Times New Roman" w:hAnsi="Times New Roman" w:eastAsia="宋体" w:cs="Times New Roman"/>
                      <w:sz w:val="21"/>
                      <w:szCs w:val="21"/>
                    </w:rPr>
                  </w:pPr>
                </w:p>
              </w:tc>
              <w:tc>
                <w:tcPr>
                  <w:tcW w:w="773" w:type="pct"/>
                  <w:tcBorders>
                    <w:tl2br w:val="nil"/>
                    <w:tr2bl w:val="nil"/>
                  </w:tcBorders>
                  <w:vAlign w:val="center"/>
                </w:tcPr>
                <w:p>
                  <w:pPr>
                    <w:spacing w:line="240" w:lineRule="auto"/>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一般固废</w:t>
                  </w:r>
                </w:p>
              </w:tc>
              <w:tc>
                <w:tcPr>
                  <w:tcW w:w="1783" w:type="pct"/>
                  <w:tcBorders>
                    <w:tl2br w:val="nil"/>
                    <w:tr2bl w:val="nil"/>
                  </w:tcBorders>
                  <w:vAlign w:val="center"/>
                </w:tcPr>
                <w:p>
                  <w:pPr>
                    <w:spacing w:line="240" w:lineRule="auto"/>
                    <w:jc w:val="center"/>
                    <w:textAlignment w:val="baseline"/>
                    <w:rPr>
                      <w:rFonts w:hint="eastAsia" w:ascii="Times New Roman" w:hAnsi="Times New Roman" w:eastAsia="宋体" w:cs="Times New Roman"/>
                      <w:sz w:val="21"/>
                      <w:szCs w:val="21"/>
                      <w:lang w:eastAsia="zh-CN"/>
                    </w:rPr>
                  </w:pPr>
                  <w:r>
                    <w:rPr>
                      <w:rFonts w:hint="default" w:ascii="Times New Roman" w:hAnsi="Times New Roman" w:eastAsia="宋体" w:cs="Times New Roman"/>
                      <w:sz w:val="21"/>
                      <w:szCs w:val="21"/>
                    </w:rPr>
                    <w:t>固废暂存</w:t>
                  </w:r>
                  <w:r>
                    <w:rPr>
                      <w:rFonts w:hint="eastAsia" w:ascii="Times New Roman" w:hAnsi="Times New Roman" w:eastAsia="宋体" w:cs="Times New Roman"/>
                      <w:sz w:val="21"/>
                      <w:szCs w:val="21"/>
                      <w:lang w:eastAsia="zh-CN"/>
                    </w:rPr>
                    <w:t>区</w:t>
                  </w:r>
                </w:p>
              </w:tc>
              <w:tc>
                <w:tcPr>
                  <w:tcW w:w="1111" w:type="pct"/>
                  <w:tcBorders>
                    <w:tl2br w:val="nil"/>
                    <w:tr2bl w:val="nil"/>
                  </w:tcBorders>
                  <w:vAlign w:val="center"/>
                </w:tcPr>
                <w:p>
                  <w:pPr>
                    <w:spacing w:line="240" w:lineRule="auto"/>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固废暂存</w:t>
                  </w:r>
                  <w:r>
                    <w:rPr>
                      <w:rFonts w:hint="eastAsia" w:ascii="Times New Roman" w:hAnsi="Times New Roman" w:eastAsia="宋体" w:cs="Times New Roman"/>
                      <w:sz w:val="21"/>
                      <w:szCs w:val="21"/>
                      <w:lang w:eastAsia="zh-CN"/>
                    </w:rPr>
                    <w:t>区</w:t>
                  </w:r>
                  <w:r>
                    <w:rPr>
                      <w:rFonts w:hint="eastAsia" w:ascii="Times New Roman" w:hAnsi="Times New Roman" w:eastAsia="宋体" w:cs="Times New Roman"/>
                      <w:sz w:val="21"/>
                      <w:szCs w:val="21"/>
                      <w:lang w:val="en-US" w:eastAsia="zh-CN"/>
                    </w:rPr>
                    <w:t>10</w:t>
                  </w:r>
                  <w:r>
                    <w:rPr>
                      <w:rFonts w:hint="default" w:ascii="Times New Roman" w:hAnsi="Times New Roman" w:eastAsia="宋体" w:cs="Times New Roman"/>
                      <w:sz w:val="21"/>
                      <w:szCs w:val="21"/>
                    </w:rPr>
                    <w:t>m</w:t>
                  </w:r>
                  <w:r>
                    <w:rPr>
                      <w:rFonts w:hint="default" w:ascii="Times New Roman" w:hAnsi="Times New Roman" w:eastAsia="宋体" w:cs="Times New Roman"/>
                      <w:sz w:val="21"/>
                      <w:szCs w:val="21"/>
                      <w:vertAlign w:val="superscript"/>
                    </w:rPr>
                    <w:t>2</w:t>
                  </w:r>
                </w:p>
              </w:tc>
              <w:tc>
                <w:tcPr>
                  <w:tcW w:w="824" w:type="pct"/>
                  <w:gridSpan w:val="2"/>
                  <w:tcBorders>
                    <w:tl2br w:val="nil"/>
                    <w:tr2bl w:val="nil"/>
                  </w:tcBorders>
                  <w:vAlign w:val="center"/>
                </w:tcPr>
                <w:p>
                  <w:pPr>
                    <w:spacing w:line="240" w:lineRule="auto"/>
                    <w:jc w:val="center"/>
                    <w:textAlignment w:val="baseline"/>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497" w:type="pct"/>
                  <w:tcBorders>
                    <w:tl2br w:val="nil"/>
                    <w:tr2bl w:val="nil"/>
                  </w:tcBorders>
                  <w:vAlign w:val="center"/>
                </w:tcPr>
                <w:p>
                  <w:pPr>
                    <w:spacing w:line="240" w:lineRule="auto"/>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噪声</w:t>
                  </w:r>
                </w:p>
              </w:tc>
              <w:tc>
                <w:tcPr>
                  <w:tcW w:w="773" w:type="pct"/>
                  <w:tcBorders>
                    <w:tl2br w:val="nil"/>
                    <w:tr2bl w:val="nil"/>
                  </w:tcBorders>
                  <w:vAlign w:val="center"/>
                </w:tcPr>
                <w:p>
                  <w:pPr>
                    <w:spacing w:line="240" w:lineRule="auto"/>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机械设备</w:t>
                  </w:r>
                </w:p>
              </w:tc>
              <w:tc>
                <w:tcPr>
                  <w:tcW w:w="1783" w:type="pct"/>
                  <w:tcBorders>
                    <w:tl2br w:val="nil"/>
                    <w:tr2bl w:val="nil"/>
                  </w:tcBorders>
                  <w:vAlign w:val="center"/>
                </w:tcPr>
                <w:p>
                  <w:pPr>
                    <w:spacing w:line="240" w:lineRule="auto"/>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基础减振、厂房隔声</w:t>
                  </w:r>
                </w:p>
              </w:tc>
              <w:tc>
                <w:tcPr>
                  <w:tcW w:w="1121" w:type="pct"/>
                  <w:gridSpan w:val="2"/>
                  <w:tcBorders>
                    <w:tl2br w:val="nil"/>
                    <w:tr2bl w:val="nil"/>
                  </w:tcBorders>
                  <w:vAlign w:val="center"/>
                </w:tcPr>
                <w:p>
                  <w:pPr>
                    <w:spacing w:line="240" w:lineRule="auto"/>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824" w:type="pct"/>
                  <w:gridSpan w:val="2"/>
                  <w:tcBorders>
                    <w:tl2br w:val="nil"/>
                    <w:tr2bl w:val="nil"/>
                  </w:tcBorders>
                  <w:vAlign w:val="center"/>
                </w:tcPr>
                <w:p>
                  <w:pPr>
                    <w:spacing w:line="240" w:lineRule="auto"/>
                    <w:jc w:val="center"/>
                    <w:textAlignment w:val="baseline"/>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9" w:type="pct"/>
                <w:trHeight w:val="246" w:hRule="atLeast"/>
                <w:jc w:val="center"/>
              </w:trPr>
              <w:tc>
                <w:tcPr>
                  <w:tcW w:w="4165" w:type="pct"/>
                  <w:gridSpan w:val="4"/>
                  <w:tcBorders>
                    <w:tl2br w:val="nil"/>
                    <w:tr2bl w:val="nil"/>
                  </w:tcBorders>
                  <w:vAlign w:val="center"/>
                </w:tcPr>
                <w:p>
                  <w:pPr>
                    <w:spacing w:line="240" w:lineRule="auto"/>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合计</w:t>
                  </w:r>
                </w:p>
              </w:tc>
              <w:tc>
                <w:tcPr>
                  <w:tcW w:w="824" w:type="pct"/>
                  <w:gridSpan w:val="2"/>
                  <w:tcBorders>
                    <w:tl2br w:val="nil"/>
                    <w:tr2bl w:val="nil"/>
                  </w:tcBorders>
                  <w:vAlign w:val="center"/>
                </w:tcPr>
                <w:p>
                  <w:pPr>
                    <w:spacing w:line="240" w:lineRule="auto"/>
                    <w:jc w:val="center"/>
                    <w:textAlignment w:val="baseline"/>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6.3</w:t>
                  </w:r>
                </w:p>
              </w:tc>
            </w:tr>
          </w:tbl>
          <w:p>
            <w:pPr>
              <w:pStyle w:val="7"/>
              <w:spacing w:beforeLines="50"/>
              <w:jc w:val="center"/>
              <w:rPr>
                <w:rFonts w:hint="default" w:ascii="Times New Roman" w:hAnsi="Times New Roman" w:eastAsia="宋体" w:cs="Times New Roman"/>
                <w:b/>
                <w:bCs w:val="0"/>
                <w:sz w:val="24"/>
                <w:szCs w:val="24"/>
                <w:lang w:val="en-US" w:eastAsia="zh-CN"/>
              </w:rPr>
            </w:pPr>
            <w:r>
              <w:rPr>
                <w:rFonts w:hint="default" w:ascii="Times New Roman" w:hAnsi="Times New Roman" w:eastAsia="宋体" w:cs="Times New Roman"/>
                <w:b/>
                <w:bCs w:val="0"/>
                <w:sz w:val="24"/>
                <w:szCs w:val="24"/>
                <w:lang w:val="en-US" w:eastAsia="zh-CN"/>
              </w:rPr>
              <w:t>表</w:t>
            </w:r>
            <w:r>
              <w:rPr>
                <w:rFonts w:hint="eastAsia" w:ascii="Times New Roman" w:hAnsi="Times New Roman" w:eastAsia="宋体" w:cs="Times New Roman"/>
                <w:b/>
                <w:bCs w:val="0"/>
                <w:sz w:val="24"/>
                <w:szCs w:val="24"/>
                <w:lang w:val="en-US" w:eastAsia="zh-CN"/>
              </w:rPr>
              <w:t>3</w:t>
            </w:r>
            <w:r>
              <w:rPr>
                <w:rFonts w:hint="eastAsia" w:cs="Times New Roman"/>
                <w:b/>
                <w:bCs w:val="0"/>
                <w:sz w:val="24"/>
                <w:szCs w:val="24"/>
                <w:lang w:val="en-US" w:eastAsia="zh-CN"/>
              </w:rPr>
              <w:t>6</w:t>
            </w:r>
            <w:r>
              <w:rPr>
                <w:rFonts w:hint="default" w:ascii="Times New Roman" w:hAnsi="Times New Roman" w:eastAsia="宋体" w:cs="Times New Roman"/>
                <w:b/>
                <w:bCs w:val="0"/>
                <w:sz w:val="24"/>
                <w:szCs w:val="24"/>
                <w:lang w:val="en-US" w:eastAsia="zh-CN"/>
              </w:rPr>
              <w:t xml:space="preserve">  项目竣工验收一览表</w:t>
            </w:r>
          </w:p>
          <w:tbl>
            <w:tblPr>
              <w:tblStyle w:val="23"/>
              <w:tblW w:w="4997"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28" w:type="dxa"/>
                <w:left w:w="57" w:type="dxa"/>
                <w:bottom w:w="28" w:type="dxa"/>
                <w:right w:w="57" w:type="dxa"/>
              </w:tblCellMar>
            </w:tblPr>
            <w:tblGrid>
              <w:gridCol w:w="658"/>
              <w:gridCol w:w="1240"/>
              <w:gridCol w:w="2400"/>
              <w:gridCol w:w="1210"/>
              <w:gridCol w:w="355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23" w:hRule="atLeast"/>
                <w:jc w:val="center"/>
              </w:trPr>
              <w:tc>
                <w:tcPr>
                  <w:tcW w:w="362"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项目</w:t>
                  </w:r>
                </w:p>
              </w:tc>
              <w:tc>
                <w:tcPr>
                  <w:tcW w:w="683"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污染物名称</w:t>
                  </w:r>
                </w:p>
              </w:tc>
              <w:tc>
                <w:tcPr>
                  <w:tcW w:w="1323"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验收内容</w:t>
                  </w:r>
                </w:p>
              </w:tc>
              <w:tc>
                <w:tcPr>
                  <w:tcW w:w="667"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治理效果</w:t>
                  </w:r>
                </w:p>
              </w:tc>
              <w:tc>
                <w:tcPr>
                  <w:tcW w:w="1962"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验收标准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23" w:hRule="atLeast"/>
                <w:jc w:val="center"/>
              </w:trPr>
              <w:tc>
                <w:tcPr>
                  <w:tcW w:w="362"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废水</w:t>
                  </w:r>
                </w:p>
              </w:tc>
              <w:tc>
                <w:tcPr>
                  <w:tcW w:w="683" w:type="pct"/>
                  <w:tcBorders>
                    <w:tl2br w:val="nil"/>
                    <w:tr2bl w:val="nil"/>
                  </w:tcBorders>
                  <w:vAlign w:val="center"/>
                </w:tcPr>
                <w:p>
                  <w:pPr>
                    <w:spacing w:line="240" w:lineRule="auto"/>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生活污水</w:t>
                  </w:r>
                </w:p>
              </w:tc>
              <w:tc>
                <w:tcPr>
                  <w:tcW w:w="1323" w:type="pct"/>
                  <w:tcBorders>
                    <w:tl2br w:val="nil"/>
                    <w:tr2bl w:val="nil"/>
                  </w:tcBorders>
                  <w:vAlign w:val="center"/>
                </w:tcPr>
                <w:p>
                  <w:pPr>
                    <w:spacing w:line="240" w:lineRule="auto"/>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生活污水</w:t>
                  </w:r>
                  <w:r>
                    <w:rPr>
                      <w:rFonts w:hint="eastAsia" w:ascii="Times New Roman" w:hAnsi="Times New Roman" w:eastAsia="宋体" w:cs="Times New Roman"/>
                      <w:sz w:val="21"/>
                      <w:szCs w:val="21"/>
                      <w:lang w:eastAsia="zh-CN"/>
                    </w:rPr>
                    <w:t>经豫中地质勘查工程公司平顶山第四工程处</w:t>
                  </w:r>
                  <w:r>
                    <w:rPr>
                      <w:rFonts w:hint="eastAsia" w:ascii="Times New Roman" w:hAnsi="Times New Roman" w:eastAsia="宋体" w:cs="Times New Roman"/>
                      <w:sz w:val="21"/>
                      <w:szCs w:val="21"/>
                      <w:lang w:val="en-US" w:eastAsia="zh-CN"/>
                    </w:rPr>
                    <w:t>院内</w:t>
                  </w:r>
                  <w:r>
                    <w:rPr>
                      <w:rFonts w:hint="eastAsia" w:ascii="Times New Roman" w:hAnsi="Times New Roman" w:eastAsia="宋体" w:cs="Times New Roman"/>
                      <w:sz w:val="21"/>
                      <w:szCs w:val="21"/>
                      <w:lang w:eastAsia="zh-CN"/>
                    </w:rPr>
                    <w:t>化粪池处理后排入附近市政管网</w:t>
                  </w:r>
                </w:p>
              </w:tc>
              <w:tc>
                <w:tcPr>
                  <w:tcW w:w="667" w:type="pct"/>
                  <w:tcBorders>
                    <w:tl2br w:val="nil"/>
                    <w:tr2bl w:val="nil"/>
                  </w:tcBorders>
                  <w:vAlign w:val="center"/>
                </w:tcPr>
                <w:p>
                  <w:pPr>
                    <w:spacing w:line="240" w:lineRule="auto"/>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达标排放</w:t>
                  </w:r>
                </w:p>
              </w:tc>
              <w:tc>
                <w:tcPr>
                  <w:tcW w:w="1962" w:type="pct"/>
                  <w:tcBorders>
                    <w:tl2br w:val="nil"/>
                    <w:tr2bl w:val="nil"/>
                  </w:tcBorders>
                  <w:vAlign w:val="center"/>
                </w:tcPr>
                <w:p>
                  <w:pPr>
                    <w:spacing w:line="240" w:lineRule="auto"/>
                    <w:jc w:val="center"/>
                    <w:textAlignment w:val="baseline"/>
                    <w:rPr>
                      <w:rFonts w:hint="eastAsia"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《污水综合排放标准》GB8978-1996表4</w:t>
                  </w:r>
                  <w:r>
                    <w:rPr>
                      <w:rFonts w:hint="eastAsia" w:ascii="Times New Roman" w:hAnsi="Times New Roman" w:eastAsia="宋体" w:cs="Times New Roman"/>
                      <w:sz w:val="21"/>
                      <w:szCs w:val="21"/>
                      <w:lang w:eastAsia="zh-CN"/>
                    </w:rPr>
                    <w:t>三</w:t>
                  </w:r>
                  <w:r>
                    <w:rPr>
                      <w:rFonts w:hint="default" w:ascii="Times New Roman" w:hAnsi="Times New Roman" w:eastAsia="宋体" w:cs="Times New Roman"/>
                      <w:sz w:val="21"/>
                      <w:szCs w:val="21"/>
                      <w:lang w:eastAsia="zh-CN"/>
                    </w:rPr>
                    <w:t>级标准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312" w:hRule="atLeast"/>
                <w:jc w:val="center"/>
              </w:trPr>
              <w:tc>
                <w:tcPr>
                  <w:tcW w:w="362" w:type="pct"/>
                  <w:vMerge w:val="restar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废气</w:t>
                  </w:r>
                </w:p>
              </w:tc>
              <w:tc>
                <w:tcPr>
                  <w:tcW w:w="683" w:type="pct"/>
                  <w:vMerge w:val="restar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焊接烟尘</w:t>
                  </w:r>
                </w:p>
              </w:tc>
              <w:tc>
                <w:tcPr>
                  <w:tcW w:w="1323" w:type="pct"/>
                  <w:vMerge w:val="restart"/>
                  <w:tcBorders>
                    <w:tl2br w:val="nil"/>
                    <w:tr2bl w:val="nil"/>
                  </w:tcBorders>
                  <w:vAlign w:val="center"/>
                </w:tcPr>
                <w:p>
                  <w:pPr>
                    <w:spacing w:line="240" w:lineRule="auto"/>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val="en-US" w:eastAsia="zh-CN"/>
                    </w:rPr>
                    <w:t>1套</w:t>
                  </w:r>
                  <w:r>
                    <w:rPr>
                      <w:rFonts w:hint="eastAsia" w:ascii="Times New Roman" w:hAnsi="Times New Roman" w:eastAsia="宋体" w:cs="Times New Roman"/>
                      <w:sz w:val="21"/>
                      <w:szCs w:val="21"/>
                      <w:lang w:eastAsia="zh-CN"/>
                    </w:rPr>
                    <w:t>移动式</w:t>
                  </w:r>
                  <w:r>
                    <w:rPr>
                      <w:rFonts w:hint="default" w:ascii="Times New Roman" w:hAnsi="Times New Roman" w:eastAsia="宋体" w:cs="Times New Roman"/>
                      <w:sz w:val="21"/>
                      <w:szCs w:val="21"/>
                    </w:rPr>
                    <w:t>焊接烟尘处理器</w:t>
                  </w:r>
                </w:p>
              </w:tc>
              <w:tc>
                <w:tcPr>
                  <w:tcW w:w="667" w:type="pct"/>
                  <w:vMerge w:val="restar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达标排放</w:t>
                  </w:r>
                </w:p>
              </w:tc>
              <w:tc>
                <w:tcPr>
                  <w:tcW w:w="1962" w:type="pct"/>
                  <w:vMerge w:val="restart"/>
                  <w:tcBorders>
                    <w:tl2br w:val="nil"/>
                    <w:tr2bl w:val="nil"/>
                  </w:tcBorders>
                  <w:vAlign w:val="center"/>
                </w:tcPr>
                <w:p>
                  <w:pPr>
                    <w:spacing w:line="240" w:lineRule="auto"/>
                    <w:jc w:val="center"/>
                    <w:rPr>
                      <w:rFonts w:hint="eastAsia" w:ascii="Times New Roman" w:hAnsi="Times New Roman" w:eastAsia="宋体" w:cs="Times New Roman"/>
                      <w:sz w:val="21"/>
                      <w:szCs w:val="21"/>
                      <w:lang w:eastAsia="zh-CN"/>
                    </w:rPr>
                  </w:pPr>
                  <w:r>
                    <w:rPr>
                      <w:rFonts w:hint="default" w:ascii="Times New Roman" w:hAnsi="Times New Roman" w:eastAsia="宋体" w:cs="Times New Roman"/>
                      <w:sz w:val="21"/>
                      <w:szCs w:val="21"/>
                    </w:rPr>
                    <w:t>《大气污染物综合排放标准（GB16297-1996）表2</w:t>
                  </w:r>
                  <w:r>
                    <w:rPr>
                      <w:rFonts w:hint="eastAsia" w:ascii="Times New Roman" w:hAnsi="Times New Roman" w:eastAsia="宋体" w:cs="Times New Roman"/>
                      <w:sz w:val="21"/>
                      <w:szCs w:val="21"/>
                      <w:lang w:eastAsia="zh-CN"/>
                    </w:rPr>
                    <w:t>标准；厂界</w:t>
                  </w:r>
                  <w:r>
                    <w:rPr>
                      <w:rFonts w:hint="default" w:ascii="Times New Roman" w:hAnsi="Times New Roman" w:eastAsia="宋体" w:cs="Times New Roman"/>
                      <w:sz w:val="21"/>
                      <w:szCs w:val="21"/>
                    </w:rPr>
                    <w:t>无组织颗粒物浓度≤1.0mg/m</w:t>
                  </w:r>
                  <w:r>
                    <w:rPr>
                      <w:rFonts w:hint="default" w:ascii="Times New Roman" w:hAnsi="Times New Roman" w:eastAsia="宋体" w:cs="Times New Roman"/>
                      <w:sz w:val="21"/>
                      <w:szCs w:val="21"/>
                      <w:vertAlign w:val="superscript"/>
                    </w:rPr>
                    <w:t>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312" w:hRule="atLeast"/>
                <w:jc w:val="center"/>
              </w:trPr>
              <w:tc>
                <w:tcPr>
                  <w:tcW w:w="362" w:type="pct"/>
                  <w:vMerge w:val="continue"/>
                  <w:tcBorders>
                    <w:tl2br w:val="nil"/>
                    <w:tr2bl w:val="nil"/>
                  </w:tcBorders>
                  <w:vAlign w:val="center"/>
                </w:tcPr>
                <w:p>
                  <w:pPr>
                    <w:spacing w:line="240" w:lineRule="auto"/>
                    <w:jc w:val="center"/>
                    <w:rPr>
                      <w:rFonts w:hint="default" w:ascii="Times New Roman" w:hAnsi="Times New Roman" w:eastAsia="宋体" w:cs="Times New Roman"/>
                      <w:sz w:val="21"/>
                      <w:szCs w:val="21"/>
                    </w:rPr>
                  </w:pPr>
                </w:p>
              </w:tc>
              <w:tc>
                <w:tcPr>
                  <w:tcW w:w="683" w:type="pct"/>
                  <w:vMerge w:val="continue"/>
                  <w:tcBorders>
                    <w:tl2br w:val="nil"/>
                    <w:tr2bl w:val="nil"/>
                  </w:tcBorders>
                  <w:vAlign w:val="center"/>
                </w:tcPr>
                <w:p>
                  <w:pPr>
                    <w:spacing w:line="240" w:lineRule="auto"/>
                    <w:jc w:val="center"/>
                    <w:rPr>
                      <w:rFonts w:hint="default" w:ascii="Times New Roman" w:hAnsi="Times New Roman" w:eastAsia="宋体" w:cs="Times New Roman"/>
                      <w:sz w:val="21"/>
                      <w:szCs w:val="21"/>
                    </w:rPr>
                  </w:pPr>
                </w:p>
              </w:tc>
              <w:tc>
                <w:tcPr>
                  <w:tcW w:w="1323" w:type="pct"/>
                  <w:vMerge w:val="continue"/>
                  <w:tcBorders>
                    <w:tl2br w:val="nil"/>
                    <w:tr2bl w:val="nil"/>
                  </w:tcBorders>
                  <w:vAlign w:val="center"/>
                </w:tcPr>
                <w:p>
                  <w:pPr>
                    <w:spacing w:line="240" w:lineRule="auto"/>
                    <w:jc w:val="center"/>
                    <w:rPr>
                      <w:rFonts w:hint="eastAsia" w:ascii="Times New Roman" w:hAnsi="Times New Roman" w:eastAsia="宋体" w:cs="Times New Roman"/>
                      <w:sz w:val="21"/>
                      <w:szCs w:val="21"/>
                      <w:lang w:val="en-US" w:eastAsia="zh-CN"/>
                    </w:rPr>
                  </w:pPr>
                </w:p>
              </w:tc>
              <w:tc>
                <w:tcPr>
                  <w:tcW w:w="667" w:type="pct"/>
                  <w:vMerge w:val="continue"/>
                  <w:tcBorders>
                    <w:tl2br w:val="nil"/>
                    <w:tr2bl w:val="nil"/>
                  </w:tcBorders>
                  <w:vAlign w:val="center"/>
                </w:tcPr>
                <w:p>
                  <w:pPr>
                    <w:spacing w:line="240" w:lineRule="auto"/>
                    <w:jc w:val="center"/>
                    <w:rPr>
                      <w:rFonts w:hint="default" w:ascii="Times New Roman" w:hAnsi="Times New Roman" w:eastAsia="宋体" w:cs="Times New Roman"/>
                      <w:sz w:val="21"/>
                      <w:szCs w:val="21"/>
                    </w:rPr>
                  </w:pPr>
                </w:p>
              </w:tc>
              <w:tc>
                <w:tcPr>
                  <w:tcW w:w="1962" w:type="pct"/>
                  <w:vMerge w:val="continue"/>
                  <w:tcBorders>
                    <w:tl2br w:val="nil"/>
                    <w:tr2bl w:val="nil"/>
                  </w:tcBorders>
                  <w:vAlign w:val="center"/>
                </w:tcPr>
                <w:p>
                  <w:pPr>
                    <w:spacing w:line="240" w:lineRule="auto"/>
                    <w:jc w:val="center"/>
                    <w:rPr>
                      <w:rFonts w:hint="default" w:ascii="Times New Roman" w:hAnsi="Times New Roman" w:eastAsia="宋体"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28" w:type="dxa"/>
                  <w:left w:w="57" w:type="dxa"/>
                  <w:bottom w:w="28" w:type="dxa"/>
                  <w:right w:w="57" w:type="dxa"/>
                </w:tblCellMar>
              </w:tblPrEx>
              <w:trPr>
                <w:cantSplit/>
                <w:trHeight w:val="23" w:hRule="atLeast"/>
                <w:jc w:val="center"/>
              </w:trPr>
              <w:tc>
                <w:tcPr>
                  <w:tcW w:w="362" w:type="pct"/>
                  <w:vMerge w:val="restar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固废</w:t>
                  </w:r>
                </w:p>
              </w:tc>
              <w:tc>
                <w:tcPr>
                  <w:tcW w:w="683" w:type="pct"/>
                  <w:tcBorders>
                    <w:tl2br w:val="nil"/>
                    <w:tr2bl w:val="nil"/>
                  </w:tcBorders>
                  <w:vAlign w:val="center"/>
                </w:tcPr>
                <w:p>
                  <w:pPr>
                    <w:spacing w:line="240" w:lineRule="auto"/>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危废</w:t>
                  </w:r>
                </w:p>
              </w:tc>
              <w:tc>
                <w:tcPr>
                  <w:tcW w:w="1323"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设立危废暂存间</w:t>
                  </w:r>
                  <w:r>
                    <w:rPr>
                      <w:rFonts w:hint="eastAsia" w:ascii="Times New Roman" w:hAnsi="Times New Roman" w:eastAsia="宋体" w:cs="Times New Roman"/>
                      <w:sz w:val="21"/>
                      <w:szCs w:val="21"/>
                      <w:lang w:val="en-US" w:eastAsia="zh-CN"/>
                    </w:rPr>
                    <w:t>1座，面积10</w:t>
                  </w:r>
                  <w:r>
                    <w:rPr>
                      <w:rFonts w:hint="default" w:ascii="Times New Roman" w:hAnsi="Times New Roman" w:eastAsia="宋体" w:cs="Times New Roman"/>
                      <w:sz w:val="21"/>
                      <w:szCs w:val="21"/>
                    </w:rPr>
                    <w:t>m</w:t>
                  </w:r>
                  <w:r>
                    <w:rPr>
                      <w:rFonts w:hint="default" w:ascii="Times New Roman" w:hAnsi="Times New Roman" w:eastAsia="宋体" w:cs="Times New Roman"/>
                      <w:sz w:val="21"/>
                      <w:szCs w:val="21"/>
                      <w:vertAlign w:val="superscript"/>
                    </w:rPr>
                    <w:t>2</w:t>
                  </w:r>
                  <w:r>
                    <w:rPr>
                      <w:rFonts w:hint="default" w:ascii="Times New Roman" w:hAnsi="Times New Roman" w:eastAsia="宋体" w:cs="Times New Roman"/>
                      <w:sz w:val="21"/>
                      <w:szCs w:val="21"/>
                    </w:rPr>
                    <w:t>，地面采取防渗措施，内设密闭容器。</w:t>
                  </w:r>
                </w:p>
              </w:tc>
              <w:tc>
                <w:tcPr>
                  <w:tcW w:w="667" w:type="pct"/>
                  <w:tcBorders>
                    <w:tl2br w:val="nil"/>
                    <w:tr2bl w:val="nil"/>
                  </w:tcBorders>
                  <w:vAlign w:val="center"/>
                </w:tcPr>
                <w:p>
                  <w:pPr>
                    <w:spacing w:line="240" w:lineRule="auto"/>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合理处置</w:t>
                  </w:r>
                </w:p>
              </w:tc>
              <w:tc>
                <w:tcPr>
                  <w:tcW w:w="1962"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rPr>
                    <w:t>危险固废执行《危险废物贮存污染物标准》</w:t>
                  </w:r>
                  <w:r>
                    <w:rPr>
                      <w:rFonts w:hint="default" w:ascii="Times New Roman" w:hAnsi="Times New Roman" w:eastAsia="宋体" w:cs="Times New Roman"/>
                      <w:sz w:val="21"/>
                      <w:szCs w:val="21"/>
                    </w:rPr>
                    <w:t>（GB 18</w:t>
                  </w:r>
                  <w:r>
                    <w:rPr>
                      <w:rFonts w:hint="eastAsia" w:ascii="Times New Roman" w:hAnsi="Times New Roman" w:eastAsia="宋体" w:cs="Times New Roman"/>
                      <w:sz w:val="21"/>
                      <w:szCs w:val="21"/>
                    </w:rPr>
                    <w:t>597</w:t>
                  </w:r>
                  <w:r>
                    <w:rPr>
                      <w:rFonts w:hint="default" w:ascii="Times New Roman" w:hAnsi="Times New Roman" w:eastAsia="宋体" w:cs="Times New Roman"/>
                      <w:sz w:val="21"/>
                      <w:szCs w:val="21"/>
                    </w:rPr>
                    <w:t>-2001）及其修改单</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28" w:type="dxa"/>
                  <w:left w:w="57" w:type="dxa"/>
                  <w:bottom w:w="28" w:type="dxa"/>
                  <w:right w:w="57" w:type="dxa"/>
                </w:tblCellMar>
              </w:tblPrEx>
              <w:trPr>
                <w:cantSplit/>
                <w:trHeight w:val="23" w:hRule="atLeast"/>
                <w:jc w:val="center"/>
              </w:trPr>
              <w:tc>
                <w:tcPr>
                  <w:tcW w:w="362" w:type="pct"/>
                  <w:vMerge w:val="continue"/>
                  <w:tcBorders>
                    <w:tl2br w:val="nil"/>
                    <w:tr2bl w:val="nil"/>
                  </w:tcBorders>
                  <w:vAlign w:val="center"/>
                </w:tcPr>
                <w:p>
                  <w:pPr>
                    <w:spacing w:line="240" w:lineRule="auto"/>
                    <w:jc w:val="center"/>
                    <w:rPr>
                      <w:rFonts w:hint="default" w:ascii="Times New Roman" w:hAnsi="Times New Roman" w:eastAsia="宋体" w:cs="Times New Roman"/>
                      <w:sz w:val="21"/>
                      <w:szCs w:val="21"/>
                    </w:rPr>
                  </w:pPr>
                </w:p>
              </w:tc>
              <w:tc>
                <w:tcPr>
                  <w:tcW w:w="683"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一般固废</w:t>
                  </w:r>
                </w:p>
              </w:tc>
              <w:tc>
                <w:tcPr>
                  <w:tcW w:w="1323"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设立固废暂存间</w:t>
                  </w:r>
                  <w:r>
                    <w:rPr>
                      <w:rFonts w:hint="eastAsia" w:ascii="Times New Roman" w:hAnsi="Times New Roman" w:eastAsia="宋体" w:cs="Times New Roman"/>
                      <w:sz w:val="21"/>
                      <w:szCs w:val="21"/>
                      <w:lang w:val="en-US" w:eastAsia="zh-CN"/>
                    </w:rPr>
                    <w:t>1</w:t>
                  </w:r>
                  <w:r>
                    <w:rPr>
                      <w:rFonts w:hint="default" w:ascii="Times New Roman" w:hAnsi="Times New Roman" w:eastAsia="宋体" w:cs="Times New Roman"/>
                      <w:sz w:val="21"/>
                      <w:szCs w:val="21"/>
                    </w:rPr>
                    <w:t>0m</w:t>
                  </w:r>
                  <w:r>
                    <w:rPr>
                      <w:rFonts w:hint="default" w:ascii="Times New Roman" w:hAnsi="Times New Roman" w:eastAsia="宋体" w:cs="Times New Roman"/>
                      <w:sz w:val="21"/>
                      <w:szCs w:val="21"/>
                      <w:vertAlign w:val="superscript"/>
                    </w:rPr>
                    <w:t>2</w:t>
                  </w:r>
                </w:p>
              </w:tc>
              <w:tc>
                <w:tcPr>
                  <w:tcW w:w="667" w:type="pct"/>
                  <w:tcBorders>
                    <w:tl2br w:val="nil"/>
                    <w:tr2bl w:val="nil"/>
                  </w:tcBorders>
                  <w:vAlign w:val="center"/>
                </w:tcPr>
                <w:p>
                  <w:pPr>
                    <w:spacing w:line="240" w:lineRule="auto"/>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合理处置</w:t>
                  </w:r>
                </w:p>
              </w:tc>
              <w:tc>
                <w:tcPr>
                  <w:tcW w:w="1962" w:type="pct"/>
                  <w:vMerge w:val="restar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eastAsia" w:ascii="Times New Roman" w:hAnsi="Times New Roman" w:eastAsia="宋体" w:cs="Times New Roman"/>
                      <w:bCs/>
                      <w:kern w:val="2"/>
                      <w:sz w:val="21"/>
                      <w:szCs w:val="24"/>
                      <w:lang w:val="en-US" w:eastAsia="zh-CN" w:bidi="ar"/>
                    </w:rPr>
                    <w:t>《一般工业固体废物贮存、处置场污染控制标准》（</w:t>
                  </w:r>
                  <w:r>
                    <w:rPr>
                      <w:rFonts w:hint="default" w:ascii="Times New Roman" w:hAnsi="Times New Roman" w:eastAsia="宋体" w:cs="Times New Roman"/>
                      <w:bCs/>
                      <w:kern w:val="2"/>
                      <w:sz w:val="21"/>
                      <w:szCs w:val="24"/>
                      <w:lang w:val="en-US" w:eastAsia="zh-CN" w:bidi="ar"/>
                    </w:rPr>
                    <w:t>GB18597-2001</w:t>
                  </w:r>
                  <w:r>
                    <w:rPr>
                      <w:rFonts w:hint="eastAsia" w:ascii="Times New Roman" w:hAnsi="Times New Roman" w:eastAsia="宋体" w:cs="Times New Roman"/>
                      <w:bCs/>
                      <w:kern w:val="2"/>
                      <w:sz w:val="21"/>
                      <w:szCs w:val="24"/>
                      <w:lang w:val="en-US" w:eastAsia="zh-CN" w:bidi="ar"/>
                    </w:rPr>
                    <w:t>）及其修改单</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28" w:type="dxa"/>
                  <w:left w:w="57" w:type="dxa"/>
                  <w:bottom w:w="28" w:type="dxa"/>
                  <w:right w:w="57" w:type="dxa"/>
                </w:tblCellMar>
              </w:tblPrEx>
              <w:trPr>
                <w:cantSplit/>
                <w:trHeight w:val="23" w:hRule="atLeast"/>
                <w:jc w:val="center"/>
              </w:trPr>
              <w:tc>
                <w:tcPr>
                  <w:tcW w:w="362" w:type="pct"/>
                  <w:vMerge w:val="continue"/>
                  <w:tcBorders>
                    <w:tl2br w:val="nil"/>
                    <w:tr2bl w:val="nil"/>
                  </w:tcBorders>
                  <w:vAlign w:val="center"/>
                </w:tcPr>
                <w:p>
                  <w:pPr>
                    <w:spacing w:line="240" w:lineRule="auto"/>
                    <w:jc w:val="center"/>
                    <w:rPr>
                      <w:rFonts w:hint="default" w:ascii="Times New Roman" w:hAnsi="Times New Roman" w:eastAsia="宋体" w:cs="Times New Roman"/>
                      <w:sz w:val="21"/>
                      <w:szCs w:val="21"/>
                    </w:rPr>
                  </w:pPr>
                </w:p>
              </w:tc>
              <w:tc>
                <w:tcPr>
                  <w:tcW w:w="683" w:type="pct"/>
                  <w:tcBorders>
                    <w:tl2br w:val="nil"/>
                    <w:tr2bl w:val="nil"/>
                  </w:tcBorders>
                  <w:vAlign w:val="center"/>
                </w:tcPr>
                <w:p>
                  <w:pPr>
                    <w:widowControl/>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生活垃圾</w:t>
                  </w:r>
                </w:p>
              </w:tc>
              <w:tc>
                <w:tcPr>
                  <w:tcW w:w="1323" w:type="pct"/>
                  <w:tcBorders>
                    <w:tl2br w:val="nil"/>
                    <w:tr2bl w:val="nil"/>
                  </w:tcBorders>
                  <w:vAlign w:val="center"/>
                </w:tcPr>
                <w:p>
                  <w:pPr>
                    <w:widowControl/>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垃圾箱</w:t>
                  </w:r>
                  <w:r>
                    <w:rPr>
                      <w:rFonts w:hint="eastAsia" w:ascii="Times New Roman" w:hAnsi="Times New Roman" w:eastAsia="宋体" w:cs="Times New Roman"/>
                      <w:sz w:val="21"/>
                      <w:szCs w:val="21"/>
                      <w:lang w:eastAsia="zh-CN"/>
                    </w:rPr>
                    <w:t>若干，</w:t>
                  </w:r>
                  <w:r>
                    <w:rPr>
                      <w:rFonts w:hint="default" w:ascii="Times New Roman" w:hAnsi="Times New Roman" w:eastAsia="宋体" w:cs="Times New Roman"/>
                      <w:sz w:val="21"/>
                      <w:szCs w:val="21"/>
                    </w:rPr>
                    <w:t>集中收集，由环卫部门处理</w:t>
                  </w:r>
                </w:p>
              </w:tc>
              <w:tc>
                <w:tcPr>
                  <w:tcW w:w="667" w:type="pct"/>
                  <w:tcBorders>
                    <w:tl2br w:val="nil"/>
                    <w:tr2bl w:val="nil"/>
                  </w:tcBorders>
                  <w:vAlign w:val="center"/>
                </w:tcPr>
                <w:p>
                  <w:pPr>
                    <w:spacing w:line="240" w:lineRule="auto"/>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合理处置</w:t>
                  </w:r>
                </w:p>
              </w:tc>
              <w:tc>
                <w:tcPr>
                  <w:tcW w:w="1962" w:type="pct"/>
                  <w:vMerge w:val="continue"/>
                  <w:tcBorders>
                    <w:tl2br w:val="nil"/>
                    <w:tr2bl w:val="nil"/>
                  </w:tcBorders>
                  <w:vAlign w:val="center"/>
                </w:tcPr>
                <w:p>
                  <w:pPr>
                    <w:spacing w:line="240" w:lineRule="auto"/>
                    <w:jc w:val="center"/>
                    <w:rPr>
                      <w:rFonts w:hint="default" w:ascii="Times New Roman" w:hAnsi="Times New Roman" w:eastAsia="宋体"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28" w:type="dxa"/>
                  <w:left w:w="57" w:type="dxa"/>
                  <w:bottom w:w="28" w:type="dxa"/>
                  <w:right w:w="57" w:type="dxa"/>
                </w:tblCellMar>
              </w:tblPrEx>
              <w:trPr>
                <w:cantSplit/>
                <w:trHeight w:val="23" w:hRule="atLeast"/>
                <w:jc w:val="center"/>
              </w:trPr>
              <w:tc>
                <w:tcPr>
                  <w:tcW w:w="362" w:type="pct"/>
                  <w:tcBorders>
                    <w:tl2br w:val="nil"/>
                    <w:tr2bl w:val="nil"/>
                  </w:tcBorders>
                  <w:vAlign w:val="center"/>
                </w:tcPr>
                <w:p>
                  <w:pPr>
                    <w:spacing w:line="240" w:lineRule="auto"/>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噪声</w:t>
                  </w:r>
                </w:p>
              </w:tc>
              <w:tc>
                <w:tcPr>
                  <w:tcW w:w="683" w:type="pct"/>
                  <w:tcBorders>
                    <w:tl2br w:val="nil"/>
                    <w:tr2bl w:val="nil"/>
                  </w:tcBorders>
                  <w:vAlign w:val="center"/>
                </w:tcPr>
                <w:p>
                  <w:pPr>
                    <w:widowControl/>
                    <w:spacing w:line="240" w:lineRule="auto"/>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设备噪声</w:t>
                  </w:r>
                </w:p>
              </w:tc>
              <w:tc>
                <w:tcPr>
                  <w:tcW w:w="1323" w:type="pct"/>
                  <w:tcBorders>
                    <w:tl2br w:val="nil"/>
                    <w:tr2bl w:val="nil"/>
                  </w:tcBorders>
                  <w:vAlign w:val="center"/>
                </w:tcPr>
                <w:p>
                  <w:pPr>
                    <w:widowControl/>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基础减振、厂房隔声</w:t>
                  </w:r>
                </w:p>
              </w:tc>
              <w:tc>
                <w:tcPr>
                  <w:tcW w:w="667" w:type="pct"/>
                  <w:tcBorders>
                    <w:tl2br w:val="nil"/>
                    <w:tr2bl w:val="nil"/>
                  </w:tcBorders>
                  <w:vAlign w:val="center"/>
                </w:tcPr>
                <w:p>
                  <w:pPr>
                    <w:spacing w:line="240" w:lineRule="auto"/>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达标排放</w:t>
                  </w:r>
                </w:p>
              </w:tc>
              <w:tc>
                <w:tcPr>
                  <w:tcW w:w="1962" w:type="pct"/>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ascii="Times New Roman" w:hAnsi="Times New Roman" w:eastAsia="宋体"/>
                    </w:rPr>
                    <w:t>《工业企业厂界环境噪声排放标准》（GB12348-2008）昼间</w:t>
                  </w:r>
                  <w:r>
                    <w:rPr>
                      <w:rFonts w:hint="eastAsia"/>
                      <w:lang w:val="en-US" w:eastAsia="zh-CN"/>
                    </w:rPr>
                    <w:t>2类</w:t>
                  </w:r>
                  <w:r>
                    <w:rPr>
                      <w:rFonts w:ascii="Times New Roman" w:hAnsi="Times New Roman" w:eastAsia="宋体"/>
                    </w:rPr>
                    <w:t>标准限值</w:t>
                  </w:r>
                </w:p>
              </w:tc>
            </w:tr>
          </w:tbl>
          <w:p>
            <w:pPr>
              <w:pStyle w:val="2"/>
            </w:pPr>
          </w:p>
        </w:tc>
      </w:tr>
    </w:tbl>
    <w:p>
      <w:pPr>
        <w:spacing w:line="360" w:lineRule="auto"/>
        <w:rPr>
          <w:rFonts w:eastAsia="黑体"/>
          <w:b/>
          <w:color w:val="000000"/>
          <w:sz w:val="30"/>
        </w:rPr>
      </w:pPr>
      <w:r>
        <w:rPr>
          <w:rFonts w:eastAsia="黑体"/>
          <w:b/>
          <w:color w:val="000000"/>
          <w:sz w:val="30"/>
        </w:rPr>
        <w:t>建设项目拟采取的防治措施及预期治理效果</w:t>
      </w:r>
    </w:p>
    <w:tbl>
      <w:tblPr>
        <w:tblStyle w:val="23"/>
        <w:tblW w:w="9283" w:type="dxa"/>
        <w:tblInd w:w="3"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46"/>
        <w:gridCol w:w="1286"/>
        <w:gridCol w:w="1752"/>
        <w:gridCol w:w="2642"/>
        <w:gridCol w:w="265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37" w:hRule="atLeast"/>
        </w:trPr>
        <w:tc>
          <w:tcPr>
            <w:tcW w:w="946" w:type="dxa"/>
            <w:tcBorders>
              <w:bottom w:val="single" w:color="auto" w:sz="4" w:space="0"/>
              <w:tl2br w:val="single" w:color="auto" w:sz="4" w:space="0"/>
            </w:tcBorders>
          </w:tcPr>
          <w:p>
            <w:pPr>
              <w:jc w:val="right"/>
              <w:rPr>
                <w:rFonts w:ascii="Times New Roman" w:hAnsi="Times New Roman" w:eastAsia="宋体"/>
                <w:b/>
                <w:color w:val="000000"/>
                <w:sz w:val="24"/>
              </w:rPr>
            </w:pPr>
            <w:r>
              <w:rPr>
                <w:rFonts w:ascii="Times New Roman" w:hAnsi="Times New Roman" w:eastAsia="宋体"/>
                <w:b/>
                <w:color w:val="000000"/>
                <w:sz w:val="24"/>
              </w:rPr>
              <w:t xml:space="preserve"> 内容</w:t>
            </w:r>
          </w:p>
          <w:p>
            <w:pPr>
              <w:rPr>
                <w:rFonts w:ascii="Times New Roman" w:hAnsi="Times New Roman" w:eastAsia="宋体"/>
                <w:b/>
                <w:color w:val="000000"/>
                <w:sz w:val="24"/>
              </w:rPr>
            </w:pPr>
            <w:r>
              <w:rPr>
                <w:rFonts w:ascii="Times New Roman" w:hAnsi="Times New Roman" w:eastAsia="宋体"/>
                <w:b/>
                <w:color w:val="000000"/>
                <w:sz w:val="24"/>
              </w:rPr>
              <w:t>类型</w:t>
            </w:r>
          </w:p>
        </w:tc>
        <w:tc>
          <w:tcPr>
            <w:tcW w:w="1286" w:type="dxa"/>
            <w:vAlign w:val="center"/>
          </w:tcPr>
          <w:p>
            <w:pPr>
              <w:jc w:val="center"/>
              <w:rPr>
                <w:rFonts w:ascii="Times New Roman" w:hAnsi="Times New Roman" w:eastAsia="宋体"/>
                <w:b/>
                <w:color w:val="000000"/>
                <w:sz w:val="24"/>
              </w:rPr>
            </w:pPr>
            <w:r>
              <w:rPr>
                <w:rFonts w:ascii="Times New Roman" w:hAnsi="Times New Roman" w:eastAsia="宋体"/>
                <w:b/>
                <w:color w:val="000000"/>
                <w:sz w:val="24"/>
              </w:rPr>
              <w:t>排放源</w:t>
            </w:r>
          </w:p>
        </w:tc>
        <w:tc>
          <w:tcPr>
            <w:tcW w:w="1752" w:type="dxa"/>
            <w:vAlign w:val="center"/>
          </w:tcPr>
          <w:p>
            <w:pPr>
              <w:jc w:val="center"/>
              <w:rPr>
                <w:rFonts w:ascii="Times New Roman" w:hAnsi="Times New Roman" w:eastAsia="宋体"/>
                <w:b/>
                <w:color w:val="000000"/>
                <w:sz w:val="24"/>
              </w:rPr>
            </w:pPr>
            <w:r>
              <w:rPr>
                <w:rFonts w:ascii="Times New Roman" w:hAnsi="Times New Roman" w:eastAsia="宋体"/>
                <w:b/>
                <w:color w:val="000000"/>
                <w:sz w:val="24"/>
              </w:rPr>
              <w:t>污染物名称</w:t>
            </w:r>
          </w:p>
        </w:tc>
        <w:tc>
          <w:tcPr>
            <w:tcW w:w="2642" w:type="dxa"/>
            <w:vAlign w:val="center"/>
          </w:tcPr>
          <w:p>
            <w:pPr>
              <w:jc w:val="center"/>
              <w:rPr>
                <w:rFonts w:ascii="Times New Roman" w:hAnsi="Times New Roman" w:eastAsia="宋体"/>
                <w:b/>
                <w:color w:val="000000"/>
                <w:sz w:val="24"/>
              </w:rPr>
            </w:pPr>
            <w:r>
              <w:rPr>
                <w:rFonts w:ascii="Times New Roman" w:hAnsi="Times New Roman" w:eastAsia="宋体"/>
                <w:b/>
                <w:color w:val="000000"/>
                <w:sz w:val="24"/>
              </w:rPr>
              <w:t>防治措施</w:t>
            </w:r>
          </w:p>
        </w:tc>
        <w:tc>
          <w:tcPr>
            <w:tcW w:w="2657" w:type="dxa"/>
            <w:vAlign w:val="center"/>
          </w:tcPr>
          <w:p>
            <w:pPr>
              <w:jc w:val="center"/>
              <w:rPr>
                <w:rFonts w:ascii="Times New Roman" w:hAnsi="Times New Roman" w:eastAsia="宋体"/>
                <w:b/>
                <w:color w:val="000000"/>
                <w:sz w:val="24"/>
              </w:rPr>
            </w:pPr>
            <w:r>
              <w:rPr>
                <w:rFonts w:ascii="Times New Roman" w:hAnsi="Times New Roman" w:eastAsia="宋体"/>
                <w:b/>
                <w:color w:val="000000"/>
                <w:sz w:val="24"/>
              </w:rPr>
              <w:t>预期治理</w:t>
            </w:r>
          </w:p>
          <w:p>
            <w:pPr>
              <w:jc w:val="center"/>
              <w:rPr>
                <w:rFonts w:ascii="Times New Roman" w:hAnsi="Times New Roman" w:eastAsia="宋体"/>
                <w:b/>
                <w:color w:val="000000"/>
                <w:sz w:val="24"/>
              </w:rPr>
            </w:pPr>
            <w:r>
              <w:rPr>
                <w:rFonts w:ascii="Times New Roman" w:hAnsi="Times New Roman" w:eastAsia="宋体"/>
                <w:b/>
                <w:color w:val="000000"/>
                <w:sz w:val="24"/>
              </w:rPr>
              <w:t>效果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37" w:hRule="atLeast"/>
        </w:trPr>
        <w:tc>
          <w:tcPr>
            <w:tcW w:w="946" w:type="dxa"/>
            <w:vMerge w:val="restart"/>
            <w:tcBorders>
              <w:top w:val="single" w:color="auto" w:sz="4" w:space="0"/>
            </w:tcBorders>
            <w:shd w:val="clear" w:color="auto" w:fill="auto"/>
            <w:vAlign w:val="center"/>
          </w:tcPr>
          <w:p>
            <w:pPr>
              <w:jc w:val="center"/>
              <w:rPr>
                <w:rFonts w:ascii="Times New Roman" w:hAnsi="Times New Roman" w:eastAsia="宋体"/>
                <w:b/>
                <w:color w:val="000000"/>
                <w:sz w:val="24"/>
              </w:rPr>
            </w:pPr>
            <w:r>
              <w:rPr>
                <w:rFonts w:ascii="Times New Roman" w:hAnsi="Times New Roman" w:eastAsia="宋体"/>
                <w:b/>
                <w:color w:val="000000"/>
                <w:sz w:val="24"/>
              </w:rPr>
              <w:t>大</w:t>
            </w:r>
          </w:p>
          <w:p>
            <w:pPr>
              <w:jc w:val="center"/>
              <w:rPr>
                <w:rFonts w:ascii="Times New Roman" w:hAnsi="Times New Roman" w:eastAsia="宋体"/>
                <w:b/>
                <w:color w:val="000000"/>
                <w:sz w:val="24"/>
              </w:rPr>
            </w:pPr>
            <w:r>
              <w:rPr>
                <w:rFonts w:ascii="Times New Roman" w:hAnsi="Times New Roman" w:eastAsia="宋体"/>
                <w:b/>
                <w:color w:val="000000"/>
                <w:sz w:val="24"/>
              </w:rPr>
              <w:t>气</w:t>
            </w:r>
          </w:p>
          <w:p>
            <w:pPr>
              <w:jc w:val="center"/>
              <w:rPr>
                <w:rFonts w:ascii="Times New Roman" w:hAnsi="Times New Roman" w:eastAsia="宋体"/>
                <w:b/>
                <w:color w:val="000000"/>
                <w:sz w:val="24"/>
              </w:rPr>
            </w:pPr>
            <w:r>
              <w:rPr>
                <w:rFonts w:ascii="Times New Roman" w:hAnsi="Times New Roman" w:eastAsia="宋体"/>
                <w:b/>
                <w:color w:val="000000"/>
                <w:sz w:val="24"/>
              </w:rPr>
              <w:t>污</w:t>
            </w:r>
          </w:p>
          <w:p>
            <w:pPr>
              <w:jc w:val="center"/>
              <w:rPr>
                <w:rFonts w:ascii="Times New Roman" w:hAnsi="Times New Roman" w:eastAsia="宋体"/>
                <w:b/>
                <w:color w:val="000000"/>
                <w:sz w:val="24"/>
              </w:rPr>
            </w:pPr>
            <w:r>
              <w:rPr>
                <w:rFonts w:ascii="Times New Roman" w:hAnsi="Times New Roman" w:eastAsia="宋体"/>
                <w:b/>
                <w:color w:val="000000"/>
                <w:sz w:val="24"/>
              </w:rPr>
              <w:t>染</w:t>
            </w:r>
          </w:p>
          <w:p>
            <w:pPr>
              <w:jc w:val="center"/>
              <w:rPr>
                <w:rFonts w:ascii="Times New Roman" w:hAnsi="Times New Roman" w:eastAsia="宋体"/>
                <w:b/>
                <w:color w:val="000000"/>
                <w:sz w:val="24"/>
              </w:rPr>
            </w:pPr>
            <w:r>
              <w:rPr>
                <w:rFonts w:ascii="Times New Roman" w:hAnsi="Times New Roman" w:eastAsia="宋体"/>
                <w:b/>
                <w:color w:val="000000"/>
                <w:sz w:val="24"/>
              </w:rPr>
              <w:t>物</w:t>
            </w:r>
          </w:p>
        </w:tc>
        <w:tc>
          <w:tcPr>
            <w:tcW w:w="1286" w:type="dxa"/>
            <w:shd w:val="clear" w:color="auto" w:fill="auto"/>
            <w:vAlign w:val="center"/>
          </w:tcPr>
          <w:p>
            <w:pPr>
              <w:jc w:val="center"/>
              <w:rPr>
                <w:rFonts w:ascii="Times New Roman" w:hAnsi="Times New Roman" w:eastAsia="宋体"/>
                <w:color w:val="000000" w:themeColor="text1"/>
                <w:sz w:val="24"/>
                <w:szCs w:val="24"/>
              </w:rPr>
            </w:pPr>
            <w:r>
              <w:rPr>
                <w:rFonts w:hint="eastAsia" w:ascii="Times New Roman" w:hAnsi="Times New Roman" w:eastAsia="宋体"/>
                <w:color w:val="000000" w:themeColor="text1"/>
                <w:sz w:val="24"/>
                <w:szCs w:val="24"/>
              </w:rPr>
              <w:t>焊接工序</w:t>
            </w:r>
          </w:p>
        </w:tc>
        <w:tc>
          <w:tcPr>
            <w:tcW w:w="1752" w:type="dxa"/>
            <w:vAlign w:val="center"/>
          </w:tcPr>
          <w:p>
            <w:pPr>
              <w:jc w:val="center"/>
              <w:rPr>
                <w:rFonts w:ascii="Times New Roman" w:hAnsi="Times New Roman" w:eastAsia="宋体"/>
                <w:color w:val="000000" w:themeColor="text1"/>
                <w:sz w:val="24"/>
                <w:szCs w:val="24"/>
              </w:rPr>
            </w:pPr>
            <w:r>
              <w:rPr>
                <w:rFonts w:hint="eastAsia" w:ascii="Times New Roman" w:hAnsi="Times New Roman" w:eastAsia="宋体"/>
                <w:color w:val="000000" w:themeColor="text1"/>
                <w:sz w:val="24"/>
                <w:szCs w:val="24"/>
              </w:rPr>
              <w:t>颗粒物</w:t>
            </w:r>
          </w:p>
        </w:tc>
        <w:tc>
          <w:tcPr>
            <w:tcW w:w="2642" w:type="dxa"/>
            <w:vAlign w:val="center"/>
          </w:tcPr>
          <w:p>
            <w:pPr>
              <w:spacing w:line="400" w:lineRule="exact"/>
              <w:jc w:val="center"/>
              <w:rPr>
                <w:rFonts w:hint="eastAsia" w:ascii="Times New Roman" w:hAnsi="Times New Roman" w:eastAsia="宋体"/>
                <w:b/>
                <w:color w:val="000000" w:themeColor="text1"/>
                <w:sz w:val="24"/>
                <w:szCs w:val="24"/>
                <w:lang w:eastAsia="zh-CN"/>
              </w:rPr>
            </w:pPr>
            <w:r>
              <w:rPr>
                <w:rFonts w:hint="eastAsia" w:ascii="Times New Roman" w:hAnsi="Times New Roman" w:eastAsia="宋体"/>
                <w:bCs/>
                <w:color w:val="000000" w:themeColor="text1"/>
                <w:sz w:val="24"/>
                <w:szCs w:val="24"/>
                <w:lang w:eastAsia="zh-CN"/>
              </w:rPr>
              <w:t>移动式焊接烟尘净化器</w:t>
            </w:r>
          </w:p>
        </w:tc>
        <w:tc>
          <w:tcPr>
            <w:tcW w:w="2657" w:type="dxa"/>
            <w:vMerge w:val="restart"/>
            <w:shd w:val="clear" w:color="auto" w:fill="auto"/>
            <w:vAlign w:val="center"/>
          </w:tcPr>
          <w:p>
            <w:pPr>
              <w:spacing w:line="400" w:lineRule="exact"/>
              <w:jc w:val="center"/>
              <w:rPr>
                <w:rFonts w:ascii="Times New Roman" w:hAnsi="Times New Roman" w:eastAsia="宋体"/>
                <w:color w:val="000000" w:themeColor="text1"/>
                <w:sz w:val="24"/>
                <w:szCs w:val="24"/>
              </w:rPr>
            </w:pPr>
            <w:r>
              <w:rPr>
                <w:rFonts w:ascii="Times New Roman" w:hAnsi="Times New Roman" w:eastAsia="宋体"/>
                <w:color w:val="000000" w:themeColor="text1"/>
                <w:sz w:val="24"/>
                <w:szCs w:val="24"/>
              </w:rPr>
              <w:t>满足《大气污染物排放综合标准》（GB16297-</w:t>
            </w:r>
            <w:r>
              <w:rPr>
                <w:rFonts w:hint="eastAsia" w:ascii="Times New Roman" w:hAnsi="Times New Roman" w:eastAsia="宋体"/>
                <w:color w:val="000000" w:themeColor="text1"/>
                <w:sz w:val="24"/>
                <w:szCs w:val="24"/>
              </w:rPr>
              <w:t>1996</w:t>
            </w:r>
            <w:r>
              <w:rPr>
                <w:rFonts w:ascii="Times New Roman" w:hAnsi="Times New Roman" w:eastAsia="宋体"/>
                <w:color w:val="000000" w:themeColor="text1"/>
                <w:sz w:val="24"/>
                <w:szCs w:val="24"/>
              </w:rPr>
              <w:t>）二级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37" w:hRule="atLeast"/>
        </w:trPr>
        <w:tc>
          <w:tcPr>
            <w:tcW w:w="946" w:type="dxa"/>
            <w:vMerge w:val="continue"/>
            <w:shd w:val="clear" w:color="auto" w:fill="auto"/>
            <w:vAlign w:val="center"/>
          </w:tcPr>
          <w:p>
            <w:pPr>
              <w:jc w:val="center"/>
              <w:rPr>
                <w:rFonts w:ascii="Times New Roman" w:hAnsi="Times New Roman" w:eastAsia="宋体"/>
                <w:b/>
                <w:color w:val="000000"/>
                <w:sz w:val="24"/>
              </w:rPr>
            </w:pPr>
          </w:p>
        </w:tc>
        <w:tc>
          <w:tcPr>
            <w:tcW w:w="1286" w:type="dxa"/>
            <w:shd w:val="clear" w:color="auto" w:fill="auto"/>
            <w:vAlign w:val="center"/>
          </w:tcPr>
          <w:p>
            <w:pPr>
              <w:jc w:val="center"/>
              <w:rPr>
                <w:rFonts w:hint="eastAsia" w:ascii="Times New Roman" w:hAnsi="Times New Roman" w:eastAsia="宋体"/>
                <w:color w:val="000000" w:themeColor="text1"/>
                <w:sz w:val="24"/>
                <w:szCs w:val="24"/>
                <w:lang w:eastAsia="zh-CN"/>
              </w:rPr>
            </w:pPr>
            <w:r>
              <w:rPr>
                <w:rFonts w:hint="eastAsia" w:ascii="Times New Roman" w:hAnsi="Times New Roman" w:eastAsia="宋体"/>
                <w:color w:val="000000" w:themeColor="text1"/>
                <w:sz w:val="24"/>
                <w:szCs w:val="24"/>
                <w:lang w:eastAsia="zh-CN"/>
              </w:rPr>
              <w:t>下料、机加工</w:t>
            </w:r>
          </w:p>
        </w:tc>
        <w:tc>
          <w:tcPr>
            <w:tcW w:w="1752" w:type="dxa"/>
            <w:vAlign w:val="center"/>
          </w:tcPr>
          <w:p>
            <w:pPr>
              <w:jc w:val="center"/>
              <w:rPr>
                <w:rFonts w:hint="eastAsia" w:ascii="Times New Roman" w:hAnsi="Times New Roman" w:eastAsia="宋体"/>
                <w:color w:val="000000" w:themeColor="text1"/>
                <w:sz w:val="24"/>
                <w:szCs w:val="24"/>
                <w:lang w:eastAsia="zh-CN"/>
              </w:rPr>
            </w:pPr>
            <w:r>
              <w:rPr>
                <w:rFonts w:hint="eastAsia" w:ascii="Times New Roman" w:hAnsi="Times New Roman" w:eastAsia="宋体"/>
                <w:color w:val="000000" w:themeColor="text1"/>
                <w:sz w:val="24"/>
                <w:szCs w:val="24"/>
                <w:lang w:eastAsia="zh-CN"/>
              </w:rPr>
              <w:t>颗粒物</w:t>
            </w:r>
          </w:p>
        </w:tc>
        <w:tc>
          <w:tcPr>
            <w:tcW w:w="2642" w:type="dxa"/>
            <w:vAlign w:val="center"/>
          </w:tcPr>
          <w:p>
            <w:pPr>
              <w:spacing w:line="400" w:lineRule="exact"/>
              <w:jc w:val="center"/>
              <w:rPr>
                <w:rFonts w:hint="eastAsia" w:ascii="Times New Roman" w:hAnsi="Times New Roman" w:eastAsia="宋体"/>
                <w:bCs/>
                <w:color w:val="000000" w:themeColor="text1"/>
                <w:sz w:val="24"/>
                <w:szCs w:val="24"/>
                <w:lang w:eastAsia="zh-CN"/>
              </w:rPr>
            </w:pPr>
            <w:r>
              <w:rPr>
                <w:rFonts w:hint="eastAsia" w:ascii="Times New Roman" w:hAnsi="Times New Roman" w:eastAsia="宋体"/>
                <w:bCs/>
                <w:color w:val="000000" w:themeColor="text1"/>
                <w:sz w:val="24"/>
                <w:szCs w:val="24"/>
                <w:lang w:eastAsia="zh-CN"/>
              </w:rPr>
              <w:t>自然沉降</w:t>
            </w:r>
          </w:p>
        </w:tc>
        <w:tc>
          <w:tcPr>
            <w:tcW w:w="2657" w:type="dxa"/>
            <w:vMerge w:val="continue"/>
            <w:shd w:val="clear" w:color="auto" w:fill="auto"/>
            <w:vAlign w:val="center"/>
          </w:tcPr>
          <w:p>
            <w:pPr>
              <w:spacing w:line="400" w:lineRule="exact"/>
              <w:jc w:val="center"/>
              <w:rPr>
                <w:rFonts w:ascii="Times New Roman" w:hAnsi="Times New Roman" w:eastAsia="宋体"/>
                <w:color w:val="000000" w:themeColor="text1"/>
                <w:sz w:val="24"/>
                <w:szCs w:val="24"/>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50" w:hRule="atLeast"/>
        </w:trPr>
        <w:tc>
          <w:tcPr>
            <w:tcW w:w="946" w:type="dxa"/>
            <w:shd w:val="clear" w:color="auto" w:fill="auto"/>
            <w:vAlign w:val="center"/>
          </w:tcPr>
          <w:p>
            <w:pPr>
              <w:jc w:val="center"/>
              <w:rPr>
                <w:rFonts w:ascii="Times New Roman" w:hAnsi="Times New Roman" w:eastAsia="宋体"/>
                <w:b/>
                <w:color w:val="000000"/>
                <w:sz w:val="24"/>
              </w:rPr>
            </w:pPr>
            <w:r>
              <w:rPr>
                <w:rFonts w:ascii="Times New Roman" w:hAnsi="Times New Roman" w:eastAsia="宋体"/>
                <w:b/>
                <w:color w:val="000000"/>
                <w:sz w:val="24"/>
              </w:rPr>
              <w:t>水</w:t>
            </w:r>
          </w:p>
          <w:p>
            <w:pPr>
              <w:jc w:val="center"/>
              <w:rPr>
                <w:rFonts w:ascii="Times New Roman" w:hAnsi="Times New Roman" w:eastAsia="宋体"/>
                <w:b/>
                <w:color w:val="000000"/>
                <w:sz w:val="24"/>
              </w:rPr>
            </w:pPr>
            <w:r>
              <w:rPr>
                <w:rFonts w:ascii="Times New Roman" w:hAnsi="Times New Roman" w:eastAsia="宋体"/>
                <w:b/>
                <w:color w:val="000000"/>
                <w:sz w:val="24"/>
              </w:rPr>
              <w:t>污</w:t>
            </w:r>
          </w:p>
          <w:p>
            <w:pPr>
              <w:jc w:val="center"/>
              <w:rPr>
                <w:rFonts w:ascii="Times New Roman" w:hAnsi="Times New Roman" w:eastAsia="宋体"/>
                <w:b/>
                <w:color w:val="000000"/>
                <w:sz w:val="24"/>
              </w:rPr>
            </w:pPr>
            <w:r>
              <w:rPr>
                <w:rFonts w:ascii="Times New Roman" w:hAnsi="Times New Roman" w:eastAsia="宋体"/>
                <w:b/>
                <w:color w:val="000000"/>
                <w:sz w:val="24"/>
              </w:rPr>
              <w:t>染</w:t>
            </w:r>
          </w:p>
          <w:p>
            <w:pPr>
              <w:jc w:val="center"/>
              <w:rPr>
                <w:rFonts w:ascii="Times New Roman" w:hAnsi="Times New Roman" w:eastAsia="宋体"/>
                <w:b/>
                <w:color w:val="000000"/>
                <w:sz w:val="24"/>
              </w:rPr>
            </w:pPr>
            <w:r>
              <w:rPr>
                <w:rFonts w:ascii="Times New Roman" w:hAnsi="Times New Roman" w:eastAsia="宋体"/>
                <w:b/>
                <w:color w:val="000000"/>
                <w:sz w:val="24"/>
              </w:rPr>
              <w:t>物</w:t>
            </w:r>
          </w:p>
        </w:tc>
        <w:tc>
          <w:tcPr>
            <w:tcW w:w="1286" w:type="dxa"/>
            <w:tcBorders>
              <w:top w:val="single" w:color="auto" w:sz="4" w:space="0"/>
            </w:tcBorders>
            <w:vAlign w:val="center"/>
          </w:tcPr>
          <w:p>
            <w:pPr>
              <w:spacing w:line="400" w:lineRule="exact"/>
              <w:jc w:val="center"/>
              <w:rPr>
                <w:rFonts w:ascii="Times New Roman" w:hAnsi="Times New Roman" w:eastAsia="宋体"/>
                <w:b/>
                <w:color w:val="000000" w:themeColor="text1"/>
                <w:sz w:val="24"/>
                <w:szCs w:val="24"/>
              </w:rPr>
            </w:pPr>
            <w:r>
              <w:rPr>
                <w:rFonts w:hint="default" w:ascii="Times New Roman" w:hAnsi="Times New Roman" w:eastAsia="宋体" w:cs="Times New Roman"/>
                <w:color w:val="000000" w:themeColor="text1"/>
                <w:sz w:val="24"/>
                <w:szCs w:val="24"/>
              </w:rPr>
              <w:t>生活污水</w:t>
            </w:r>
            <w:r>
              <w:rPr>
                <w:rFonts w:hint="eastAsia" w:ascii="Times New Roman" w:hAnsi="Times New Roman" w:eastAsia="宋体" w:cs="Times New Roman"/>
                <w:color w:val="000000" w:themeColor="text1"/>
                <w:sz w:val="24"/>
                <w:szCs w:val="24"/>
                <w:lang w:eastAsia="zh-CN"/>
              </w:rPr>
              <w:t>、</w:t>
            </w:r>
            <w:r>
              <w:rPr>
                <w:rFonts w:hint="eastAsia" w:ascii="Times New Roman" w:hAnsi="Times New Roman" w:eastAsia="宋体"/>
                <w:color w:val="000000" w:themeColor="text1"/>
                <w:sz w:val="24"/>
                <w:szCs w:val="24"/>
                <w:highlight w:val="none"/>
                <w:lang w:val="en-US" w:eastAsia="zh-CN"/>
              </w:rPr>
              <w:t>地面拖洗废水</w:t>
            </w:r>
          </w:p>
        </w:tc>
        <w:tc>
          <w:tcPr>
            <w:tcW w:w="1752" w:type="dxa"/>
            <w:tcBorders>
              <w:top w:val="single" w:color="auto" w:sz="4" w:space="0"/>
            </w:tcBorders>
            <w:vAlign w:val="center"/>
          </w:tcPr>
          <w:p>
            <w:pPr>
              <w:spacing w:line="380" w:lineRule="exact"/>
              <w:jc w:val="center"/>
              <w:rPr>
                <w:rFonts w:ascii="Times New Roman" w:hAnsi="Times New Roman" w:eastAsia="宋体"/>
                <w:b/>
                <w:color w:val="000000" w:themeColor="text1"/>
                <w:sz w:val="24"/>
                <w:szCs w:val="24"/>
              </w:rPr>
            </w:pPr>
            <w:r>
              <w:rPr>
                <w:rFonts w:ascii="Times New Roman" w:hAnsi="Times New Roman" w:eastAsia="宋体"/>
                <w:color w:val="000000" w:themeColor="text1"/>
                <w:sz w:val="24"/>
                <w:szCs w:val="24"/>
              </w:rPr>
              <w:t>COD、SS、NH</w:t>
            </w:r>
            <w:r>
              <w:rPr>
                <w:rFonts w:ascii="Times New Roman" w:hAnsi="Times New Roman" w:eastAsia="宋体"/>
                <w:color w:val="000000" w:themeColor="text1"/>
                <w:sz w:val="24"/>
                <w:szCs w:val="24"/>
                <w:vertAlign w:val="subscript"/>
              </w:rPr>
              <w:t>3</w:t>
            </w:r>
            <w:r>
              <w:rPr>
                <w:rFonts w:ascii="Times New Roman" w:hAnsi="Times New Roman" w:eastAsia="宋体"/>
                <w:color w:val="000000" w:themeColor="text1"/>
                <w:sz w:val="24"/>
                <w:szCs w:val="24"/>
              </w:rPr>
              <w:t>-N</w:t>
            </w:r>
          </w:p>
        </w:tc>
        <w:tc>
          <w:tcPr>
            <w:tcW w:w="2642" w:type="dxa"/>
            <w:tcBorders>
              <w:top w:val="single" w:color="auto" w:sz="4" w:space="0"/>
            </w:tcBorders>
            <w:vAlign w:val="center"/>
          </w:tcPr>
          <w:p>
            <w:pPr>
              <w:spacing w:line="240" w:lineRule="auto"/>
              <w:jc w:val="center"/>
              <w:rPr>
                <w:rFonts w:ascii="Times New Roman" w:hAnsi="Times New Roman" w:eastAsia="宋体"/>
                <w:b/>
                <w:color w:val="000000" w:themeColor="text1"/>
                <w:sz w:val="24"/>
                <w:szCs w:val="24"/>
              </w:rPr>
            </w:pPr>
            <w:r>
              <w:rPr>
                <w:rFonts w:hint="default" w:ascii="Times New Roman" w:hAnsi="Times New Roman" w:eastAsia="宋体" w:cs="Times New Roman"/>
                <w:color w:val="000000" w:themeColor="text1"/>
                <w:sz w:val="24"/>
                <w:szCs w:val="24"/>
              </w:rPr>
              <w:t>生活污水</w:t>
            </w:r>
            <w:r>
              <w:rPr>
                <w:rFonts w:hint="eastAsia" w:ascii="Times New Roman" w:hAnsi="Times New Roman" w:eastAsia="宋体" w:cs="Times New Roman"/>
                <w:color w:val="000000" w:themeColor="text1"/>
                <w:sz w:val="24"/>
                <w:szCs w:val="24"/>
                <w:lang w:eastAsia="zh-CN"/>
              </w:rPr>
              <w:t>经豫中地质勘查工程公司平顶山第四工程处</w:t>
            </w:r>
            <w:r>
              <w:rPr>
                <w:rFonts w:hint="eastAsia" w:ascii="Times New Roman" w:hAnsi="Times New Roman" w:eastAsia="宋体" w:cs="Times New Roman"/>
                <w:color w:val="000000" w:themeColor="text1"/>
                <w:sz w:val="24"/>
                <w:szCs w:val="24"/>
                <w:lang w:val="en-US" w:eastAsia="zh-CN"/>
              </w:rPr>
              <w:t>院内</w:t>
            </w:r>
            <w:r>
              <w:rPr>
                <w:rFonts w:hint="eastAsia" w:ascii="Times New Roman" w:hAnsi="Times New Roman" w:eastAsia="宋体" w:cs="Times New Roman"/>
                <w:color w:val="000000" w:themeColor="text1"/>
                <w:sz w:val="24"/>
                <w:szCs w:val="24"/>
                <w:lang w:eastAsia="zh-CN"/>
              </w:rPr>
              <w:t>化粪池处理后排入附近市政管网</w:t>
            </w:r>
          </w:p>
        </w:tc>
        <w:tc>
          <w:tcPr>
            <w:tcW w:w="2657" w:type="dxa"/>
            <w:tcBorders>
              <w:top w:val="single" w:color="auto" w:sz="4" w:space="0"/>
            </w:tcBorders>
            <w:shd w:val="clear" w:color="auto" w:fill="auto"/>
            <w:vAlign w:val="center"/>
          </w:tcPr>
          <w:p>
            <w:pPr>
              <w:spacing w:line="360" w:lineRule="exact"/>
              <w:jc w:val="center"/>
              <w:rPr>
                <w:rFonts w:ascii="Times New Roman" w:hAnsi="Times New Roman" w:eastAsia="宋体"/>
                <w:b/>
                <w:color w:val="000000" w:themeColor="text1"/>
                <w:sz w:val="24"/>
                <w:szCs w:val="24"/>
              </w:rPr>
            </w:pPr>
            <w:r>
              <w:rPr>
                <w:rFonts w:hint="default" w:ascii="Times New Roman" w:hAnsi="Times New Roman" w:eastAsia="宋体" w:cs="Times New Roman"/>
                <w:color w:val="000000" w:themeColor="text1"/>
                <w:sz w:val="24"/>
                <w:szCs w:val="24"/>
                <w:lang w:eastAsia="zh-CN"/>
              </w:rPr>
              <w:t>《污水综合排放标准》GB8978-1996表4</w:t>
            </w:r>
            <w:r>
              <w:rPr>
                <w:rFonts w:hint="eastAsia" w:ascii="Times New Roman" w:hAnsi="Times New Roman" w:eastAsia="宋体" w:cs="Times New Roman"/>
                <w:color w:val="000000" w:themeColor="text1"/>
                <w:sz w:val="24"/>
                <w:szCs w:val="24"/>
                <w:lang w:eastAsia="zh-CN"/>
              </w:rPr>
              <w:t>三</w:t>
            </w:r>
            <w:r>
              <w:rPr>
                <w:rFonts w:hint="default" w:ascii="Times New Roman" w:hAnsi="Times New Roman" w:eastAsia="宋体" w:cs="Times New Roman"/>
                <w:color w:val="000000" w:themeColor="text1"/>
                <w:sz w:val="24"/>
                <w:szCs w:val="24"/>
                <w:lang w:eastAsia="zh-CN"/>
              </w:rPr>
              <w:t>级标准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1" w:hRule="atLeast"/>
        </w:trPr>
        <w:tc>
          <w:tcPr>
            <w:tcW w:w="946" w:type="dxa"/>
            <w:vMerge w:val="restart"/>
            <w:shd w:val="clear" w:color="auto" w:fill="auto"/>
            <w:vAlign w:val="center"/>
          </w:tcPr>
          <w:p>
            <w:pPr>
              <w:jc w:val="center"/>
              <w:rPr>
                <w:rFonts w:ascii="Times New Roman" w:hAnsi="Times New Roman" w:eastAsia="宋体"/>
                <w:b/>
                <w:color w:val="000000" w:themeColor="text1"/>
                <w:sz w:val="24"/>
              </w:rPr>
            </w:pPr>
            <w:r>
              <w:rPr>
                <w:rFonts w:ascii="Times New Roman" w:hAnsi="Times New Roman" w:eastAsia="宋体"/>
                <w:b/>
                <w:color w:val="000000" w:themeColor="text1"/>
                <w:sz w:val="24"/>
              </w:rPr>
              <w:t>固</w:t>
            </w:r>
          </w:p>
          <w:p>
            <w:pPr>
              <w:jc w:val="center"/>
              <w:rPr>
                <w:rFonts w:ascii="Times New Roman" w:hAnsi="Times New Roman" w:eastAsia="宋体"/>
                <w:b/>
                <w:color w:val="000000" w:themeColor="text1"/>
                <w:sz w:val="24"/>
              </w:rPr>
            </w:pPr>
            <w:r>
              <w:rPr>
                <w:rFonts w:ascii="Times New Roman" w:hAnsi="Times New Roman" w:eastAsia="宋体"/>
                <w:b/>
                <w:color w:val="000000" w:themeColor="text1"/>
                <w:sz w:val="24"/>
              </w:rPr>
              <w:t>体</w:t>
            </w:r>
          </w:p>
          <w:p>
            <w:pPr>
              <w:jc w:val="center"/>
              <w:rPr>
                <w:rFonts w:ascii="Times New Roman" w:hAnsi="Times New Roman" w:eastAsia="宋体"/>
                <w:b/>
                <w:color w:val="000000" w:themeColor="text1"/>
                <w:sz w:val="24"/>
              </w:rPr>
            </w:pPr>
            <w:r>
              <w:rPr>
                <w:rFonts w:ascii="Times New Roman" w:hAnsi="Times New Roman" w:eastAsia="宋体"/>
                <w:b/>
                <w:color w:val="000000" w:themeColor="text1"/>
                <w:sz w:val="24"/>
              </w:rPr>
              <w:t>废</w:t>
            </w:r>
          </w:p>
          <w:p>
            <w:pPr>
              <w:jc w:val="center"/>
              <w:rPr>
                <w:rFonts w:ascii="Times New Roman" w:hAnsi="Times New Roman" w:eastAsia="宋体"/>
                <w:b/>
                <w:color w:val="000000" w:themeColor="text1"/>
                <w:sz w:val="24"/>
              </w:rPr>
            </w:pPr>
            <w:r>
              <w:rPr>
                <w:rFonts w:ascii="Times New Roman" w:hAnsi="Times New Roman" w:eastAsia="宋体"/>
                <w:b/>
                <w:color w:val="000000" w:themeColor="text1"/>
                <w:sz w:val="24"/>
              </w:rPr>
              <w:t>物</w:t>
            </w:r>
          </w:p>
        </w:tc>
        <w:tc>
          <w:tcPr>
            <w:tcW w:w="1286" w:type="dxa"/>
            <w:vAlign w:val="center"/>
          </w:tcPr>
          <w:p>
            <w:pPr>
              <w:jc w:val="center"/>
              <w:rPr>
                <w:rFonts w:hint="eastAsia" w:ascii="Times New Roman" w:hAnsi="Times New Roman" w:eastAsia="宋体"/>
                <w:color w:val="000000" w:themeColor="text1"/>
                <w:sz w:val="24"/>
                <w:szCs w:val="24"/>
                <w:lang w:val="en-US" w:eastAsia="zh-CN"/>
              </w:rPr>
            </w:pPr>
            <w:r>
              <w:rPr>
                <w:rFonts w:hint="eastAsia" w:ascii="Times New Roman" w:hAnsi="Times New Roman" w:eastAsia="宋体"/>
                <w:color w:val="000000" w:themeColor="text1"/>
                <w:sz w:val="24"/>
                <w:szCs w:val="24"/>
              </w:rPr>
              <w:t>焊接</w:t>
            </w:r>
          </w:p>
        </w:tc>
        <w:tc>
          <w:tcPr>
            <w:tcW w:w="1752" w:type="dxa"/>
            <w:vAlign w:val="center"/>
          </w:tcPr>
          <w:p>
            <w:pPr>
              <w:jc w:val="center"/>
              <w:rPr>
                <w:rFonts w:ascii="Times New Roman" w:hAnsi="Times New Roman" w:eastAsia="宋体"/>
                <w:color w:val="000000" w:themeColor="text1"/>
                <w:sz w:val="24"/>
                <w:szCs w:val="24"/>
              </w:rPr>
            </w:pPr>
            <w:r>
              <w:rPr>
                <w:rFonts w:hint="eastAsia" w:ascii="Times New Roman" w:hAnsi="Times New Roman" w:eastAsia="宋体"/>
                <w:color w:val="000000" w:themeColor="text1"/>
                <w:sz w:val="24"/>
                <w:szCs w:val="24"/>
              </w:rPr>
              <w:t>收集粉尘</w:t>
            </w:r>
          </w:p>
        </w:tc>
        <w:tc>
          <w:tcPr>
            <w:tcW w:w="2642" w:type="dxa"/>
            <w:vMerge w:val="restart"/>
            <w:shd w:val="clear" w:color="auto" w:fill="auto"/>
            <w:vAlign w:val="center"/>
          </w:tcPr>
          <w:p>
            <w:pPr>
              <w:jc w:val="center"/>
              <w:rPr>
                <w:rFonts w:ascii="Times New Roman" w:hAnsi="Times New Roman" w:eastAsia="宋体"/>
                <w:color w:val="000000" w:themeColor="text1"/>
                <w:sz w:val="24"/>
                <w:szCs w:val="24"/>
              </w:rPr>
            </w:pPr>
            <w:r>
              <w:rPr>
                <w:rFonts w:hint="eastAsia" w:ascii="Times New Roman" w:hAnsi="Times New Roman" w:eastAsia="宋体"/>
                <w:color w:val="000000" w:themeColor="text1"/>
                <w:sz w:val="24"/>
                <w:szCs w:val="24"/>
              </w:rPr>
              <w:t>集中收集、定期外售</w:t>
            </w:r>
          </w:p>
        </w:tc>
        <w:tc>
          <w:tcPr>
            <w:tcW w:w="2657" w:type="dxa"/>
            <w:vMerge w:val="restart"/>
            <w:shd w:val="clear" w:color="auto" w:fill="auto"/>
            <w:vAlign w:val="center"/>
          </w:tcPr>
          <w:p>
            <w:pPr>
              <w:jc w:val="center"/>
              <w:rPr>
                <w:rFonts w:ascii="Times New Roman" w:hAnsi="Times New Roman" w:eastAsia="宋体"/>
                <w:color w:val="000000" w:themeColor="text1"/>
                <w:sz w:val="24"/>
                <w:szCs w:val="24"/>
              </w:rPr>
            </w:pPr>
            <w:r>
              <w:rPr>
                <w:rFonts w:hint="eastAsia" w:ascii="Times New Roman" w:hAnsi="Times New Roman" w:eastAsia="宋体"/>
                <w:color w:val="000000" w:themeColor="text1"/>
                <w:sz w:val="24"/>
                <w:szCs w:val="24"/>
              </w:rPr>
              <w:t>合理处置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946" w:type="dxa"/>
            <w:vMerge w:val="continue"/>
            <w:shd w:val="clear" w:color="auto" w:fill="auto"/>
            <w:vAlign w:val="center"/>
          </w:tcPr>
          <w:p>
            <w:pPr>
              <w:jc w:val="center"/>
              <w:rPr>
                <w:rFonts w:ascii="Times New Roman" w:hAnsi="Times New Roman" w:eastAsia="宋体"/>
                <w:color w:val="000000" w:themeColor="text1"/>
              </w:rPr>
            </w:pPr>
          </w:p>
        </w:tc>
        <w:tc>
          <w:tcPr>
            <w:tcW w:w="1286" w:type="dxa"/>
            <w:vAlign w:val="center"/>
          </w:tcPr>
          <w:p>
            <w:pPr>
              <w:jc w:val="center"/>
              <w:rPr>
                <w:rFonts w:hint="eastAsia" w:ascii="Times New Roman" w:hAnsi="Times New Roman" w:eastAsia="宋体"/>
                <w:color w:val="000000" w:themeColor="text1"/>
                <w:sz w:val="24"/>
                <w:szCs w:val="24"/>
                <w:lang w:eastAsia="zh-CN"/>
              </w:rPr>
            </w:pPr>
            <w:r>
              <w:rPr>
                <w:rFonts w:hint="eastAsia" w:ascii="Times New Roman" w:hAnsi="Times New Roman" w:eastAsia="宋体"/>
                <w:color w:val="000000" w:themeColor="text1"/>
                <w:sz w:val="24"/>
                <w:szCs w:val="24"/>
                <w:lang w:eastAsia="zh-CN"/>
              </w:rPr>
              <w:t>下料、机加工</w:t>
            </w:r>
          </w:p>
        </w:tc>
        <w:tc>
          <w:tcPr>
            <w:tcW w:w="1752" w:type="dxa"/>
            <w:vAlign w:val="center"/>
          </w:tcPr>
          <w:p>
            <w:pPr>
              <w:jc w:val="center"/>
              <w:rPr>
                <w:rFonts w:hint="eastAsia" w:ascii="Times New Roman" w:hAnsi="Times New Roman" w:eastAsia="宋体"/>
                <w:color w:val="000000" w:themeColor="text1"/>
                <w:sz w:val="24"/>
                <w:szCs w:val="24"/>
                <w:lang w:eastAsia="zh-CN"/>
              </w:rPr>
            </w:pPr>
            <w:r>
              <w:rPr>
                <w:rFonts w:hint="eastAsia" w:ascii="Times New Roman" w:hAnsi="Times New Roman" w:eastAsia="宋体"/>
                <w:color w:val="000000" w:themeColor="text1"/>
                <w:sz w:val="24"/>
                <w:szCs w:val="24"/>
                <w:lang w:eastAsia="zh-CN"/>
              </w:rPr>
              <w:t>自然沉降粉尘</w:t>
            </w:r>
          </w:p>
        </w:tc>
        <w:tc>
          <w:tcPr>
            <w:tcW w:w="2642" w:type="dxa"/>
            <w:vMerge w:val="continue"/>
            <w:shd w:val="clear" w:color="auto" w:fill="auto"/>
            <w:vAlign w:val="center"/>
          </w:tcPr>
          <w:p>
            <w:pPr>
              <w:jc w:val="center"/>
              <w:rPr>
                <w:rFonts w:hint="eastAsia" w:ascii="Times New Roman" w:hAnsi="Times New Roman" w:eastAsia="宋体"/>
                <w:color w:val="000000" w:themeColor="text1"/>
                <w:sz w:val="24"/>
                <w:szCs w:val="24"/>
              </w:rPr>
            </w:pPr>
          </w:p>
        </w:tc>
        <w:tc>
          <w:tcPr>
            <w:tcW w:w="2657" w:type="dxa"/>
            <w:vMerge w:val="continue"/>
            <w:shd w:val="clear" w:color="auto" w:fill="auto"/>
            <w:vAlign w:val="center"/>
          </w:tcPr>
          <w:p>
            <w:pPr>
              <w:jc w:val="center"/>
              <w:rPr>
                <w:rFonts w:hint="eastAsia" w:ascii="Times New Roman" w:hAnsi="Times New Roman" w:eastAsia="宋体"/>
                <w:color w:val="000000" w:themeColor="text1"/>
                <w:sz w:val="24"/>
                <w:szCs w:val="24"/>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1" w:hRule="atLeast"/>
        </w:trPr>
        <w:tc>
          <w:tcPr>
            <w:tcW w:w="946" w:type="dxa"/>
            <w:vMerge w:val="continue"/>
            <w:shd w:val="clear" w:color="auto" w:fill="auto"/>
            <w:vAlign w:val="center"/>
          </w:tcPr>
          <w:p>
            <w:pPr>
              <w:jc w:val="center"/>
              <w:rPr>
                <w:rFonts w:ascii="Times New Roman" w:hAnsi="Times New Roman" w:eastAsia="宋体"/>
                <w:color w:val="000000" w:themeColor="text1"/>
              </w:rPr>
            </w:pPr>
          </w:p>
        </w:tc>
        <w:tc>
          <w:tcPr>
            <w:tcW w:w="1286" w:type="dxa"/>
            <w:vAlign w:val="center"/>
          </w:tcPr>
          <w:p>
            <w:pPr>
              <w:jc w:val="center"/>
              <w:rPr>
                <w:rFonts w:hint="eastAsia" w:ascii="Times New Roman" w:hAnsi="Times New Roman" w:eastAsia="宋体"/>
                <w:color w:val="000000" w:themeColor="text1"/>
                <w:sz w:val="24"/>
                <w:szCs w:val="24"/>
                <w:lang w:eastAsia="zh-CN"/>
              </w:rPr>
            </w:pPr>
            <w:r>
              <w:rPr>
                <w:rFonts w:hint="eastAsia" w:ascii="Times New Roman" w:hAnsi="Times New Roman" w:eastAsia="宋体"/>
                <w:color w:val="000000" w:themeColor="text1"/>
                <w:sz w:val="24"/>
                <w:szCs w:val="24"/>
                <w:lang w:eastAsia="zh-CN"/>
              </w:rPr>
              <w:t>机加工</w:t>
            </w:r>
          </w:p>
        </w:tc>
        <w:tc>
          <w:tcPr>
            <w:tcW w:w="1752" w:type="dxa"/>
            <w:vAlign w:val="center"/>
          </w:tcPr>
          <w:p>
            <w:pPr>
              <w:jc w:val="center"/>
              <w:rPr>
                <w:rFonts w:hint="eastAsia" w:ascii="Times New Roman" w:hAnsi="Times New Roman" w:eastAsia="宋体"/>
                <w:color w:val="000000" w:themeColor="text1"/>
                <w:sz w:val="24"/>
                <w:szCs w:val="24"/>
                <w:lang w:eastAsia="zh-CN"/>
              </w:rPr>
            </w:pPr>
            <w:r>
              <w:rPr>
                <w:rFonts w:hint="eastAsia" w:ascii="Times New Roman" w:hAnsi="Times New Roman" w:eastAsia="宋体"/>
                <w:color w:val="000000" w:themeColor="text1"/>
                <w:sz w:val="24"/>
                <w:szCs w:val="24"/>
                <w:lang w:eastAsia="zh-CN"/>
              </w:rPr>
              <w:t>金属废料</w:t>
            </w:r>
          </w:p>
        </w:tc>
        <w:tc>
          <w:tcPr>
            <w:tcW w:w="2642" w:type="dxa"/>
            <w:vMerge w:val="continue"/>
            <w:shd w:val="clear" w:color="auto" w:fill="auto"/>
            <w:vAlign w:val="center"/>
          </w:tcPr>
          <w:p>
            <w:pPr>
              <w:jc w:val="center"/>
              <w:rPr>
                <w:rFonts w:hint="eastAsia" w:ascii="Times New Roman" w:hAnsi="Times New Roman" w:eastAsia="宋体"/>
                <w:color w:val="000000" w:themeColor="text1"/>
                <w:sz w:val="24"/>
                <w:szCs w:val="24"/>
              </w:rPr>
            </w:pPr>
          </w:p>
        </w:tc>
        <w:tc>
          <w:tcPr>
            <w:tcW w:w="2657" w:type="dxa"/>
            <w:vMerge w:val="continue"/>
            <w:shd w:val="clear" w:color="auto" w:fill="auto"/>
            <w:vAlign w:val="center"/>
          </w:tcPr>
          <w:p>
            <w:pPr>
              <w:jc w:val="center"/>
              <w:rPr>
                <w:rFonts w:hint="eastAsia" w:ascii="Times New Roman" w:hAnsi="Times New Roman" w:eastAsia="宋体"/>
                <w:color w:val="000000" w:themeColor="text1"/>
                <w:sz w:val="24"/>
                <w:szCs w:val="24"/>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1" w:hRule="atLeast"/>
        </w:trPr>
        <w:tc>
          <w:tcPr>
            <w:tcW w:w="946" w:type="dxa"/>
            <w:vMerge w:val="continue"/>
            <w:shd w:val="clear" w:color="auto" w:fill="auto"/>
            <w:vAlign w:val="center"/>
          </w:tcPr>
          <w:p>
            <w:pPr>
              <w:jc w:val="center"/>
              <w:rPr>
                <w:rFonts w:ascii="Times New Roman" w:hAnsi="Times New Roman" w:eastAsia="宋体"/>
                <w:color w:val="000000" w:themeColor="text1"/>
              </w:rPr>
            </w:pPr>
          </w:p>
        </w:tc>
        <w:tc>
          <w:tcPr>
            <w:tcW w:w="1286" w:type="dxa"/>
            <w:vAlign w:val="center"/>
          </w:tcPr>
          <w:p>
            <w:pPr>
              <w:jc w:val="center"/>
              <w:rPr>
                <w:rFonts w:hint="eastAsia" w:ascii="Times New Roman" w:hAnsi="Times New Roman" w:eastAsia="宋体"/>
                <w:color w:val="000000" w:themeColor="text1"/>
                <w:sz w:val="24"/>
                <w:szCs w:val="24"/>
                <w:lang w:eastAsia="zh-CN"/>
              </w:rPr>
            </w:pPr>
            <w:r>
              <w:rPr>
                <w:rFonts w:hint="eastAsia" w:ascii="Times New Roman" w:hAnsi="Times New Roman" w:eastAsia="宋体"/>
                <w:color w:val="000000" w:themeColor="text1"/>
                <w:sz w:val="24"/>
                <w:szCs w:val="24"/>
                <w:lang w:eastAsia="zh-CN"/>
              </w:rPr>
              <w:t>职工生活</w:t>
            </w:r>
          </w:p>
        </w:tc>
        <w:tc>
          <w:tcPr>
            <w:tcW w:w="1752" w:type="dxa"/>
            <w:vAlign w:val="center"/>
          </w:tcPr>
          <w:p>
            <w:pPr>
              <w:jc w:val="center"/>
              <w:rPr>
                <w:rFonts w:hint="eastAsia" w:ascii="Times New Roman" w:hAnsi="Times New Roman" w:eastAsia="宋体"/>
                <w:color w:val="000000" w:themeColor="text1"/>
                <w:sz w:val="24"/>
                <w:szCs w:val="24"/>
                <w:lang w:eastAsia="zh-CN"/>
              </w:rPr>
            </w:pPr>
            <w:r>
              <w:rPr>
                <w:rFonts w:hint="eastAsia" w:ascii="Times New Roman" w:hAnsi="Times New Roman" w:eastAsia="宋体"/>
                <w:color w:val="000000" w:themeColor="text1"/>
                <w:sz w:val="24"/>
                <w:szCs w:val="24"/>
                <w:lang w:eastAsia="zh-CN"/>
              </w:rPr>
              <w:t>生活垃圾</w:t>
            </w:r>
          </w:p>
        </w:tc>
        <w:tc>
          <w:tcPr>
            <w:tcW w:w="2642" w:type="dxa"/>
            <w:shd w:val="clear" w:color="auto" w:fill="auto"/>
            <w:vAlign w:val="center"/>
          </w:tcPr>
          <w:p>
            <w:pPr>
              <w:spacing w:line="240" w:lineRule="auto"/>
              <w:rPr>
                <w:rFonts w:hint="eastAsia" w:ascii="Times New Roman" w:hAnsi="Times New Roman" w:eastAsia="宋体"/>
                <w:color w:val="000000" w:themeColor="text1"/>
                <w:sz w:val="24"/>
                <w:szCs w:val="24"/>
              </w:rPr>
            </w:pPr>
            <w:r>
              <w:rPr>
                <w:rFonts w:hint="eastAsia" w:ascii="Times New Roman" w:hAnsi="Times New Roman" w:eastAsia="宋体" w:cs="Times New Roman"/>
                <w:bCs/>
                <w:color w:val="000000" w:themeColor="text1"/>
                <w:sz w:val="24"/>
                <w:szCs w:val="24"/>
                <w:lang w:eastAsia="zh-CN"/>
              </w:rPr>
              <w:t>环卫部门定期收集</w:t>
            </w:r>
            <w:r>
              <w:rPr>
                <w:rFonts w:hint="default" w:ascii="Times New Roman" w:hAnsi="Times New Roman" w:eastAsia="宋体" w:cs="Times New Roman"/>
                <w:bCs/>
                <w:color w:val="000000" w:themeColor="text1"/>
                <w:sz w:val="24"/>
                <w:szCs w:val="24"/>
              </w:rPr>
              <w:t>送往当地垃圾中转站，集中处置。</w:t>
            </w:r>
          </w:p>
        </w:tc>
        <w:tc>
          <w:tcPr>
            <w:tcW w:w="2657" w:type="dxa"/>
            <w:shd w:val="clear" w:color="auto" w:fill="auto"/>
            <w:vAlign w:val="center"/>
          </w:tcPr>
          <w:p>
            <w:pPr>
              <w:jc w:val="center"/>
              <w:rPr>
                <w:rFonts w:hint="eastAsia" w:ascii="Times New Roman" w:hAnsi="Times New Roman" w:eastAsia="宋体"/>
                <w:color w:val="000000" w:themeColor="text1"/>
                <w:sz w:val="24"/>
                <w:szCs w:val="24"/>
              </w:rPr>
            </w:pPr>
            <w:r>
              <w:rPr>
                <w:rFonts w:hint="eastAsia" w:ascii="Times New Roman" w:hAnsi="Times New Roman" w:eastAsia="宋体"/>
                <w:color w:val="000000" w:themeColor="text1"/>
                <w:sz w:val="24"/>
                <w:szCs w:val="24"/>
              </w:rPr>
              <w:t>合理处置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7" w:hRule="atLeast"/>
        </w:trPr>
        <w:tc>
          <w:tcPr>
            <w:tcW w:w="946" w:type="dxa"/>
            <w:vMerge w:val="continue"/>
            <w:shd w:val="clear" w:color="auto" w:fill="auto"/>
          </w:tcPr>
          <w:p>
            <w:pPr>
              <w:jc w:val="center"/>
              <w:rPr>
                <w:rFonts w:ascii="Times New Roman" w:hAnsi="Times New Roman" w:eastAsia="宋体"/>
                <w:b/>
                <w:color w:val="000000" w:themeColor="text1"/>
                <w:sz w:val="24"/>
              </w:rPr>
            </w:pPr>
          </w:p>
        </w:tc>
        <w:tc>
          <w:tcPr>
            <w:tcW w:w="1286" w:type="dxa"/>
            <w:vMerge w:val="restart"/>
            <w:vAlign w:val="center"/>
          </w:tcPr>
          <w:p>
            <w:pPr>
              <w:jc w:val="center"/>
              <w:rPr>
                <w:rFonts w:ascii="Times New Roman" w:hAnsi="Times New Roman" w:eastAsia="宋体"/>
                <w:color w:val="000000" w:themeColor="text1"/>
                <w:sz w:val="24"/>
                <w:szCs w:val="24"/>
              </w:rPr>
            </w:pPr>
            <w:r>
              <w:rPr>
                <w:rFonts w:hint="eastAsia" w:ascii="Times New Roman" w:hAnsi="Times New Roman" w:eastAsia="宋体"/>
                <w:color w:val="000000" w:themeColor="text1"/>
                <w:sz w:val="24"/>
                <w:szCs w:val="24"/>
              </w:rPr>
              <w:t>加加工</w:t>
            </w:r>
          </w:p>
          <w:p>
            <w:pPr>
              <w:jc w:val="center"/>
              <w:rPr>
                <w:rFonts w:ascii="Times New Roman" w:hAnsi="Times New Roman" w:eastAsia="宋体"/>
                <w:color w:val="000000" w:themeColor="text1"/>
                <w:sz w:val="24"/>
                <w:szCs w:val="24"/>
              </w:rPr>
            </w:pPr>
            <w:r>
              <w:rPr>
                <w:rFonts w:hint="eastAsia" w:ascii="Times New Roman" w:hAnsi="Times New Roman" w:eastAsia="宋体"/>
                <w:color w:val="000000" w:themeColor="text1"/>
                <w:sz w:val="24"/>
                <w:szCs w:val="24"/>
              </w:rPr>
              <w:t>设备</w:t>
            </w:r>
          </w:p>
        </w:tc>
        <w:tc>
          <w:tcPr>
            <w:tcW w:w="1752" w:type="dxa"/>
            <w:vAlign w:val="center"/>
          </w:tcPr>
          <w:p>
            <w:pPr>
              <w:jc w:val="center"/>
              <w:rPr>
                <w:rFonts w:ascii="Times New Roman" w:hAnsi="Times New Roman" w:eastAsia="宋体"/>
                <w:color w:val="000000" w:themeColor="text1"/>
                <w:sz w:val="24"/>
                <w:szCs w:val="24"/>
              </w:rPr>
            </w:pPr>
            <w:r>
              <w:rPr>
                <w:rFonts w:hint="eastAsia" w:ascii="Times New Roman" w:hAnsi="Times New Roman" w:eastAsia="宋体"/>
                <w:color w:val="000000" w:themeColor="text1"/>
                <w:sz w:val="24"/>
                <w:szCs w:val="24"/>
              </w:rPr>
              <w:t>废乳化液</w:t>
            </w:r>
          </w:p>
        </w:tc>
        <w:tc>
          <w:tcPr>
            <w:tcW w:w="2642" w:type="dxa"/>
            <w:vMerge w:val="restart"/>
            <w:tcBorders>
              <w:top w:val="single" w:color="auto" w:sz="4" w:space="0"/>
            </w:tcBorders>
            <w:vAlign w:val="center"/>
          </w:tcPr>
          <w:p>
            <w:pPr>
              <w:spacing w:line="240" w:lineRule="auto"/>
              <w:jc w:val="center"/>
              <w:rPr>
                <w:rFonts w:ascii="Times New Roman" w:hAnsi="Times New Roman" w:eastAsia="宋体"/>
                <w:color w:val="000000" w:themeColor="text1"/>
                <w:sz w:val="24"/>
                <w:szCs w:val="24"/>
              </w:rPr>
            </w:pPr>
            <w:r>
              <w:rPr>
                <w:rFonts w:ascii="Times New Roman" w:hAnsi="Times New Roman" w:eastAsia="宋体"/>
                <w:color w:val="000000" w:themeColor="text1"/>
                <w:sz w:val="24"/>
                <w:szCs w:val="24"/>
              </w:rPr>
              <w:t>委托具有危废处理资质单位处理，不得随意外排</w:t>
            </w:r>
          </w:p>
        </w:tc>
        <w:tc>
          <w:tcPr>
            <w:tcW w:w="2657" w:type="dxa"/>
            <w:vMerge w:val="restart"/>
            <w:tcBorders>
              <w:top w:val="single" w:color="auto" w:sz="4" w:space="0"/>
            </w:tcBorders>
            <w:vAlign w:val="center"/>
          </w:tcPr>
          <w:p>
            <w:pPr>
              <w:jc w:val="center"/>
              <w:rPr>
                <w:rFonts w:ascii="Times New Roman" w:hAnsi="Times New Roman" w:eastAsia="宋体"/>
                <w:color w:val="000000" w:themeColor="text1"/>
                <w:sz w:val="24"/>
                <w:szCs w:val="24"/>
              </w:rPr>
            </w:pPr>
            <w:r>
              <w:rPr>
                <w:rFonts w:ascii="Times New Roman" w:hAnsi="Times New Roman" w:eastAsia="宋体"/>
                <w:color w:val="000000" w:themeColor="text1"/>
                <w:sz w:val="24"/>
                <w:szCs w:val="24"/>
              </w:rPr>
              <w:t>安全处置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946" w:type="dxa"/>
            <w:vMerge w:val="continue"/>
            <w:shd w:val="clear" w:color="auto" w:fill="auto"/>
          </w:tcPr>
          <w:p>
            <w:pPr>
              <w:jc w:val="center"/>
              <w:rPr>
                <w:rFonts w:ascii="Times New Roman" w:hAnsi="Times New Roman" w:eastAsia="宋体"/>
                <w:b/>
                <w:color w:val="000000" w:themeColor="text1"/>
                <w:sz w:val="24"/>
              </w:rPr>
            </w:pPr>
          </w:p>
        </w:tc>
        <w:tc>
          <w:tcPr>
            <w:tcW w:w="1286" w:type="dxa"/>
            <w:vMerge w:val="continue"/>
            <w:vAlign w:val="center"/>
          </w:tcPr>
          <w:p>
            <w:pPr>
              <w:jc w:val="center"/>
              <w:rPr>
                <w:rFonts w:ascii="Times New Roman" w:hAnsi="Times New Roman" w:eastAsia="宋体"/>
                <w:color w:val="000000" w:themeColor="text1"/>
                <w:sz w:val="24"/>
              </w:rPr>
            </w:pPr>
          </w:p>
        </w:tc>
        <w:tc>
          <w:tcPr>
            <w:tcW w:w="1752" w:type="dxa"/>
            <w:vAlign w:val="center"/>
          </w:tcPr>
          <w:p>
            <w:pPr>
              <w:jc w:val="center"/>
              <w:rPr>
                <w:rFonts w:ascii="Times New Roman" w:hAnsi="Times New Roman" w:eastAsia="宋体"/>
                <w:color w:val="000000" w:themeColor="text1"/>
                <w:sz w:val="24"/>
              </w:rPr>
            </w:pPr>
            <w:r>
              <w:rPr>
                <w:rFonts w:hint="eastAsia" w:ascii="Times New Roman" w:hAnsi="Times New Roman" w:eastAsia="宋体"/>
                <w:color w:val="000000" w:themeColor="text1"/>
                <w:sz w:val="24"/>
              </w:rPr>
              <w:t>废机油</w:t>
            </w:r>
          </w:p>
        </w:tc>
        <w:tc>
          <w:tcPr>
            <w:tcW w:w="2642" w:type="dxa"/>
            <w:vMerge w:val="continue"/>
            <w:vAlign w:val="center"/>
          </w:tcPr>
          <w:p>
            <w:pPr>
              <w:jc w:val="center"/>
              <w:rPr>
                <w:rFonts w:ascii="Times New Roman" w:hAnsi="Times New Roman" w:eastAsia="宋体"/>
                <w:color w:val="000000" w:themeColor="text1"/>
                <w:sz w:val="24"/>
              </w:rPr>
            </w:pPr>
          </w:p>
        </w:tc>
        <w:tc>
          <w:tcPr>
            <w:tcW w:w="2657" w:type="dxa"/>
            <w:vMerge w:val="continue"/>
            <w:vAlign w:val="center"/>
          </w:tcPr>
          <w:p>
            <w:pPr>
              <w:jc w:val="center"/>
              <w:rPr>
                <w:rFonts w:ascii="Times New Roman" w:hAnsi="Times New Roman" w:eastAsia="宋体"/>
                <w:color w:val="000000" w:themeColor="text1"/>
                <w:sz w:val="24"/>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37" w:hRule="atLeast"/>
        </w:trPr>
        <w:tc>
          <w:tcPr>
            <w:tcW w:w="946" w:type="dxa"/>
            <w:vAlign w:val="center"/>
          </w:tcPr>
          <w:p>
            <w:pPr>
              <w:jc w:val="center"/>
              <w:rPr>
                <w:rFonts w:ascii="Times New Roman" w:hAnsi="Times New Roman" w:eastAsia="宋体"/>
                <w:b/>
                <w:color w:val="000000" w:themeColor="text1"/>
                <w:sz w:val="24"/>
              </w:rPr>
            </w:pPr>
            <w:r>
              <w:rPr>
                <w:rFonts w:ascii="Times New Roman" w:hAnsi="Times New Roman" w:eastAsia="宋体"/>
                <w:b/>
                <w:color w:val="000000" w:themeColor="text1"/>
                <w:sz w:val="24"/>
              </w:rPr>
              <w:t>噪</w:t>
            </w:r>
          </w:p>
          <w:p>
            <w:pPr>
              <w:jc w:val="center"/>
              <w:rPr>
                <w:rFonts w:ascii="Times New Roman" w:hAnsi="Times New Roman" w:eastAsia="宋体"/>
                <w:b/>
                <w:color w:val="000000" w:themeColor="text1"/>
                <w:sz w:val="24"/>
              </w:rPr>
            </w:pPr>
            <w:r>
              <w:rPr>
                <w:rFonts w:ascii="Times New Roman" w:hAnsi="Times New Roman" w:eastAsia="宋体"/>
                <w:b/>
                <w:color w:val="000000" w:themeColor="text1"/>
                <w:sz w:val="24"/>
              </w:rPr>
              <w:t>声</w:t>
            </w:r>
          </w:p>
        </w:tc>
        <w:tc>
          <w:tcPr>
            <w:tcW w:w="8337" w:type="dxa"/>
            <w:gridSpan w:val="4"/>
            <w:vAlign w:val="center"/>
          </w:tcPr>
          <w:p>
            <w:pPr>
              <w:pStyle w:val="8"/>
              <w:spacing w:line="360" w:lineRule="auto"/>
              <w:ind w:firstLine="480" w:firstLineChars="200"/>
              <w:rPr>
                <w:rFonts w:ascii="Times New Roman" w:hAnsi="Times New Roman" w:eastAsia="宋体"/>
                <w:bCs/>
                <w:color w:val="000000" w:themeColor="text1"/>
                <w:kern w:val="0"/>
                <w:sz w:val="24"/>
              </w:rPr>
            </w:pPr>
            <w:r>
              <w:rPr>
                <w:rFonts w:hint="eastAsia" w:ascii="Times New Roman" w:hAnsi="Times New Roman" w:eastAsia="宋体"/>
                <w:bCs/>
                <w:color w:val="000000" w:themeColor="text1"/>
                <w:kern w:val="0"/>
                <w:sz w:val="24"/>
              </w:rPr>
              <w:t>本项目</w:t>
            </w:r>
            <w:r>
              <w:rPr>
                <w:rFonts w:ascii="Times New Roman" w:hAnsi="Times New Roman" w:eastAsia="宋体"/>
                <w:bCs/>
                <w:color w:val="000000" w:themeColor="text1"/>
                <w:kern w:val="0"/>
                <w:sz w:val="24"/>
              </w:rPr>
              <w:t>噪声源</w:t>
            </w:r>
            <w:r>
              <w:rPr>
                <w:rFonts w:hint="eastAsia" w:ascii="Times New Roman" w:hAnsi="Times New Roman" w:eastAsia="宋体"/>
                <w:bCs/>
                <w:color w:val="000000" w:themeColor="text1"/>
                <w:kern w:val="0"/>
                <w:sz w:val="24"/>
              </w:rPr>
              <w:t>主要</w:t>
            </w:r>
            <w:r>
              <w:rPr>
                <w:rFonts w:hint="eastAsia" w:ascii="Times New Roman" w:hAnsi="Times New Roman" w:eastAsia="宋体"/>
                <w:bCs/>
                <w:color w:val="000000" w:themeColor="text1"/>
                <w:kern w:val="0"/>
                <w:sz w:val="24"/>
                <w:lang w:eastAsia="zh-CN"/>
              </w:rPr>
              <w:t>机床、铣床、焊机等</w:t>
            </w:r>
            <w:r>
              <w:rPr>
                <w:rFonts w:hint="eastAsia" w:ascii="Times New Roman" w:hAnsi="Times New Roman" w:eastAsia="宋体"/>
                <w:bCs/>
                <w:color w:val="000000" w:themeColor="text1"/>
                <w:kern w:val="0"/>
                <w:sz w:val="24"/>
              </w:rPr>
              <w:t>，噪声源强在</w:t>
            </w:r>
            <w:r>
              <w:rPr>
                <w:rFonts w:hint="eastAsia"/>
                <w:bCs/>
                <w:color w:val="000000" w:themeColor="text1"/>
                <w:kern w:val="0"/>
                <w:sz w:val="24"/>
                <w:lang w:val="en-US" w:eastAsia="zh-CN"/>
              </w:rPr>
              <w:t>75</w:t>
            </w:r>
            <w:r>
              <w:rPr>
                <w:rFonts w:hint="eastAsia" w:ascii="Times New Roman" w:hAnsi="Times New Roman" w:eastAsia="宋体"/>
                <w:bCs/>
                <w:color w:val="000000" w:themeColor="text1"/>
                <w:kern w:val="0"/>
                <w:sz w:val="24"/>
              </w:rPr>
              <w:t>～</w:t>
            </w:r>
            <w:r>
              <w:rPr>
                <w:rFonts w:hint="eastAsia"/>
                <w:bCs/>
                <w:color w:val="000000" w:themeColor="text1"/>
                <w:kern w:val="0"/>
                <w:sz w:val="24"/>
                <w:lang w:val="en-US" w:eastAsia="zh-CN"/>
              </w:rPr>
              <w:t>90</w:t>
            </w:r>
            <w:r>
              <w:rPr>
                <w:rFonts w:ascii="Times New Roman" w:hAnsi="Times New Roman" w:eastAsia="宋体"/>
                <w:bCs/>
                <w:color w:val="000000" w:themeColor="text1"/>
                <w:kern w:val="0"/>
                <w:sz w:val="24"/>
              </w:rPr>
              <w:t>dB</w:t>
            </w:r>
            <w:r>
              <w:rPr>
                <w:rFonts w:hint="eastAsia" w:ascii="Times New Roman" w:hAnsi="Times New Roman" w:eastAsia="宋体"/>
                <w:bCs/>
                <w:color w:val="000000" w:themeColor="text1"/>
                <w:kern w:val="0"/>
                <w:sz w:val="24"/>
              </w:rPr>
              <w:t>（</w:t>
            </w:r>
            <w:r>
              <w:rPr>
                <w:rFonts w:ascii="Times New Roman" w:hAnsi="Times New Roman" w:eastAsia="宋体"/>
                <w:bCs/>
                <w:color w:val="000000" w:themeColor="text1"/>
                <w:kern w:val="0"/>
                <w:sz w:val="24"/>
              </w:rPr>
              <w:t>A</w:t>
            </w:r>
            <w:r>
              <w:rPr>
                <w:rFonts w:hint="eastAsia" w:ascii="Times New Roman" w:hAnsi="Times New Roman" w:eastAsia="宋体"/>
                <w:bCs/>
                <w:color w:val="000000" w:themeColor="text1"/>
                <w:kern w:val="0"/>
                <w:sz w:val="24"/>
              </w:rPr>
              <w:t>）之间。</w:t>
            </w:r>
            <w:r>
              <w:rPr>
                <w:rFonts w:ascii="Times New Roman" w:hAnsi="Times New Roman" w:eastAsia="宋体"/>
                <w:bCs/>
                <w:color w:val="000000" w:themeColor="text1"/>
                <w:kern w:val="0"/>
                <w:sz w:val="24"/>
              </w:rPr>
              <w:t>可采取</w:t>
            </w:r>
            <w:r>
              <w:rPr>
                <w:rFonts w:hint="eastAsia" w:ascii="Times New Roman" w:hAnsi="Times New Roman" w:eastAsia="宋体"/>
                <w:bCs/>
                <w:color w:val="000000" w:themeColor="text1"/>
                <w:kern w:val="0"/>
                <w:sz w:val="24"/>
              </w:rPr>
              <w:t>隔声、</w:t>
            </w:r>
            <w:r>
              <w:rPr>
                <w:rFonts w:ascii="Times New Roman" w:hAnsi="Times New Roman" w:eastAsia="宋体"/>
                <w:bCs/>
                <w:color w:val="000000" w:themeColor="text1"/>
                <w:kern w:val="0"/>
                <w:sz w:val="24"/>
              </w:rPr>
              <w:t>减振</w:t>
            </w:r>
            <w:r>
              <w:rPr>
                <w:rFonts w:hint="eastAsia" w:ascii="Times New Roman" w:hAnsi="Times New Roman" w:eastAsia="宋体"/>
                <w:bCs/>
                <w:color w:val="000000" w:themeColor="text1"/>
                <w:kern w:val="0"/>
                <w:sz w:val="24"/>
              </w:rPr>
              <w:t>以及距离衰减</w:t>
            </w:r>
            <w:r>
              <w:rPr>
                <w:rFonts w:ascii="Times New Roman" w:hAnsi="Times New Roman" w:eastAsia="宋体"/>
                <w:bCs/>
                <w:color w:val="000000" w:themeColor="text1"/>
                <w:kern w:val="0"/>
                <w:sz w:val="24"/>
              </w:rPr>
              <w:t>等措施，确保厂界噪声可满足</w:t>
            </w:r>
            <w:r>
              <w:rPr>
                <w:rFonts w:ascii="Times New Roman" w:hAnsi="Times New Roman" w:eastAsia="宋体"/>
                <w:color w:val="000000" w:themeColor="text1"/>
                <w:kern w:val="0"/>
                <w:sz w:val="24"/>
              </w:rPr>
              <w:t>《工业企业厂界环境噪声排放标准》（GB12348-2008）</w:t>
            </w:r>
            <w:r>
              <w:rPr>
                <w:rFonts w:hint="eastAsia"/>
                <w:color w:val="000000" w:themeColor="text1"/>
                <w:kern w:val="0"/>
                <w:sz w:val="24"/>
                <w:lang w:val="en-US" w:eastAsia="zh-CN"/>
              </w:rPr>
              <w:t>2类</w:t>
            </w:r>
            <w:r>
              <w:rPr>
                <w:rFonts w:ascii="Times New Roman" w:hAnsi="Times New Roman" w:eastAsia="宋体"/>
                <w:color w:val="000000" w:themeColor="text1"/>
                <w:kern w:val="0"/>
                <w:sz w:val="24"/>
              </w:rPr>
              <w:t>标准规定限值</w:t>
            </w:r>
            <w:r>
              <w:rPr>
                <w:rFonts w:ascii="Times New Roman" w:hAnsi="Times New Roman" w:eastAsia="宋体"/>
                <w:bCs/>
                <w:color w:val="000000" w:themeColor="text1"/>
                <w:kern w:val="0"/>
                <w:sz w:val="24"/>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74" w:hRule="atLeast"/>
        </w:trPr>
        <w:tc>
          <w:tcPr>
            <w:tcW w:w="9283" w:type="dxa"/>
            <w:gridSpan w:val="5"/>
            <w:vAlign w:val="center"/>
          </w:tcPr>
          <w:p>
            <w:pPr>
              <w:adjustRightInd w:val="0"/>
              <w:snapToGrid w:val="0"/>
              <w:spacing w:before="156" w:line="520" w:lineRule="exact"/>
              <w:rPr>
                <w:rFonts w:ascii="Times New Roman" w:hAnsi="Times New Roman" w:eastAsia="宋体"/>
                <w:b/>
                <w:color w:val="000000" w:themeColor="text1"/>
                <w:sz w:val="24"/>
              </w:rPr>
            </w:pPr>
            <w:r>
              <w:rPr>
                <w:rFonts w:ascii="Times New Roman" w:hAnsi="Times New Roman" w:eastAsia="宋体"/>
                <w:b/>
                <w:color w:val="000000" w:themeColor="text1"/>
                <w:sz w:val="24"/>
              </w:rPr>
              <w:t>生态保护措施及预期效果</w:t>
            </w:r>
          </w:p>
          <w:p>
            <w:pPr>
              <w:spacing w:line="360" w:lineRule="auto"/>
              <w:ind w:firstLine="480" w:firstLineChars="200"/>
              <w:rPr>
                <w:rFonts w:ascii="Times New Roman" w:hAnsi="Times New Roman" w:eastAsia="宋体"/>
                <w:color w:val="000000" w:themeColor="text1"/>
                <w:sz w:val="24"/>
              </w:rPr>
            </w:pPr>
            <w:r>
              <w:rPr>
                <w:rFonts w:hint="eastAsia" w:ascii="Times New Roman" w:hAnsi="Times New Roman" w:eastAsia="宋体"/>
                <w:color w:val="000000" w:themeColor="text1"/>
                <w:sz w:val="24"/>
              </w:rPr>
              <w:t>本</w:t>
            </w:r>
            <w:r>
              <w:rPr>
                <w:rFonts w:ascii="Times New Roman" w:hAnsi="Times New Roman" w:eastAsia="宋体"/>
                <w:color w:val="000000" w:themeColor="text1"/>
                <w:sz w:val="24"/>
              </w:rPr>
              <w:t>项目</w:t>
            </w:r>
            <w:r>
              <w:rPr>
                <w:rFonts w:hint="eastAsia" w:ascii="Times New Roman" w:hAnsi="Times New Roman" w:eastAsia="宋体"/>
                <w:color w:val="000000" w:themeColor="text1"/>
                <w:sz w:val="24"/>
              </w:rPr>
              <w:t>主要是</w:t>
            </w:r>
            <w:r>
              <w:rPr>
                <w:rFonts w:hint="eastAsia" w:ascii="Times New Roman" w:hAnsi="Times New Roman" w:eastAsia="宋体"/>
                <w:color w:val="000000" w:themeColor="text1"/>
                <w:sz w:val="24"/>
                <w:lang w:eastAsia="zh-CN"/>
              </w:rPr>
              <w:t>租赁现有厂房进行建设</w:t>
            </w:r>
            <w:r>
              <w:rPr>
                <w:rFonts w:hint="eastAsia" w:ascii="Times New Roman" w:hAnsi="Times New Roman" w:eastAsia="宋体"/>
                <w:color w:val="000000" w:themeColor="text1"/>
                <w:sz w:val="24"/>
              </w:rPr>
              <w:t>，对生态影响较小。</w:t>
            </w:r>
          </w:p>
          <w:p>
            <w:pPr>
              <w:spacing w:line="360" w:lineRule="auto"/>
              <w:ind w:firstLine="480" w:firstLineChars="200"/>
              <w:rPr>
                <w:rFonts w:ascii="Times New Roman" w:hAnsi="Times New Roman" w:eastAsia="宋体"/>
                <w:color w:val="000000" w:themeColor="text1"/>
                <w:sz w:val="24"/>
              </w:rPr>
            </w:pPr>
          </w:p>
        </w:tc>
      </w:tr>
    </w:tbl>
    <w:p>
      <w:pPr>
        <w:spacing w:line="360" w:lineRule="auto"/>
        <w:rPr>
          <w:rFonts w:eastAsia="黑体"/>
          <w:b/>
          <w:sz w:val="30"/>
        </w:rPr>
      </w:pPr>
      <w:r>
        <w:rPr>
          <w:sz w:val="28"/>
        </w:rPr>
        <w:br w:type="page"/>
      </w:r>
      <w:r>
        <w:rPr>
          <w:rFonts w:eastAsia="黑体"/>
          <w:b/>
          <w:sz w:val="30"/>
        </w:rPr>
        <w:t>结论与建议</w:t>
      </w:r>
    </w:p>
    <w:tbl>
      <w:tblPr>
        <w:tblStyle w:val="23"/>
        <w:tblW w:w="0" w:type="auto"/>
        <w:tblInd w:w="0" w:type="dxa"/>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fixed"/>
        <w:tblCellMar>
          <w:top w:w="0" w:type="dxa"/>
          <w:left w:w="108" w:type="dxa"/>
          <w:bottom w:w="0" w:type="dxa"/>
          <w:right w:w="108" w:type="dxa"/>
        </w:tblCellMar>
      </w:tblPr>
      <w:tblGrid>
        <w:gridCol w:w="9286"/>
      </w:tblGrid>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12317" w:hRule="atLeast"/>
        </w:trPr>
        <w:tc>
          <w:tcPr>
            <w:tcW w:w="9286" w:type="dxa"/>
          </w:tcPr>
          <w:p>
            <w:pPr>
              <w:spacing w:line="520" w:lineRule="exact"/>
              <w:ind w:firstLine="482" w:firstLineChars="200"/>
              <w:rPr>
                <w:rFonts w:ascii="Times New Roman" w:hAnsi="Times New Roman"/>
                <w:b/>
                <w:bCs/>
                <w:color w:val="000000"/>
                <w:sz w:val="24"/>
              </w:rPr>
            </w:pPr>
            <w:r>
              <w:rPr>
                <w:rFonts w:ascii="Times New Roman" w:hAnsi="Times New Roman"/>
                <w:b/>
                <w:bCs/>
                <w:color w:val="000000"/>
                <w:sz w:val="24"/>
              </w:rPr>
              <w:t>1、项目概况</w:t>
            </w:r>
          </w:p>
          <w:p>
            <w:pPr>
              <w:adjustRightInd w:val="0"/>
              <w:snapToGrid w:val="0"/>
              <w:spacing w:line="520" w:lineRule="exact"/>
              <w:ind w:firstLine="480" w:firstLineChars="200"/>
              <w:rPr>
                <w:rFonts w:ascii="Times New Roman" w:hAnsi="Times New Roman"/>
                <w:bCs/>
                <w:sz w:val="24"/>
              </w:rPr>
            </w:pPr>
            <w:r>
              <w:rPr>
                <w:rFonts w:hint="eastAsia" w:ascii="Times New Roman" w:hAnsi="Times New Roman"/>
                <w:bCs/>
                <w:sz w:val="24"/>
              </w:rPr>
              <w:t>本项目</w:t>
            </w:r>
            <w:r>
              <w:rPr>
                <w:rFonts w:ascii="Times New Roman" w:hAnsi="Times New Roman" w:eastAsia="宋体"/>
                <w:color w:val="000000" w:themeColor="text1"/>
                <w:sz w:val="24"/>
              </w:rPr>
              <w:t>位于</w:t>
            </w:r>
            <w:r>
              <w:rPr>
                <w:rFonts w:hint="eastAsia" w:ascii="Times New Roman" w:hAnsi="Times New Roman" w:eastAsia="宋体"/>
                <w:color w:val="000000" w:themeColor="text1"/>
                <w:sz w:val="24"/>
                <w:lang w:eastAsia="zh-CN"/>
              </w:rPr>
              <w:t>平顶山市卫东区矿工路59号院</w:t>
            </w:r>
            <w:r>
              <w:rPr>
                <w:rFonts w:ascii="Times New Roman" w:hAnsi="Times New Roman" w:eastAsia="宋体"/>
                <w:color w:val="000000" w:themeColor="text1"/>
                <w:sz w:val="24"/>
              </w:rPr>
              <w:t>，</w:t>
            </w:r>
            <w:r>
              <w:rPr>
                <w:rFonts w:hint="eastAsia" w:ascii="Times New Roman" w:hAnsi="Times New Roman" w:eastAsia="宋体"/>
                <w:color w:val="000000" w:themeColor="text1"/>
                <w:sz w:val="24"/>
              </w:rPr>
              <w:t>项目</w:t>
            </w:r>
            <w:r>
              <w:rPr>
                <w:rFonts w:hint="eastAsia" w:ascii="Times New Roman" w:hAnsi="Times New Roman"/>
                <w:color w:val="000000" w:themeColor="text1"/>
                <w:sz w:val="24"/>
                <w:lang w:eastAsia="zh-CN"/>
              </w:rPr>
              <w:t>租赁豫中地质勘查工程公司平顶山第四工程处厂房进行建设</w:t>
            </w:r>
            <w:r>
              <w:rPr>
                <w:rFonts w:hint="eastAsia" w:ascii="Times New Roman" w:hAnsi="Times New Roman"/>
                <w:sz w:val="24"/>
              </w:rPr>
              <w:t>，总投资为</w:t>
            </w:r>
            <w:r>
              <w:rPr>
                <w:rFonts w:hint="eastAsia" w:ascii="Times New Roman" w:hAnsi="Times New Roman"/>
                <w:sz w:val="24"/>
                <w:lang w:val="en-US" w:eastAsia="zh-CN"/>
              </w:rPr>
              <w:t>100</w:t>
            </w:r>
            <w:r>
              <w:rPr>
                <w:rFonts w:hint="eastAsia" w:ascii="Times New Roman" w:hAnsi="Times New Roman"/>
                <w:sz w:val="24"/>
              </w:rPr>
              <w:t>万元，</w:t>
            </w:r>
            <w:r>
              <w:rPr>
                <w:rFonts w:hint="eastAsia" w:ascii="Times New Roman" w:hAnsi="Times New Roman"/>
                <w:sz w:val="24"/>
                <w:lang w:eastAsia="zh-CN"/>
              </w:rPr>
              <w:t>环保投资</w:t>
            </w:r>
            <w:r>
              <w:rPr>
                <w:rFonts w:hint="eastAsia" w:ascii="Times New Roman" w:hAnsi="Times New Roman"/>
                <w:sz w:val="24"/>
                <w:lang w:val="en-US" w:eastAsia="zh-CN"/>
              </w:rPr>
              <w:t>6.3万元，占总投资的6.3%。</w:t>
            </w:r>
            <w:r>
              <w:rPr>
                <w:rFonts w:hint="eastAsia" w:ascii="Times New Roman" w:hAnsi="Times New Roman" w:eastAsia="宋体" w:cs="Times New Roman"/>
                <w:sz w:val="24"/>
                <w:szCs w:val="24"/>
                <w:lang w:eastAsia="zh-CN"/>
              </w:rPr>
              <w:t>项目总用地面积</w:t>
            </w:r>
            <w:r>
              <w:rPr>
                <w:rFonts w:hint="eastAsia" w:ascii="Times New Roman" w:hAnsi="Times New Roman"/>
                <w:sz w:val="24"/>
                <w:szCs w:val="24"/>
                <w:lang w:val="en-US" w:eastAsia="zh-CN"/>
              </w:rPr>
              <w:t>2400</w:t>
            </w:r>
            <w:r>
              <w:rPr>
                <w:rFonts w:hint="default" w:ascii="Times New Roman" w:hAnsi="Times New Roman"/>
                <w:sz w:val="24"/>
                <w:szCs w:val="24"/>
              </w:rPr>
              <w:t>m</w:t>
            </w:r>
            <w:r>
              <w:rPr>
                <w:rFonts w:hint="default" w:ascii="Times New Roman" w:hAnsi="Times New Roman"/>
                <w:sz w:val="24"/>
                <w:szCs w:val="24"/>
                <w:vertAlign w:val="superscript"/>
              </w:rPr>
              <w:t>2</w:t>
            </w:r>
            <w:r>
              <w:rPr>
                <w:rFonts w:hint="eastAsia" w:ascii="Times New Roman" w:hAnsi="Times New Roman"/>
                <w:sz w:val="24"/>
                <w:szCs w:val="24"/>
                <w:vertAlign w:val="baseline"/>
                <w:lang w:eastAsia="zh-CN"/>
              </w:rPr>
              <w:t>，</w:t>
            </w:r>
            <w:r>
              <w:rPr>
                <w:rFonts w:hint="eastAsia" w:ascii="Times New Roman" w:hAnsi="Times New Roman" w:cs="Times New Roman"/>
                <w:color w:val="auto"/>
                <w:sz w:val="24"/>
                <w:szCs w:val="24"/>
                <w:lang w:eastAsia="zh-CN"/>
              </w:rPr>
              <w:t>车间</w:t>
            </w:r>
            <w:r>
              <w:rPr>
                <w:rFonts w:hint="default" w:ascii="Times New Roman" w:hAnsi="Times New Roman" w:cs="Times New Roman"/>
                <w:color w:val="auto"/>
                <w:sz w:val="24"/>
                <w:szCs w:val="24"/>
              </w:rPr>
              <w:t>建筑面积</w:t>
            </w:r>
            <w:r>
              <w:rPr>
                <w:rFonts w:hint="eastAsia" w:ascii="Times New Roman" w:hAnsi="Times New Roman" w:cs="Times New Roman"/>
                <w:color w:val="auto"/>
                <w:sz w:val="24"/>
                <w:szCs w:val="24"/>
                <w:lang w:val="en-US" w:eastAsia="zh-CN"/>
              </w:rPr>
              <w:t>1700</w:t>
            </w:r>
            <w:r>
              <w:rPr>
                <w:rFonts w:hint="default" w:ascii="Times New Roman" w:hAnsi="Times New Roman" w:cs="Times New Roman"/>
                <w:color w:val="auto"/>
                <w:sz w:val="24"/>
                <w:szCs w:val="24"/>
              </w:rPr>
              <w:t>m</w:t>
            </w:r>
            <w:r>
              <w:rPr>
                <w:rFonts w:hint="default" w:ascii="Times New Roman" w:hAnsi="Times New Roman" w:cs="Times New Roman"/>
                <w:color w:val="auto"/>
                <w:sz w:val="24"/>
                <w:szCs w:val="24"/>
                <w:vertAlign w:val="superscript"/>
              </w:rPr>
              <w:t>2</w:t>
            </w:r>
            <w:r>
              <w:rPr>
                <w:rFonts w:hint="eastAsia" w:ascii="Times New Roman" w:hAnsi="Times New Roman" w:eastAsia="宋体"/>
                <w:sz w:val="24"/>
                <w:szCs w:val="24"/>
                <w:vertAlign w:val="baseline"/>
                <w:lang w:eastAsia="zh-CN"/>
              </w:rPr>
              <w:t>，</w:t>
            </w:r>
            <w:r>
              <w:rPr>
                <w:rFonts w:hint="eastAsia" w:ascii="Times New Roman" w:hAnsi="Times New Roman" w:cs="Times New Roman"/>
                <w:color w:val="auto"/>
                <w:sz w:val="24"/>
                <w:szCs w:val="24"/>
                <w:lang w:val="en-US" w:eastAsia="zh-CN"/>
              </w:rPr>
              <w:t>年产30000件钻套机具及配套产品</w:t>
            </w:r>
            <w:r>
              <w:rPr>
                <w:rFonts w:hint="eastAsia" w:ascii="Times New Roman" w:hAnsi="Times New Roman" w:eastAsia="宋体" w:cs="Times New Roman"/>
                <w:sz w:val="24"/>
                <w:szCs w:val="24"/>
              </w:rPr>
              <w:t>。</w:t>
            </w:r>
          </w:p>
          <w:p>
            <w:pPr>
              <w:spacing w:line="520" w:lineRule="exact"/>
              <w:ind w:firstLine="480"/>
              <w:rPr>
                <w:rFonts w:ascii="Times New Roman" w:hAnsi="Times New Roman"/>
                <w:bCs/>
                <w:sz w:val="24"/>
              </w:rPr>
            </w:pPr>
            <w:r>
              <w:rPr>
                <w:rFonts w:hint="eastAsia" w:ascii="Times New Roman" w:hAnsi="Times New Roman"/>
                <w:sz w:val="24"/>
              </w:rPr>
              <w:t>项目</w:t>
            </w:r>
            <w:r>
              <w:rPr>
                <w:rFonts w:hint="eastAsia" w:ascii="Times New Roman" w:hAnsi="Times New Roman" w:eastAsia="宋体"/>
                <w:color w:val="000000" w:themeColor="text1"/>
                <w:sz w:val="24"/>
              </w:rPr>
              <w:t>东侧</w:t>
            </w:r>
            <w:r>
              <w:rPr>
                <w:rFonts w:hint="eastAsia" w:ascii="Times New Roman" w:hAnsi="Times New Roman"/>
                <w:color w:val="000000" w:themeColor="text1"/>
                <w:sz w:val="24"/>
                <w:lang w:eastAsia="zh-CN"/>
              </w:rPr>
              <w:t>、北侧为</w:t>
            </w:r>
            <w:r>
              <w:rPr>
                <w:rFonts w:hint="eastAsia"/>
                <w:color w:val="000000" w:themeColor="text1"/>
                <w:sz w:val="24"/>
                <w:lang w:eastAsia="zh-CN"/>
              </w:rPr>
              <w:t>张庄</w:t>
            </w:r>
            <w:r>
              <w:rPr>
                <w:rFonts w:hint="eastAsia" w:ascii="Times New Roman" w:hAnsi="Times New Roman"/>
                <w:color w:val="000000" w:themeColor="text1"/>
                <w:sz w:val="24"/>
                <w:lang w:eastAsia="zh-CN"/>
              </w:rPr>
              <w:t>，距离约</w:t>
            </w:r>
            <w:r>
              <w:rPr>
                <w:rFonts w:hint="eastAsia"/>
                <w:color w:val="000000" w:themeColor="text1"/>
                <w:sz w:val="24"/>
                <w:lang w:val="en-US" w:eastAsia="zh-CN"/>
              </w:rPr>
              <w:t>3</w:t>
            </w:r>
            <w:r>
              <w:rPr>
                <w:rFonts w:hint="eastAsia" w:ascii="Times New Roman" w:hAnsi="Times New Roman"/>
                <w:color w:val="000000" w:themeColor="text1"/>
                <w:sz w:val="24"/>
                <w:lang w:val="en-US" w:eastAsia="zh-CN"/>
              </w:rPr>
              <w:t>5m；</w:t>
            </w:r>
            <w:r>
              <w:rPr>
                <w:rFonts w:hint="eastAsia" w:ascii="Times New Roman" w:hAnsi="Times New Roman"/>
                <w:color w:val="000000" w:themeColor="text1"/>
                <w:sz w:val="24"/>
                <w:lang w:eastAsia="zh-CN"/>
              </w:rPr>
              <w:t>西侧为空厂房，厂房西侧为月台河，距离本项目</w:t>
            </w:r>
            <w:r>
              <w:rPr>
                <w:rFonts w:hint="eastAsia" w:ascii="Times New Roman" w:hAnsi="Times New Roman"/>
                <w:color w:val="000000" w:themeColor="text1"/>
                <w:sz w:val="24"/>
                <w:lang w:val="en-US" w:eastAsia="zh-CN"/>
              </w:rPr>
              <w:t>45m</w:t>
            </w:r>
            <w:r>
              <w:rPr>
                <w:rFonts w:hint="eastAsia" w:ascii="Times New Roman" w:hAnsi="Times New Roman"/>
                <w:color w:val="000000" w:themeColor="text1"/>
                <w:sz w:val="24"/>
                <w:lang w:eastAsia="zh-CN"/>
              </w:rPr>
              <w:t>；南侧为空厂院，厂院南侧为</w:t>
            </w:r>
            <w:r>
              <w:rPr>
                <w:rFonts w:hint="eastAsia"/>
                <w:color w:val="000000" w:themeColor="text1"/>
                <w:sz w:val="24"/>
                <w:lang w:eastAsia="zh-CN"/>
              </w:rPr>
              <w:t>张庄</w:t>
            </w:r>
            <w:r>
              <w:rPr>
                <w:rFonts w:hint="eastAsia" w:ascii="Times New Roman" w:hAnsi="Times New Roman"/>
                <w:sz w:val="24"/>
              </w:rPr>
              <w:t>。项目运营后职工</w:t>
            </w:r>
            <w:r>
              <w:rPr>
                <w:rFonts w:hint="eastAsia" w:ascii="Times New Roman" w:hAnsi="Times New Roman"/>
                <w:sz w:val="24"/>
                <w:lang w:eastAsia="zh-CN"/>
              </w:rPr>
              <w:t>为</w:t>
            </w:r>
            <w:r>
              <w:rPr>
                <w:rFonts w:hint="eastAsia" w:ascii="Times New Roman" w:hAnsi="Times New Roman"/>
                <w:sz w:val="24"/>
                <w:lang w:val="en-US" w:eastAsia="zh-CN"/>
              </w:rPr>
              <w:t>20人</w:t>
            </w:r>
            <w:r>
              <w:rPr>
                <w:rFonts w:hint="eastAsia" w:ascii="Times New Roman" w:hAnsi="Times New Roman"/>
                <w:sz w:val="24"/>
              </w:rPr>
              <w:t>，</w:t>
            </w:r>
            <w:r>
              <w:rPr>
                <w:rFonts w:hint="eastAsia" w:ascii="Times New Roman" w:hAnsi="Times New Roman"/>
                <w:bCs/>
                <w:sz w:val="24"/>
              </w:rPr>
              <w:t>项目实行</w:t>
            </w:r>
            <w:r>
              <w:rPr>
                <w:rFonts w:ascii="Times New Roman" w:hAnsi="Times New Roman"/>
                <w:bCs/>
                <w:sz w:val="24"/>
              </w:rPr>
              <w:t>1</w:t>
            </w:r>
            <w:r>
              <w:rPr>
                <w:rFonts w:hint="eastAsia" w:ascii="Times New Roman" w:hAnsi="Times New Roman"/>
                <w:bCs/>
                <w:sz w:val="24"/>
              </w:rPr>
              <w:t>班</w:t>
            </w:r>
            <w:r>
              <w:rPr>
                <w:rFonts w:ascii="Times New Roman" w:hAnsi="Times New Roman"/>
                <w:bCs/>
                <w:sz w:val="24"/>
              </w:rPr>
              <w:t>8</w:t>
            </w:r>
            <w:r>
              <w:rPr>
                <w:rFonts w:hint="eastAsia" w:ascii="Times New Roman" w:hAnsi="Times New Roman"/>
                <w:bCs/>
                <w:sz w:val="24"/>
              </w:rPr>
              <w:t>小时工作制，年工作</w:t>
            </w:r>
            <w:r>
              <w:rPr>
                <w:rFonts w:hint="eastAsia" w:ascii="Times New Roman" w:hAnsi="Times New Roman"/>
                <w:bCs/>
                <w:sz w:val="24"/>
                <w:lang w:val="en-US" w:eastAsia="zh-CN"/>
              </w:rPr>
              <w:t>300</w:t>
            </w:r>
            <w:r>
              <w:rPr>
                <w:rFonts w:hint="eastAsia" w:ascii="Times New Roman" w:hAnsi="Times New Roman"/>
                <w:bCs/>
                <w:sz w:val="24"/>
              </w:rPr>
              <w:t>天。</w:t>
            </w:r>
          </w:p>
          <w:p>
            <w:pPr>
              <w:spacing w:line="520" w:lineRule="exact"/>
              <w:ind w:firstLine="472" w:firstLineChars="196"/>
              <w:rPr>
                <w:rFonts w:ascii="Times New Roman" w:hAnsi="Times New Roman"/>
                <w:b/>
                <w:bCs/>
                <w:color w:val="000000"/>
                <w:sz w:val="24"/>
              </w:rPr>
            </w:pPr>
            <w:r>
              <w:rPr>
                <w:rFonts w:ascii="Times New Roman" w:hAnsi="Times New Roman"/>
                <w:b/>
                <w:bCs/>
                <w:color w:val="000000"/>
                <w:sz w:val="24"/>
              </w:rPr>
              <w:t>2、项目可行性分析结论</w:t>
            </w:r>
          </w:p>
          <w:p>
            <w:pPr>
              <w:pStyle w:val="35"/>
              <w:ind w:firstLine="480"/>
              <w:rPr>
                <w:rFonts w:ascii="Times New Roman" w:hAnsi="Times New Roman" w:cs="Times New Roman"/>
              </w:rPr>
            </w:pPr>
            <w:r>
              <w:rPr>
                <w:rFonts w:ascii="Times New Roman" w:hAnsi="Times New Roman" w:cs="Times New Roman"/>
              </w:rPr>
              <w:t>（1）选址符合性分析</w:t>
            </w:r>
          </w:p>
          <w:p>
            <w:pPr>
              <w:pStyle w:val="35"/>
              <w:ind w:firstLine="480"/>
              <w:rPr>
                <w:rFonts w:ascii="Times New Roman" w:hAnsi="Times New Roman" w:cs="Times New Roman"/>
              </w:rPr>
            </w:pPr>
            <w:r>
              <w:rPr>
                <w:rFonts w:ascii="Times New Roman" w:hAnsi="Times New Roman"/>
              </w:rPr>
              <w:t>本项目厂址位于</w:t>
            </w:r>
            <w:r>
              <w:rPr>
                <w:rFonts w:hint="eastAsia" w:ascii="Times New Roman" w:hAnsi="Times New Roman" w:eastAsia="宋体"/>
                <w:color w:val="000000" w:themeColor="text1"/>
                <w:sz w:val="24"/>
                <w:lang w:eastAsia="zh-CN"/>
              </w:rPr>
              <w:t>平顶山市卫东区矿工路59号院</w:t>
            </w:r>
            <w:r>
              <w:rPr>
                <w:rFonts w:ascii="Times New Roman" w:hAnsi="Times New Roman" w:eastAsia="宋体"/>
                <w:color w:val="000000" w:themeColor="text1"/>
                <w:sz w:val="24"/>
              </w:rPr>
              <w:t>，</w:t>
            </w:r>
            <w:r>
              <w:rPr>
                <w:rFonts w:hint="eastAsia" w:ascii="Times New Roman" w:hAnsi="Times New Roman"/>
                <w:color w:val="000000" w:themeColor="text1"/>
                <w:sz w:val="24"/>
                <w:lang w:eastAsia="zh-CN"/>
              </w:rPr>
              <w:t>豫中地质勘查工程公司平顶山第四工程处院内</w:t>
            </w:r>
            <w:r>
              <w:rPr>
                <w:rFonts w:ascii="Times New Roman" w:hAnsi="Times New Roman"/>
              </w:rPr>
              <w:t>，</w:t>
            </w:r>
            <w:r>
              <w:rPr>
                <w:rFonts w:ascii="Times New Roman" w:hAnsi="Times New Roman" w:cs="Times New Roman"/>
              </w:rPr>
              <w:t>根据</w:t>
            </w:r>
            <w:r>
              <w:rPr>
                <w:rFonts w:hint="eastAsia" w:ascii="Times New Roman" w:hAnsi="Times New Roman" w:cs="Times New Roman"/>
              </w:rPr>
              <w:t>平顶山市</w:t>
            </w:r>
            <w:r>
              <w:rPr>
                <w:rFonts w:hint="eastAsia" w:ascii="Times New Roman" w:hAnsi="Times New Roman" w:cs="Times New Roman"/>
                <w:lang w:eastAsia="zh-CN"/>
              </w:rPr>
              <w:t>城乡规划局出具的证明</w:t>
            </w:r>
            <w:r>
              <w:rPr>
                <w:rFonts w:hint="eastAsia" w:ascii="Times New Roman" w:hAnsi="Times New Roman" w:cs="Times New Roman"/>
              </w:rPr>
              <w:t>可知，</w:t>
            </w:r>
            <w:r>
              <w:rPr>
                <w:rFonts w:hint="eastAsia" w:ascii="Times New Roman" w:hAnsi="Times New Roman"/>
                <w:color w:val="000000" w:themeColor="text1"/>
                <w:sz w:val="24"/>
                <w:lang w:eastAsia="zh-CN"/>
              </w:rPr>
              <w:t>豫中地质勘查工程公司平顶山第四工程处</w:t>
            </w:r>
            <w:r>
              <w:rPr>
                <w:rFonts w:hint="eastAsia" w:ascii="Times New Roman" w:hAnsi="Times New Roman"/>
                <w:bCs/>
              </w:rPr>
              <w:t>用地面积为用地性质为工业用地</w:t>
            </w:r>
            <w:r>
              <w:rPr>
                <w:rFonts w:ascii="Times New Roman" w:hAnsi="Times New Roman" w:cs="Times New Roman"/>
              </w:rPr>
              <w:t>，项目建设选址可行。</w:t>
            </w:r>
          </w:p>
          <w:p>
            <w:pPr>
              <w:pStyle w:val="35"/>
              <w:ind w:firstLine="480"/>
              <w:rPr>
                <w:rFonts w:ascii="Times New Roman" w:hAnsi="Times New Roman" w:cs="Times New Roman"/>
              </w:rPr>
            </w:pPr>
            <w:r>
              <w:rPr>
                <w:rFonts w:ascii="Times New Roman" w:hAnsi="Times New Roman" w:cs="Times New Roman"/>
              </w:rPr>
              <w:t>（</w:t>
            </w:r>
            <w:r>
              <w:rPr>
                <w:rFonts w:hint="eastAsia" w:ascii="Times New Roman" w:hAnsi="Times New Roman" w:cs="Times New Roman"/>
              </w:rPr>
              <w:t>2</w:t>
            </w:r>
            <w:r>
              <w:rPr>
                <w:rFonts w:ascii="Times New Roman" w:hAnsi="Times New Roman" w:cs="Times New Roman"/>
              </w:rPr>
              <w:t>）产业政策符合性分析</w:t>
            </w:r>
          </w:p>
          <w:p>
            <w:pPr>
              <w:spacing w:line="520" w:lineRule="exact"/>
              <w:ind w:firstLine="480" w:firstLineChars="200"/>
              <w:rPr>
                <w:rFonts w:hint="eastAsia" w:ascii="Times New Roman" w:hAnsi="Times New Roman" w:eastAsia="宋体"/>
                <w:sz w:val="24"/>
              </w:rPr>
            </w:pPr>
            <w:r>
              <w:rPr>
                <w:rFonts w:hint="eastAsia" w:ascii="Times New Roman" w:hAnsi="Times New Roman"/>
                <w:bCs/>
                <w:sz w:val="24"/>
                <w:lang w:eastAsia="zh-CN"/>
              </w:rPr>
              <w:t>平顶山五环实业有限公司</w:t>
            </w:r>
            <w:r>
              <w:rPr>
                <w:rFonts w:hint="eastAsia" w:ascii="Times New Roman" w:hAnsi="Times New Roman"/>
                <w:bCs/>
                <w:sz w:val="21"/>
                <w:szCs w:val="21"/>
                <w:lang w:eastAsia="zh-CN"/>
              </w:rPr>
              <w:t>年产30000件钻探机具及配件项目</w:t>
            </w:r>
            <w:r>
              <w:rPr>
                <w:rFonts w:hint="eastAsia" w:ascii="Times New Roman" w:hAnsi="Times New Roman" w:eastAsia="宋体" w:cs="宋体"/>
                <w:bCs/>
                <w:kern w:val="2"/>
                <w:sz w:val="24"/>
                <w:szCs w:val="20"/>
                <w:lang w:val="en-US" w:eastAsia="zh-CN" w:bidi="ar-SA"/>
              </w:rPr>
              <w:t>已经平顶</w:t>
            </w:r>
            <w:r>
              <w:rPr>
                <w:rFonts w:hint="eastAsia" w:ascii="Times New Roman" w:hAnsi="Times New Roman"/>
                <w:sz w:val="24"/>
              </w:rPr>
              <w:t>山市卫东区发展和改革</w:t>
            </w:r>
            <w:r>
              <w:rPr>
                <w:rFonts w:ascii="Times New Roman" w:hAnsi="Times New Roman"/>
                <w:sz w:val="24"/>
              </w:rPr>
              <w:t>委员会</w:t>
            </w:r>
            <w:r>
              <w:rPr>
                <w:rFonts w:hint="eastAsia" w:ascii="Times New Roman" w:hAnsi="Times New Roman"/>
                <w:bCs/>
                <w:sz w:val="24"/>
              </w:rPr>
              <w:t>备案，根据备案内容可知，项目代码为</w:t>
            </w:r>
            <w:r>
              <w:rPr>
                <w:rFonts w:hint="eastAsia" w:ascii="Times New Roman" w:hAnsi="Times New Roman" w:eastAsia="宋体"/>
                <w:sz w:val="24"/>
              </w:rPr>
              <w:t>20</w:t>
            </w:r>
            <w:r>
              <w:rPr>
                <w:rFonts w:hint="eastAsia" w:ascii="Times New Roman" w:hAnsi="Times New Roman" w:eastAsia="宋体"/>
                <w:sz w:val="24"/>
                <w:lang w:val="en-US" w:eastAsia="zh-CN"/>
              </w:rPr>
              <w:t>20</w:t>
            </w:r>
            <w:r>
              <w:rPr>
                <w:rFonts w:hint="eastAsia" w:ascii="Times New Roman" w:hAnsi="Times New Roman" w:eastAsia="宋体"/>
                <w:sz w:val="24"/>
              </w:rPr>
              <w:t>-410403-35-03-0</w:t>
            </w:r>
            <w:r>
              <w:rPr>
                <w:rFonts w:hint="eastAsia" w:ascii="Times New Roman" w:hAnsi="Times New Roman" w:eastAsia="宋体"/>
                <w:sz w:val="24"/>
                <w:lang w:val="en-US" w:eastAsia="zh-CN"/>
              </w:rPr>
              <w:t>71423</w:t>
            </w:r>
            <w:r>
              <w:rPr>
                <w:rFonts w:hint="eastAsia" w:ascii="Times New Roman" w:hAnsi="Times New Roman"/>
                <w:bCs/>
                <w:sz w:val="24"/>
              </w:rPr>
              <w:t>，</w:t>
            </w:r>
            <w:r>
              <w:rPr>
                <w:rFonts w:hint="eastAsia" w:ascii="Times New Roman" w:hAnsi="Times New Roman"/>
                <w:sz w:val="24"/>
              </w:rPr>
              <w:t>项</w:t>
            </w:r>
            <w:r>
              <w:rPr>
                <w:rFonts w:hint="eastAsia" w:ascii="Times New Roman" w:hAnsi="Times New Roman" w:cs="Times New Roman"/>
                <w:sz w:val="24"/>
              </w:rPr>
              <w:t>本项目生产设备、工艺、规模均不在《产业结构调整指导目录（2019年）》中限制类和淘汰类之列，属于允许类</w:t>
            </w:r>
            <w:r>
              <w:rPr>
                <w:rFonts w:hint="eastAsia" w:ascii="Times New Roman" w:hAnsi="Times New Roman" w:eastAsia="宋体"/>
                <w:sz w:val="24"/>
              </w:rPr>
              <w:t>，符合国家当前产业政策。</w:t>
            </w:r>
          </w:p>
          <w:p>
            <w:pPr>
              <w:spacing w:line="520" w:lineRule="exact"/>
              <w:ind w:firstLine="472" w:firstLineChars="196"/>
              <w:rPr>
                <w:rFonts w:ascii="Times New Roman" w:hAnsi="Times New Roman" w:cs="Times New Roman"/>
                <w:b/>
                <w:bCs/>
                <w:color w:val="000000"/>
                <w:sz w:val="24"/>
              </w:rPr>
            </w:pPr>
            <w:r>
              <w:rPr>
                <w:rFonts w:hint="eastAsia" w:ascii="Times New Roman" w:hAnsi="Times New Roman" w:cs="Times New Roman"/>
                <w:b/>
                <w:bCs/>
                <w:color w:val="000000"/>
                <w:sz w:val="24"/>
                <w:lang w:val="en-US" w:eastAsia="zh-CN"/>
              </w:rPr>
              <w:t>3、</w:t>
            </w:r>
            <w:r>
              <w:rPr>
                <w:rFonts w:hint="eastAsia" w:ascii="Times New Roman" w:hAnsi="Times New Roman" w:cs="Times New Roman"/>
                <w:b/>
                <w:bCs/>
                <w:color w:val="000000"/>
                <w:sz w:val="24"/>
              </w:rPr>
              <w:t>环境质量现状评价结论</w:t>
            </w:r>
          </w:p>
          <w:p>
            <w:pPr>
              <w:pStyle w:val="82"/>
              <w:spacing w:line="520" w:lineRule="exact"/>
              <w:ind w:firstLine="480"/>
              <w:jc w:val="left"/>
              <w:rPr>
                <w:rFonts w:ascii="Times New Roman" w:hAnsi="Times New Roman"/>
              </w:rPr>
            </w:pPr>
            <w:r>
              <w:rPr>
                <w:rFonts w:hint="default" w:ascii="Times New Roman" w:hAnsi="Times New Roman" w:cs="Times New Roman"/>
                <w:sz w:val="24"/>
                <w:szCs w:val="24"/>
              </w:rPr>
              <w:t>环境空气现状：</w:t>
            </w:r>
            <w:r>
              <w:rPr>
                <w:rFonts w:hint="default" w:ascii="Times New Roman" w:hAnsi="Times New Roman" w:eastAsia="宋体" w:cs="Times New Roman"/>
                <w:bCs/>
                <w:color w:val="000000"/>
                <w:spacing w:val="2"/>
                <w:sz w:val="24"/>
              </w:rPr>
              <w:t>20</w:t>
            </w:r>
            <w:r>
              <w:rPr>
                <w:rFonts w:hint="eastAsia" w:ascii="Times New Roman" w:hAnsi="Times New Roman" w:cs="Times New Roman"/>
                <w:bCs/>
                <w:color w:val="000000"/>
                <w:spacing w:val="2"/>
                <w:sz w:val="24"/>
                <w:lang w:val="en-US" w:eastAsia="zh-CN"/>
              </w:rPr>
              <w:t>19</w:t>
            </w:r>
            <w:r>
              <w:rPr>
                <w:rFonts w:hint="default" w:ascii="Times New Roman" w:hAnsi="Times New Roman" w:eastAsia="宋体" w:cs="Times New Roman"/>
                <w:bCs/>
                <w:color w:val="000000"/>
                <w:spacing w:val="2"/>
                <w:sz w:val="24"/>
              </w:rPr>
              <w:t>年</w:t>
            </w:r>
            <w:r>
              <w:rPr>
                <w:rFonts w:hint="default" w:ascii="Times New Roman" w:hAnsi="Times New Roman" w:eastAsia="宋体" w:cs="Times New Roman"/>
                <w:bCs/>
                <w:color w:val="000000"/>
                <w:spacing w:val="2"/>
                <w:sz w:val="24"/>
                <w:lang w:eastAsia="zh-CN"/>
              </w:rPr>
              <w:t>平顶山市大气环境质量</w:t>
            </w:r>
            <w:r>
              <w:rPr>
                <w:rFonts w:ascii="Times New Roman" w:hAnsi="Times New Roman"/>
              </w:rPr>
              <w:t>调查周期内项目所在区域PM</w:t>
            </w:r>
            <w:r>
              <w:rPr>
                <w:rFonts w:ascii="Times New Roman" w:hAnsi="Times New Roman"/>
                <w:vertAlign w:val="subscript"/>
              </w:rPr>
              <w:t>2.5</w:t>
            </w:r>
            <w:r>
              <w:rPr>
                <w:rFonts w:ascii="Times New Roman" w:hAnsi="Times New Roman"/>
              </w:rPr>
              <w:t>、PM</w:t>
            </w:r>
            <w:r>
              <w:rPr>
                <w:rFonts w:ascii="Times New Roman" w:hAnsi="Times New Roman"/>
                <w:vertAlign w:val="subscript"/>
              </w:rPr>
              <w:t>10</w:t>
            </w:r>
            <w:r>
              <w:rPr>
                <w:rFonts w:ascii="Times New Roman" w:hAnsi="Times New Roman"/>
              </w:rPr>
              <w:t>年均浓度未满足《环境空气质量标准》（GB3095-2012）中的二级标准限值，属于非达标区域。</w:t>
            </w:r>
          </w:p>
          <w:p>
            <w:pPr>
              <w:pStyle w:val="82"/>
              <w:spacing w:line="520" w:lineRule="exact"/>
              <w:ind w:firstLine="480"/>
              <w:jc w:val="left"/>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地表水环境：项目所在区域主要河流为</w:t>
            </w:r>
            <w:r>
              <w:rPr>
                <w:rFonts w:hint="default" w:ascii="Times New Roman" w:hAnsi="Times New Roman" w:cs="Times New Roman"/>
                <w:color w:val="000000" w:themeColor="text1"/>
                <w:sz w:val="24"/>
                <w:szCs w:val="24"/>
                <w:lang w:eastAsia="zh-CN"/>
              </w:rPr>
              <w:t>湛</w:t>
            </w:r>
            <w:r>
              <w:rPr>
                <w:rFonts w:hint="default" w:ascii="Times New Roman" w:hAnsi="Times New Roman" w:cs="Times New Roman"/>
                <w:color w:val="000000" w:themeColor="text1"/>
                <w:sz w:val="24"/>
                <w:szCs w:val="24"/>
              </w:rPr>
              <w:t>河</w:t>
            </w:r>
            <w:r>
              <w:rPr>
                <w:rFonts w:hint="eastAsia" w:ascii="Times New Roman" w:hAnsi="Times New Roman" w:cs="Times New Roman"/>
                <w:color w:val="000000" w:themeColor="text1"/>
                <w:sz w:val="24"/>
                <w:szCs w:val="24"/>
                <w:lang w:eastAsia="zh-CN"/>
              </w:rPr>
              <w:t>，湛河相公注入沙河</w:t>
            </w:r>
            <w:r>
              <w:rPr>
                <w:rFonts w:hint="default" w:ascii="Times New Roman" w:hAnsi="Times New Roman" w:cs="Times New Roman"/>
                <w:color w:val="000000" w:themeColor="text1"/>
                <w:sz w:val="24"/>
                <w:szCs w:val="24"/>
              </w:rPr>
              <w:t>。</w:t>
            </w:r>
            <w:r>
              <w:rPr>
                <w:rFonts w:hint="default" w:ascii="Times New Roman" w:hAnsi="Times New Roman" w:cs="Times New Roman"/>
                <w:color w:val="000000" w:themeColor="text1"/>
                <w:sz w:val="24"/>
                <w:szCs w:val="24"/>
                <w:lang w:val="en-US" w:eastAsia="zh-CN"/>
              </w:rPr>
              <w:t>201</w:t>
            </w:r>
            <w:r>
              <w:rPr>
                <w:rFonts w:hint="eastAsia" w:ascii="Times New Roman" w:hAnsi="Times New Roman" w:cs="Times New Roman"/>
                <w:color w:val="000000" w:themeColor="text1"/>
                <w:sz w:val="24"/>
                <w:szCs w:val="24"/>
                <w:lang w:val="en-US" w:eastAsia="zh-CN"/>
              </w:rPr>
              <w:t>9</w:t>
            </w:r>
            <w:r>
              <w:rPr>
                <w:rFonts w:hint="default" w:ascii="Times New Roman" w:hAnsi="Times New Roman" w:cs="Times New Roman"/>
                <w:color w:val="000000" w:themeColor="text1"/>
                <w:sz w:val="24"/>
                <w:szCs w:val="24"/>
                <w:lang w:val="en-US" w:eastAsia="zh-CN"/>
              </w:rPr>
              <w:t>年</w:t>
            </w:r>
            <w:r>
              <w:rPr>
                <w:rFonts w:hint="eastAsia" w:ascii="Times New Roman" w:hAnsi="Times New Roman" w:cs="Times New Roman"/>
                <w:color w:val="000000" w:themeColor="text1"/>
                <w:sz w:val="24"/>
                <w:szCs w:val="24"/>
                <w:lang w:eastAsia="zh-CN"/>
              </w:rPr>
              <w:t>沙河舞阳马湾断面</w:t>
            </w:r>
            <w:r>
              <w:rPr>
                <w:rFonts w:hint="default" w:ascii="Times New Roman" w:hAnsi="Times New Roman" w:cs="Times New Roman"/>
                <w:color w:val="000000" w:themeColor="text1"/>
                <w:sz w:val="24"/>
                <w:szCs w:val="24"/>
              </w:rPr>
              <w:t>各项监测因子均满足《地表水环境质量标准》 （GB3838-2002）III类标准。</w:t>
            </w:r>
          </w:p>
          <w:p>
            <w:pPr>
              <w:adjustRightInd w:val="0"/>
              <w:snapToGrid w:val="0"/>
              <w:spacing w:line="520" w:lineRule="exact"/>
              <w:ind w:firstLine="480" w:firstLineChars="200"/>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地下水环境：201</w:t>
            </w:r>
            <w:r>
              <w:rPr>
                <w:rFonts w:hint="default" w:ascii="Times New Roman" w:hAnsi="Times New Roman" w:cs="Times New Roman"/>
                <w:color w:val="000000" w:themeColor="text1"/>
                <w:sz w:val="24"/>
                <w:szCs w:val="24"/>
                <w:lang w:val="en-US" w:eastAsia="zh-CN"/>
              </w:rPr>
              <w:t>8</w:t>
            </w:r>
            <w:r>
              <w:rPr>
                <w:rFonts w:hint="default" w:ascii="Times New Roman" w:hAnsi="Times New Roman" w:cs="Times New Roman"/>
                <w:color w:val="000000" w:themeColor="text1"/>
                <w:sz w:val="24"/>
                <w:szCs w:val="24"/>
              </w:rPr>
              <w:t>年平顶山市市区地下水各监测因子年均值均能满足《地下水质量标准》（GB/T14848-93）Ⅲ类标准要求，区域地下水环境质量较好。</w:t>
            </w:r>
          </w:p>
          <w:p>
            <w:pPr>
              <w:adjustRightInd w:val="0"/>
              <w:snapToGrid w:val="0"/>
              <w:spacing w:line="520" w:lineRule="exact"/>
              <w:ind w:firstLine="480" w:firstLineChars="200"/>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声环境：项目东、南、西、北各</w:t>
            </w:r>
            <w:r>
              <w:rPr>
                <w:rFonts w:hint="eastAsia" w:ascii="Times New Roman" w:hAnsi="Times New Roman" w:cs="Times New Roman"/>
                <w:color w:val="000000" w:themeColor="text1"/>
                <w:sz w:val="24"/>
                <w:szCs w:val="24"/>
                <w:lang w:eastAsia="zh-CN"/>
              </w:rPr>
              <w:t>边</w:t>
            </w:r>
            <w:r>
              <w:rPr>
                <w:rFonts w:hint="default" w:ascii="Times New Roman" w:hAnsi="Times New Roman" w:cs="Times New Roman"/>
                <w:color w:val="000000" w:themeColor="text1"/>
                <w:sz w:val="24"/>
                <w:szCs w:val="24"/>
              </w:rPr>
              <w:t>界</w:t>
            </w:r>
            <w:r>
              <w:rPr>
                <w:rFonts w:hint="eastAsia" w:ascii="Times New Roman" w:hAnsi="Times New Roman" w:cs="Times New Roman"/>
                <w:color w:val="000000" w:themeColor="text1"/>
                <w:sz w:val="24"/>
                <w:szCs w:val="24"/>
                <w:lang w:eastAsia="zh-CN"/>
              </w:rPr>
              <w:t>及周边敏感点</w:t>
            </w:r>
            <w:r>
              <w:rPr>
                <w:rFonts w:hint="default" w:ascii="Times New Roman" w:hAnsi="Times New Roman" w:cs="Times New Roman"/>
                <w:color w:val="000000" w:themeColor="text1"/>
                <w:sz w:val="24"/>
                <w:szCs w:val="24"/>
              </w:rPr>
              <w:t>昼间</w:t>
            </w:r>
            <w:r>
              <w:rPr>
                <w:rFonts w:hint="default" w:ascii="Times New Roman" w:hAnsi="Times New Roman" w:cs="Times New Roman"/>
                <w:color w:val="000000" w:themeColor="text1"/>
                <w:sz w:val="24"/>
                <w:szCs w:val="24"/>
                <w:lang w:eastAsia="zh-CN"/>
              </w:rPr>
              <w:t>声环境质量现状</w:t>
            </w:r>
            <w:r>
              <w:rPr>
                <w:rFonts w:hint="default" w:ascii="Times New Roman" w:hAnsi="Times New Roman" w:cs="Times New Roman"/>
                <w:color w:val="000000" w:themeColor="text1"/>
                <w:sz w:val="24"/>
                <w:szCs w:val="24"/>
              </w:rPr>
              <w:t>均能满足《声环境质量标准》（GB3096-2008）</w:t>
            </w:r>
            <w:r>
              <w:rPr>
                <w:rFonts w:hint="eastAsia" w:cs="Times New Roman"/>
                <w:color w:val="000000" w:themeColor="text1"/>
                <w:sz w:val="24"/>
                <w:szCs w:val="24"/>
                <w:lang w:eastAsia="zh-CN"/>
              </w:rPr>
              <w:t>中</w:t>
            </w:r>
            <w:r>
              <w:rPr>
                <w:rFonts w:hint="eastAsia" w:cs="Times New Roman"/>
                <w:color w:val="000000" w:themeColor="text1"/>
                <w:sz w:val="24"/>
                <w:szCs w:val="24"/>
                <w:lang w:val="en-US" w:eastAsia="zh-CN"/>
              </w:rPr>
              <w:t>2类</w:t>
            </w:r>
            <w:r>
              <w:rPr>
                <w:rFonts w:hint="default" w:ascii="Times New Roman" w:hAnsi="Times New Roman" w:cs="Times New Roman"/>
                <w:color w:val="000000" w:themeColor="text1"/>
                <w:sz w:val="24"/>
                <w:szCs w:val="24"/>
              </w:rPr>
              <w:t>标准的要求，项目所在地声环境质量较好。</w:t>
            </w:r>
          </w:p>
          <w:p>
            <w:pPr>
              <w:spacing w:line="520" w:lineRule="exact"/>
              <w:ind w:firstLine="482" w:firstLineChars="200"/>
              <w:rPr>
                <w:rFonts w:ascii="Times New Roman" w:hAnsi="Times New Roman"/>
                <w:b/>
                <w:bCs/>
                <w:color w:val="000000"/>
                <w:sz w:val="24"/>
              </w:rPr>
            </w:pPr>
            <w:r>
              <w:rPr>
                <w:rFonts w:hint="eastAsia" w:ascii="Times New Roman" w:hAnsi="Times New Roman"/>
                <w:b/>
                <w:bCs/>
                <w:color w:val="000000"/>
                <w:sz w:val="24"/>
                <w:lang w:val="en-US" w:eastAsia="zh-CN"/>
              </w:rPr>
              <w:t>4</w:t>
            </w:r>
            <w:r>
              <w:rPr>
                <w:rFonts w:ascii="Times New Roman" w:hAnsi="Times New Roman"/>
                <w:b/>
                <w:bCs/>
                <w:color w:val="000000"/>
                <w:sz w:val="24"/>
              </w:rPr>
              <w:t>、</w:t>
            </w:r>
            <w:r>
              <w:rPr>
                <w:rFonts w:ascii="Times New Roman" w:hAnsi="Times New Roman"/>
                <w:b/>
                <w:sz w:val="24"/>
              </w:rPr>
              <w:t>工程分析结论</w:t>
            </w:r>
          </w:p>
          <w:p>
            <w:pPr>
              <w:pStyle w:val="35"/>
              <w:ind w:firstLine="482"/>
              <w:rPr>
                <w:rFonts w:ascii="Times New Roman" w:hAnsi="Times New Roman" w:cs="Times New Roman"/>
                <w:b/>
                <w:szCs w:val="24"/>
              </w:rPr>
            </w:pPr>
            <w:r>
              <w:rPr>
                <w:rFonts w:ascii="Times New Roman" w:hAnsi="Times New Roman" w:cs="Times New Roman"/>
                <w:b/>
                <w:szCs w:val="24"/>
              </w:rPr>
              <w:t>运营期</w:t>
            </w:r>
          </w:p>
          <w:p>
            <w:pPr>
              <w:keepNext w:val="0"/>
              <w:keepLines w:val="0"/>
              <w:pageBreakBefore w:val="0"/>
              <w:kinsoku/>
              <w:wordWrap/>
              <w:overflowPunct/>
              <w:topLinePunct w:val="0"/>
              <w:autoSpaceDE/>
              <w:autoSpaceDN/>
              <w:bidi w:val="0"/>
              <w:adjustRightInd/>
              <w:snapToGrid/>
              <w:spacing w:line="480" w:lineRule="exact"/>
              <w:ind w:left="0" w:firstLine="480" w:firstLineChars="200"/>
              <w:textAlignment w:val="auto"/>
              <w:rPr>
                <w:rFonts w:hint="default" w:ascii="Times New Roman" w:hAnsi="Times New Roman" w:cs="Times New Roman"/>
                <w:bCs/>
                <w:iCs/>
                <w:sz w:val="24"/>
                <w:szCs w:val="24"/>
              </w:rPr>
            </w:pPr>
            <w:r>
              <w:rPr>
                <w:rFonts w:hint="default" w:ascii="Times New Roman" w:hAnsi="Times New Roman" w:cs="Times New Roman"/>
                <w:bCs/>
                <w:iCs/>
                <w:sz w:val="24"/>
                <w:szCs w:val="24"/>
              </w:rPr>
              <w:t>①水环境影响分析</w:t>
            </w:r>
          </w:p>
          <w:p>
            <w:pPr>
              <w:keepNext w:val="0"/>
              <w:keepLines w:val="0"/>
              <w:pageBreakBefore w:val="0"/>
              <w:kinsoku/>
              <w:wordWrap/>
              <w:overflowPunct/>
              <w:topLinePunct w:val="0"/>
              <w:autoSpaceDE/>
              <w:autoSpaceDN/>
              <w:bidi w:val="0"/>
              <w:adjustRightInd/>
              <w:snapToGrid/>
              <w:spacing w:line="480" w:lineRule="exact"/>
              <w:ind w:left="0" w:firstLine="480" w:firstLineChars="200"/>
              <w:textAlignment w:val="auto"/>
              <w:rPr>
                <w:rFonts w:hint="default" w:ascii="Times New Roman" w:hAnsi="Times New Roman" w:cs="Times New Roman"/>
                <w:sz w:val="24"/>
                <w:szCs w:val="24"/>
                <w:highlight w:val="none"/>
                <w:lang w:eastAsia="zh-CN"/>
              </w:rPr>
            </w:pPr>
            <w:r>
              <w:rPr>
                <w:rFonts w:hint="default" w:ascii="Times New Roman" w:hAnsi="Times New Roman" w:cs="Times New Roman"/>
                <w:sz w:val="24"/>
                <w:szCs w:val="24"/>
                <w:highlight w:val="none"/>
                <w:lang w:eastAsia="zh-CN"/>
              </w:rPr>
              <w:t>项目运营期产生的废水主要为职工生活污水，产生量为</w:t>
            </w:r>
            <w:r>
              <w:rPr>
                <w:rFonts w:hint="default" w:ascii="Times New Roman" w:hAnsi="Times New Roman" w:cs="Times New Roman"/>
                <w:sz w:val="24"/>
                <w:szCs w:val="24"/>
                <w:highlight w:val="none"/>
                <w:lang w:val="en-US" w:eastAsia="zh-CN"/>
              </w:rPr>
              <w:t>0.64</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vertAlign w:val="superscript"/>
                <w:lang w:eastAsia="zh-CN"/>
              </w:rPr>
              <w:t>3</w:t>
            </w:r>
            <w:r>
              <w:rPr>
                <w:rFonts w:hint="default" w:ascii="Times New Roman" w:hAnsi="Times New Roman" w:cs="Times New Roman"/>
                <w:sz w:val="24"/>
                <w:szCs w:val="24"/>
                <w:highlight w:val="none"/>
                <w:lang w:eastAsia="zh-CN"/>
              </w:rPr>
              <w:t>/d，</w:t>
            </w:r>
            <w:r>
              <w:rPr>
                <w:rFonts w:hint="default" w:ascii="Times New Roman" w:hAnsi="Times New Roman" w:cs="Times New Roman"/>
                <w:sz w:val="24"/>
                <w:szCs w:val="24"/>
                <w:highlight w:val="none"/>
                <w:lang w:val="en-US" w:eastAsia="zh-CN"/>
              </w:rPr>
              <w:t>192</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vertAlign w:val="superscript"/>
                <w:lang w:eastAsia="zh-CN"/>
              </w:rPr>
              <w:t>3</w:t>
            </w:r>
            <w:r>
              <w:rPr>
                <w:rFonts w:hint="default" w:ascii="Times New Roman" w:hAnsi="Times New Roman" w:cs="Times New Roman"/>
                <w:sz w:val="24"/>
                <w:szCs w:val="24"/>
                <w:highlight w:val="none"/>
                <w:lang w:eastAsia="zh-CN"/>
              </w:rPr>
              <w:t>/a。本项目职工生活污水依托</w:t>
            </w:r>
            <w:r>
              <w:rPr>
                <w:rFonts w:hint="default" w:ascii="Times New Roman" w:hAnsi="Times New Roman" w:cs="Times New Roman"/>
                <w:sz w:val="24"/>
                <w:szCs w:val="24"/>
                <w:highlight w:val="none"/>
                <w:lang w:val="en-US" w:eastAsia="zh-CN"/>
              </w:rPr>
              <w:t>豫中地质勘查工程公司平顶山第四工程处院内化粪池</w:t>
            </w:r>
            <w:r>
              <w:rPr>
                <w:rFonts w:hint="default" w:ascii="Times New Roman" w:hAnsi="Times New Roman" w:cs="Times New Roman"/>
                <w:sz w:val="24"/>
                <w:szCs w:val="24"/>
                <w:highlight w:val="none"/>
                <w:lang w:eastAsia="zh-CN"/>
              </w:rPr>
              <w:t>处理后，排入市政污水管网</w:t>
            </w:r>
            <w:r>
              <w:rPr>
                <w:rFonts w:hint="default" w:ascii="Times New Roman" w:hAnsi="Times New Roman" w:cs="Times New Roman"/>
                <w:sz w:val="24"/>
                <w:szCs w:val="24"/>
                <w:highlight w:val="none"/>
                <w:lang w:val="en-US" w:eastAsia="zh-CN"/>
              </w:rPr>
              <w:t>，</w:t>
            </w:r>
            <w:r>
              <w:rPr>
                <w:rFonts w:hint="default" w:ascii="Times New Roman" w:hAnsi="Times New Roman" w:cs="Times New Roman"/>
                <w:sz w:val="24"/>
                <w:szCs w:val="24"/>
                <w:highlight w:val="none"/>
                <w:lang w:eastAsia="zh-CN"/>
              </w:rPr>
              <w:t>对地表水环境影响较小。</w:t>
            </w:r>
          </w:p>
          <w:p>
            <w:pPr>
              <w:keepNext w:val="0"/>
              <w:keepLines w:val="0"/>
              <w:pageBreakBefore w:val="0"/>
              <w:kinsoku/>
              <w:wordWrap/>
              <w:overflowPunct/>
              <w:topLinePunct w:val="0"/>
              <w:autoSpaceDE/>
              <w:autoSpaceDN/>
              <w:bidi w:val="0"/>
              <w:adjustRightInd/>
              <w:snapToGrid/>
              <w:spacing w:line="480" w:lineRule="exact"/>
              <w:ind w:left="0" w:firstLine="480" w:firstLineChars="200"/>
              <w:textAlignment w:val="auto"/>
              <w:rPr>
                <w:rFonts w:hint="default" w:ascii="Times New Roman" w:hAnsi="Times New Roman" w:cs="Times New Roman"/>
                <w:kern w:val="0"/>
                <w:sz w:val="24"/>
                <w:szCs w:val="24"/>
              </w:rPr>
            </w:pPr>
            <w:r>
              <w:rPr>
                <w:rFonts w:hint="default" w:ascii="Times New Roman" w:hAnsi="Times New Roman" w:cs="Times New Roman"/>
                <w:bCs/>
                <w:iCs/>
                <w:sz w:val="24"/>
                <w:szCs w:val="24"/>
              </w:rPr>
              <w:fldChar w:fldCharType="begin"/>
            </w:r>
            <w:r>
              <w:rPr>
                <w:rFonts w:hint="default" w:ascii="Times New Roman" w:hAnsi="Times New Roman" w:cs="Times New Roman"/>
                <w:bCs/>
                <w:iCs/>
                <w:sz w:val="24"/>
                <w:szCs w:val="24"/>
              </w:rPr>
              <w:instrText xml:space="preserve"> = 2 \* GB3 \* MERGEFORMAT </w:instrText>
            </w:r>
            <w:r>
              <w:rPr>
                <w:rFonts w:hint="default" w:ascii="Times New Roman" w:hAnsi="Times New Roman" w:cs="Times New Roman"/>
                <w:bCs/>
                <w:iCs/>
                <w:sz w:val="24"/>
                <w:szCs w:val="24"/>
              </w:rPr>
              <w:fldChar w:fldCharType="separate"/>
            </w:r>
            <w:r>
              <w:rPr>
                <w:rFonts w:hint="default" w:ascii="Times New Roman" w:hAnsi="Times New Roman" w:cs="Times New Roman"/>
                <w:sz w:val="24"/>
                <w:szCs w:val="24"/>
              </w:rPr>
              <w:t>②</w:t>
            </w:r>
            <w:r>
              <w:rPr>
                <w:rFonts w:hint="default" w:ascii="Times New Roman" w:hAnsi="Times New Roman" w:cs="Times New Roman"/>
                <w:bCs/>
                <w:iCs/>
                <w:sz w:val="24"/>
                <w:szCs w:val="24"/>
              </w:rPr>
              <w:fldChar w:fldCharType="end"/>
            </w:r>
            <w:r>
              <w:rPr>
                <w:rFonts w:hint="default" w:ascii="Times New Roman" w:hAnsi="Times New Roman" w:cs="Times New Roman"/>
                <w:kern w:val="0"/>
                <w:sz w:val="24"/>
                <w:szCs w:val="24"/>
              </w:rPr>
              <w:t>大气环境影响分析</w:t>
            </w:r>
          </w:p>
          <w:p>
            <w:pPr>
              <w:keepNext w:val="0"/>
              <w:keepLines w:val="0"/>
              <w:pageBreakBefore w:val="0"/>
              <w:kinsoku/>
              <w:wordWrap/>
              <w:overflowPunct/>
              <w:topLinePunct w:val="0"/>
              <w:autoSpaceDE/>
              <w:autoSpaceDN/>
              <w:bidi w:val="0"/>
              <w:adjustRightInd/>
              <w:snapToGrid/>
              <w:spacing w:line="480" w:lineRule="exact"/>
              <w:ind w:left="0"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sz w:val="24"/>
                <w:szCs w:val="24"/>
                <w:highlight w:val="none"/>
                <w:lang w:eastAsia="zh-CN"/>
              </w:rPr>
              <w:t>根据工程分析可知：</w:t>
            </w:r>
            <w:r>
              <w:rPr>
                <w:rFonts w:hint="default" w:ascii="Times New Roman" w:hAnsi="Times New Roman" w:cs="Times New Roman"/>
                <w:sz w:val="24"/>
                <w:szCs w:val="24"/>
              </w:rPr>
              <w:t>本项目</w:t>
            </w:r>
            <w:r>
              <w:rPr>
                <w:rFonts w:hint="default" w:ascii="Times New Roman" w:hAnsi="Times New Roman" w:cs="Times New Roman"/>
                <w:sz w:val="24"/>
                <w:szCs w:val="24"/>
                <w:lang w:eastAsia="zh-CN"/>
              </w:rPr>
              <w:t>焊接车间配套建设</w:t>
            </w:r>
            <w:r>
              <w:rPr>
                <w:rFonts w:hint="default" w:ascii="Times New Roman" w:hAnsi="Times New Roman" w:cs="Times New Roman"/>
                <w:sz w:val="24"/>
                <w:szCs w:val="24"/>
                <w:lang w:val="en-US" w:eastAsia="zh-CN"/>
              </w:rPr>
              <w:t>移动式焊接烟尘净化器，</w:t>
            </w:r>
            <w:r>
              <w:rPr>
                <w:rFonts w:hint="default" w:ascii="Times New Roman" w:hAnsi="Times New Roman" w:cs="Times New Roman"/>
                <w:sz w:val="24"/>
                <w:szCs w:val="24"/>
              </w:rPr>
              <w:t>收集处理焊接过程产生量烟尘</w:t>
            </w:r>
            <w:r>
              <w:rPr>
                <w:rFonts w:hint="default" w:ascii="Times New Roman" w:hAnsi="Times New Roman" w:cs="Times New Roman"/>
                <w:sz w:val="24"/>
                <w:szCs w:val="24"/>
                <w:lang w:val="en-US" w:eastAsia="zh-CN"/>
              </w:rPr>
              <w:t>。机加工车间产生金属粉尘大部分自然沉降，少量逸散到空气中对周围环境影响较小。</w:t>
            </w:r>
          </w:p>
          <w:p>
            <w:pPr>
              <w:keepNext w:val="0"/>
              <w:keepLines w:val="0"/>
              <w:pageBreakBefore w:val="0"/>
              <w:widowControl w:val="0"/>
              <w:kinsoku/>
              <w:wordWrap/>
              <w:overflowPunct/>
              <w:topLinePunct w:val="0"/>
              <w:autoSpaceDE/>
              <w:autoSpaceDN/>
              <w:bidi w:val="0"/>
              <w:adjustRightInd/>
              <w:snapToGrid/>
              <w:spacing w:line="480" w:lineRule="exact"/>
              <w:ind w:left="0" w:firstLine="480" w:firstLineChars="200"/>
              <w:textAlignment w:val="auto"/>
              <w:outlineLvl w:val="9"/>
              <w:rPr>
                <w:rFonts w:hint="default" w:ascii="Times New Roman" w:hAnsi="Times New Roman" w:cs="Times New Roman"/>
                <w:b w:val="0"/>
                <w:bCs w:val="0"/>
                <w:color w:val="auto"/>
                <w:sz w:val="24"/>
                <w:szCs w:val="24"/>
                <w:u w:val="none"/>
              </w:rPr>
            </w:pPr>
            <w:r>
              <w:rPr>
                <w:rFonts w:hint="default" w:ascii="Times New Roman" w:hAnsi="Times New Roman" w:cs="Times New Roman"/>
                <w:b w:val="0"/>
                <w:bCs w:val="0"/>
                <w:color w:val="auto"/>
                <w:sz w:val="24"/>
                <w:szCs w:val="24"/>
                <w:u w:val="none"/>
              </w:rPr>
              <w:t>由预测结果可知，本项目</w:t>
            </w:r>
            <w:r>
              <w:rPr>
                <w:rFonts w:hint="default" w:ascii="Times New Roman" w:hAnsi="Times New Roman" w:cs="Times New Roman"/>
                <w:b w:val="0"/>
                <w:bCs w:val="0"/>
                <w:color w:val="auto"/>
                <w:sz w:val="24"/>
                <w:szCs w:val="24"/>
                <w:u w:val="none"/>
                <w:lang w:eastAsia="zh-CN"/>
              </w:rPr>
              <w:t>无</w:t>
            </w:r>
            <w:r>
              <w:rPr>
                <w:rFonts w:hint="default" w:ascii="Times New Roman" w:hAnsi="Times New Roman" w:cs="Times New Roman"/>
                <w:b w:val="0"/>
                <w:bCs w:val="0"/>
                <w:color w:val="auto"/>
                <w:sz w:val="24"/>
                <w:szCs w:val="24"/>
                <w:u w:val="none"/>
              </w:rPr>
              <w:t>组织颗粒物最大落地浓度出现在车间外</w:t>
            </w:r>
            <w:r>
              <w:rPr>
                <w:rFonts w:hint="default" w:ascii="Times New Roman" w:hAnsi="Times New Roman" w:cs="Times New Roman"/>
                <w:b w:val="0"/>
                <w:bCs w:val="0"/>
                <w:color w:val="auto"/>
                <w:sz w:val="24"/>
                <w:szCs w:val="24"/>
                <w:u w:val="none"/>
                <w:lang w:val="en-US" w:eastAsia="zh-CN"/>
              </w:rPr>
              <w:t>99</w:t>
            </w:r>
            <w:r>
              <w:rPr>
                <w:rFonts w:hint="default" w:ascii="Times New Roman" w:hAnsi="Times New Roman" w:cs="Times New Roman"/>
                <w:b w:val="0"/>
                <w:bCs w:val="0"/>
                <w:color w:val="auto"/>
                <w:sz w:val="24"/>
                <w:szCs w:val="24"/>
                <w:u w:val="none"/>
              </w:rPr>
              <w:t>m处，浓度为</w:t>
            </w:r>
            <w:r>
              <w:rPr>
                <w:rFonts w:hint="default" w:ascii="Times New Roman" w:hAnsi="Times New Roman" w:cs="Times New Roman"/>
                <w:sz w:val="24"/>
                <w:szCs w:val="24"/>
              </w:rPr>
              <w:t>0.004167</w:t>
            </w:r>
            <w:r>
              <w:rPr>
                <w:rFonts w:hint="default" w:ascii="Times New Roman" w:hAnsi="Times New Roman" w:eastAsia="宋体" w:cs="Times New Roman"/>
                <w:color w:val="000000"/>
                <w:sz w:val="24"/>
                <w:szCs w:val="24"/>
              </w:rPr>
              <w:t>μg/m</w:t>
            </w:r>
            <w:r>
              <w:rPr>
                <w:rFonts w:hint="default" w:ascii="Times New Roman" w:hAnsi="Times New Roman" w:eastAsia="宋体" w:cs="Times New Roman"/>
                <w:color w:val="000000"/>
                <w:sz w:val="24"/>
                <w:szCs w:val="24"/>
                <w:vertAlign w:val="superscript"/>
              </w:rPr>
              <w:t>3</w:t>
            </w:r>
            <w:r>
              <w:rPr>
                <w:rFonts w:hint="default" w:ascii="Times New Roman" w:hAnsi="Times New Roman" w:cs="Times New Roman"/>
                <w:b w:val="0"/>
                <w:bCs w:val="0"/>
                <w:color w:val="auto"/>
                <w:sz w:val="24"/>
                <w:szCs w:val="24"/>
                <w:u w:val="none"/>
              </w:rPr>
              <w:t>，最大占标率为</w:t>
            </w:r>
            <w:r>
              <w:rPr>
                <w:rFonts w:hint="default" w:ascii="Times New Roman" w:hAnsi="Times New Roman" w:cs="Times New Roman"/>
                <w:b w:val="0"/>
                <w:bCs w:val="0"/>
                <w:color w:val="auto"/>
                <w:sz w:val="24"/>
                <w:szCs w:val="24"/>
                <w:u w:val="none"/>
                <w:lang w:val="en-US" w:eastAsia="zh-CN"/>
              </w:rPr>
              <w:t>0.93</w:t>
            </w:r>
            <w:r>
              <w:rPr>
                <w:rFonts w:hint="default" w:ascii="Times New Roman" w:hAnsi="Times New Roman" w:cs="Times New Roman"/>
                <w:b w:val="0"/>
                <w:bCs w:val="0"/>
                <w:color w:val="auto"/>
                <w:sz w:val="24"/>
                <w:szCs w:val="24"/>
                <w:u w:val="none"/>
              </w:rPr>
              <w:t>%，预测浓度均满足《环境空气质量标准》（GB3095-2012）二级标准要求，对周围环境影响小。</w:t>
            </w:r>
          </w:p>
          <w:p>
            <w:pPr>
              <w:pStyle w:val="80"/>
              <w:keepNext w:val="0"/>
              <w:keepLines w:val="0"/>
              <w:pageBreakBefore w:val="0"/>
              <w:kinsoku/>
              <w:wordWrap/>
              <w:overflowPunct/>
              <w:topLinePunct w:val="0"/>
              <w:autoSpaceDE/>
              <w:autoSpaceDN/>
              <w:bidi w:val="0"/>
              <w:adjustRightInd/>
              <w:snapToGrid/>
              <w:spacing w:line="480" w:lineRule="exact"/>
              <w:ind w:left="0" w:firstLine="480" w:firstLineChars="200"/>
              <w:textAlignment w:val="auto"/>
              <w:rPr>
                <w:rFonts w:hint="default" w:ascii="Times New Roman" w:hAnsi="Times New Roman" w:eastAsia="宋体" w:cs="Times New Roman"/>
                <w:sz w:val="24"/>
                <w:szCs w:val="24"/>
              </w:rPr>
            </w:pPr>
            <w:r>
              <w:rPr>
                <w:rFonts w:hint="default" w:ascii="Times New Roman" w:hAnsi="Times New Roman" w:cs="Times New Roman"/>
                <w:b w:val="0"/>
                <w:bCs w:val="0"/>
                <w:color w:val="auto"/>
                <w:sz w:val="24"/>
                <w:szCs w:val="24"/>
                <w:u w:val="none"/>
                <w:lang w:eastAsia="zh-CN"/>
              </w:rPr>
              <w:t>厂</w:t>
            </w:r>
            <w:r>
              <w:rPr>
                <w:rFonts w:hint="default" w:ascii="Times New Roman" w:hAnsi="Times New Roman" w:cs="Times New Roman"/>
                <w:b w:val="0"/>
                <w:bCs w:val="0"/>
                <w:color w:val="auto"/>
                <w:sz w:val="24"/>
                <w:szCs w:val="24"/>
                <w:u w:val="none"/>
              </w:rPr>
              <w:t>界无组织颗粒物最大落地浓度为</w:t>
            </w:r>
            <w:r>
              <w:rPr>
                <w:rFonts w:hint="default" w:ascii="Times New Roman" w:hAnsi="Times New Roman" w:eastAsia="宋体" w:cs="Times New Roman"/>
                <w:sz w:val="24"/>
                <w:szCs w:val="24"/>
                <w:lang w:val="en-US" w:eastAsia="zh-CN"/>
              </w:rPr>
              <w:t>0.0007672</w:t>
            </w:r>
            <w:r>
              <w:rPr>
                <w:rFonts w:hint="default" w:ascii="Times New Roman" w:hAnsi="Times New Roman" w:eastAsia="宋体" w:cs="Times New Roman"/>
                <w:color w:val="000000"/>
                <w:sz w:val="24"/>
                <w:szCs w:val="24"/>
              </w:rPr>
              <w:t>μg/m</w:t>
            </w:r>
            <w:r>
              <w:rPr>
                <w:rFonts w:hint="default" w:ascii="Times New Roman" w:hAnsi="Times New Roman" w:eastAsia="宋体" w:cs="Times New Roman"/>
                <w:color w:val="000000"/>
                <w:sz w:val="24"/>
                <w:szCs w:val="24"/>
                <w:vertAlign w:val="superscript"/>
              </w:rPr>
              <w:t>3</w:t>
            </w:r>
            <w:r>
              <w:rPr>
                <w:rFonts w:hint="default" w:ascii="Times New Roman" w:hAnsi="Times New Roman" w:cs="Times New Roman"/>
                <w:b w:val="0"/>
                <w:bCs w:val="0"/>
                <w:color w:val="auto"/>
                <w:sz w:val="24"/>
                <w:szCs w:val="24"/>
                <w:u w:val="none"/>
              </w:rPr>
              <w:t>，占标率为</w:t>
            </w:r>
            <w:r>
              <w:rPr>
                <w:rFonts w:hint="default" w:ascii="Times New Roman" w:hAnsi="Times New Roman" w:cs="Times New Roman"/>
                <w:b w:val="0"/>
                <w:bCs w:val="0"/>
                <w:color w:val="auto"/>
                <w:sz w:val="24"/>
                <w:szCs w:val="24"/>
                <w:u w:val="none"/>
                <w:lang w:val="en-US" w:eastAsia="zh-CN"/>
              </w:rPr>
              <w:t>0.17</w:t>
            </w:r>
            <w:r>
              <w:rPr>
                <w:rFonts w:hint="default" w:ascii="Times New Roman" w:hAnsi="Times New Roman" w:cs="Times New Roman"/>
                <w:b w:val="0"/>
                <w:bCs w:val="0"/>
                <w:color w:val="auto"/>
                <w:sz w:val="24"/>
                <w:szCs w:val="24"/>
                <w:u w:val="none"/>
              </w:rPr>
              <w:t>%。无组织颗粒物最大落地浓度满足《大气污染物综合排放标准》（GB16297-1996）二级标准的要求（无组织排放监控浓度限值浓度1.0mg/m</w:t>
            </w:r>
            <w:r>
              <w:rPr>
                <w:rFonts w:hint="default" w:ascii="Times New Roman" w:hAnsi="Times New Roman" w:cs="Times New Roman"/>
                <w:b w:val="0"/>
                <w:bCs w:val="0"/>
                <w:color w:val="auto"/>
                <w:sz w:val="24"/>
                <w:szCs w:val="24"/>
                <w:u w:val="none"/>
                <w:vertAlign w:val="superscript"/>
              </w:rPr>
              <w:t>3</w:t>
            </w:r>
            <w:r>
              <w:rPr>
                <w:rFonts w:hint="default" w:ascii="Times New Roman" w:hAnsi="Times New Roman" w:cs="Times New Roman"/>
                <w:b w:val="0"/>
                <w:bCs w:val="0"/>
                <w:color w:val="auto"/>
                <w:sz w:val="24"/>
                <w:szCs w:val="24"/>
                <w:u w:val="none"/>
              </w:rPr>
              <w:t>）。</w:t>
            </w:r>
            <w:r>
              <w:rPr>
                <w:rFonts w:hint="default" w:ascii="Times New Roman" w:hAnsi="Times New Roman" w:eastAsia="宋体" w:cs="Times New Roman"/>
                <w:sz w:val="24"/>
                <w:szCs w:val="24"/>
              </w:rPr>
              <w:t>项目废气无组织排放对敏感点的影响较小。</w:t>
            </w:r>
          </w:p>
          <w:p>
            <w:pPr>
              <w:keepNext w:val="0"/>
              <w:keepLines w:val="0"/>
              <w:pageBreakBefore w:val="0"/>
              <w:widowControl w:val="0"/>
              <w:kinsoku/>
              <w:wordWrap/>
              <w:overflowPunct/>
              <w:topLinePunct w:val="0"/>
              <w:autoSpaceDE/>
              <w:autoSpaceDN/>
              <w:bidi w:val="0"/>
              <w:adjustRightInd/>
              <w:snapToGrid/>
              <w:spacing w:line="480" w:lineRule="exact"/>
              <w:ind w:left="0" w:firstLine="480" w:firstLineChars="200"/>
              <w:textAlignment w:val="auto"/>
              <w:outlineLvl w:val="9"/>
              <w:rPr>
                <w:rFonts w:hint="default" w:ascii="Times New Roman" w:hAnsi="Times New Roman" w:cs="Times New Roman"/>
                <w:b w:val="0"/>
                <w:bCs w:val="0"/>
                <w:color w:val="auto"/>
                <w:sz w:val="24"/>
                <w:szCs w:val="24"/>
                <w:u w:val="none"/>
              </w:rPr>
            </w:pPr>
            <w:r>
              <w:rPr>
                <w:rFonts w:hint="default" w:ascii="Times New Roman" w:hAnsi="Times New Roman" w:cs="Times New Roman"/>
                <w:b w:val="0"/>
                <w:bCs w:val="0"/>
                <w:color w:val="auto"/>
                <w:sz w:val="24"/>
                <w:szCs w:val="24"/>
                <w:u w:val="none"/>
              </w:rPr>
              <w:t>由此可见，预测浓度均小于环境质量要求，废气对周围环境影响较小，采取环保措施可行。本项目配备的环保定期检查及维护，保证各类环保装置的正常高效运行，确保对环境的影响降到最低。</w:t>
            </w:r>
          </w:p>
          <w:p>
            <w:pPr>
              <w:pStyle w:val="30"/>
              <w:keepNext w:val="0"/>
              <w:keepLines w:val="0"/>
              <w:pageBreakBefore w:val="0"/>
              <w:numPr>
                <w:ilvl w:val="0"/>
                <w:numId w:val="0"/>
              </w:numPr>
              <w:kinsoku/>
              <w:wordWrap/>
              <w:overflowPunct/>
              <w:topLinePunct w:val="0"/>
              <w:autoSpaceDE/>
              <w:autoSpaceDN/>
              <w:bidi w:val="0"/>
              <w:adjustRightInd/>
              <w:snapToGrid/>
              <w:spacing w:line="480" w:lineRule="exact"/>
              <w:ind w:left="0" w:leftChars="0" w:firstLine="480" w:firstLineChars="200"/>
              <w:textAlignment w:val="auto"/>
              <w:rPr>
                <w:rFonts w:hint="default" w:ascii="Times New Roman" w:hAnsi="Times New Roman" w:cs="Times New Roman"/>
                <w:bCs/>
                <w:iCs/>
                <w:sz w:val="24"/>
                <w:szCs w:val="24"/>
              </w:rPr>
            </w:pPr>
            <w:r>
              <w:rPr>
                <w:rFonts w:hint="default" w:ascii="Times New Roman" w:hAnsi="Times New Roman" w:cs="Times New Roman"/>
                <w:bCs/>
                <w:iCs/>
                <w:sz w:val="24"/>
                <w:szCs w:val="24"/>
              </w:rPr>
              <w:fldChar w:fldCharType="begin"/>
            </w:r>
            <w:r>
              <w:rPr>
                <w:rFonts w:hint="default" w:ascii="Times New Roman" w:hAnsi="Times New Roman" w:cs="Times New Roman"/>
                <w:bCs/>
                <w:iCs/>
                <w:sz w:val="24"/>
                <w:szCs w:val="24"/>
              </w:rPr>
              <w:instrText xml:space="preserve"> = 3 \* GB3 \* MERGEFORMAT </w:instrText>
            </w:r>
            <w:r>
              <w:rPr>
                <w:rFonts w:hint="default" w:ascii="Times New Roman" w:hAnsi="Times New Roman" w:cs="Times New Roman"/>
                <w:bCs/>
                <w:iCs/>
                <w:sz w:val="24"/>
                <w:szCs w:val="24"/>
              </w:rPr>
              <w:fldChar w:fldCharType="separate"/>
            </w:r>
            <w:r>
              <w:rPr>
                <w:rFonts w:hint="default" w:ascii="Times New Roman" w:hAnsi="Times New Roman" w:cs="Times New Roman"/>
                <w:bCs/>
                <w:iCs/>
                <w:sz w:val="24"/>
                <w:szCs w:val="24"/>
              </w:rPr>
              <w:t>③</w:t>
            </w:r>
            <w:r>
              <w:rPr>
                <w:rFonts w:hint="default" w:ascii="Times New Roman" w:hAnsi="Times New Roman" w:cs="Times New Roman"/>
                <w:bCs/>
                <w:iCs/>
                <w:sz w:val="24"/>
                <w:szCs w:val="24"/>
              </w:rPr>
              <w:fldChar w:fldCharType="end"/>
            </w:r>
            <w:r>
              <w:rPr>
                <w:rFonts w:hint="default" w:ascii="Times New Roman" w:hAnsi="Times New Roman" w:cs="Times New Roman"/>
                <w:bCs/>
                <w:iCs/>
                <w:sz w:val="24"/>
                <w:szCs w:val="24"/>
                <w:lang w:eastAsia="zh-CN"/>
              </w:rPr>
              <w:t>声</w:t>
            </w:r>
            <w:r>
              <w:rPr>
                <w:rFonts w:hint="default" w:ascii="Times New Roman" w:hAnsi="Times New Roman" w:cs="Times New Roman"/>
                <w:bCs/>
                <w:iCs/>
                <w:sz w:val="24"/>
                <w:szCs w:val="24"/>
              </w:rPr>
              <w:t>环境影响分析</w:t>
            </w:r>
          </w:p>
          <w:p>
            <w:pPr>
              <w:tabs>
                <w:tab w:val="left" w:pos="420"/>
                <w:tab w:val="left" w:pos="870"/>
                <w:tab w:val="left" w:pos="3150"/>
              </w:tabs>
              <w:autoSpaceDE w:val="0"/>
              <w:autoSpaceDN w:val="0"/>
              <w:adjustRightInd w:val="0"/>
              <w:spacing w:line="360" w:lineRule="auto"/>
              <w:ind w:firstLine="480" w:firstLineChars="200"/>
              <w:textAlignment w:val="baseline"/>
              <w:rPr>
                <w:rFonts w:hint="default" w:ascii="Times New Roman" w:hAnsi="Times New Roman" w:cs="Times New Roman"/>
                <w:bCs/>
                <w:iCs/>
                <w:sz w:val="24"/>
                <w:szCs w:val="24"/>
              </w:rPr>
            </w:pPr>
            <w:r>
              <w:rPr>
                <w:sz w:val="24"/>
                <w:szCs w:val="24"/>
              </w:rPr>
              <w:t>本项目</w:t>
            </w:r>
            <w:r>
              <w:rPr>
                <w:rFonts w:hint="eastAsia"/>
                <w:sz w:val="24"/>
                <w:szCs w:val="24"/>
                <w:lang w:eastAsia="zh-CN"/>
              </w:rPr>
              <w:t>生产时段为</w:t>
            </w:r>
            <w:r>
              <w:rPr>
                <w:rFonts w:hint="eastAsia"/>
                <w:sz w:val="24"/>
                <w:szCs w:val="24"/>
                <w:lang w:val="en-US" w:eastAsia="zh-CN"/>
              </w:rPr>
              <w:t>8:00~18:00，</w:t>
            </w:r>
            <w:r>
              <w:rPr>
                <w:sz w:val="24"/>
                <w:szCs w:val="24"/>
              </w:rPr>
              <w:t>产生的噪声通过厂房隔声、设备减振和距离衰减后，</w:t>
            </w:r>
            <w:r>
              <w:rPr>
                <w:rFonts w:hint="eastAsia"/>
                <w:sz w:val="24"/>
                <w:szCs w:val="24"/>
                <w:lang w:eastAsia="zh-CN"/>
              </w:rPr>
              <w:t>厂界及敏感点</w:t>
            </w:r>
            <w:r>
              <w:rPr>
                <w:sz w:val="24"/>
                <w:szCs w:val="24"/>
              </w:rPr>
              <w:t>昼间噪声在</w:t>
            </w:r>
            <w:r>
              <w:rPr>
                <w:rFonts w:hint="eastAsia"/>
                <w:sz w:val="24"/>
                <w:szCs w:val="24"/>
                <w:lang w:val="en-US" w:eastAsia="zh-CN"/>
              </w:rPr>
              <w:t>49.94</w:t>
            </w:r>
            <w:r>
              <w:rPr>
                <w:sz w:val="24"/>
                <w:szCs w:val="24"/>
              </w:rPr>
              <w:t>～</w:t>
            </w:r>
            <w:r>
              <w:rPr>
                <w:rFonts w:hint="eastAsia"/>
                <w:sz w:val="24"/>
                <w:szCs w:val="24"/>
                <w:lang w:val="en-US" w:eastAsia="zh-CN"/>
              </w:rPr>
              <w:t>53.46</w:t>
            </w:r>
            <w:r>
              <w:rPr>
                <w:sz w:val="24"/>
                <w:szCs w:val="24"/>
              </w:rPr>
              <w:t>dB（A）之间，能够达到《工业企业厂界环境噪声排放标准》（GB12348-2008）昼间</w:t>
            </w:r>
            <w:r>
              <w:rPr>
                <w:rFonts w:hint="eastAsia"/>
                <w:sz w:val="24"/>
                <w:szCs w:val="24"/>
                <w:lang w:val="en-US" w:eastAsia="zh-CN"/>
              </w:rPr>
              <w:t>2</w:t>
            </w:r>
            <w:r>
              <w:rPr>
                <w:sz w:val="24"/>
                <w:szCs w:val="24"/>
              </w:rPr>
              <w:t>类标准限值（昼间≤</w:t>
            </w:r>
            <w:r>
              <w:rPr>
                <w:rFonts w:hint="eastAsia"/>
                <w:sz w:val="24"/>
                <w:szCs w:val="24"/>
                <w:lang w:val="en-US" w:eastAsia="zh-CN"/>
              </w:rPr>
              <w:t>60</w:t>
            </w:r>
            <w:r>
              <w:rPr>
                <w:sz w:val="24"/>
                <w:szCs w:val="24"/>
              </w:rPr>
              <w:t>dB(A)），对敏感保护目标影响较小，不会改变该区域声环境功能区划</w:t>
            </w:r>
            <w:r>
              <w:rPr>
                <w:rFonts w:hint="default" w:ascii="Times New Roman" w:hAnsi="Times New Roman" w:cs="Times New Roman"/>
                <w:sz w:val="24"/>
                <w:szCs w:val="24"/>
              </w:rPr>
              <w:t>。项目运营期可做到</w:t>
            </w:r>
            <w:r>
              <w:rPr>
                <w:rFonts w:hint="default" w:ascii="Times New Roman" w:hAnsi="Times New Roman" w:cs="Times New Roman"/>
                <w:sz w:val="24"/>
                <w:szCs w:val="24"/>
                <w:lang w:eastAsia="zh-CN"/>
              </w:rPr>
              <w:t>边</w:t>
            </w:r>
            <w:r>
              <w:rPr>
                <w:rFonts w:hint="default" w:ascii="Times New Roman" w:hAnsi="Times New Roman" w:cs="Times New Roman"/>
                <w:sz w:val="24"/>
                <w:szCs w:val="24"/>
              </w:rPr>
              <w:t>界噪声达标排放</w:t>
            </w:r>
            <w:r>
              <w:rPr>
                <w:rFonts w:hint="default" w:ascii="Times New Roman" w:hAnsi="Times New Roman" w:cs="Times New Roman"/>
                <w:sz w:val="24"/>
                <w:szCs w:val="24"/>
                <w:lang w:eastAsia="zh-CN"/>
              </w:rPr>
              <w:t>，</w:t>
            </w:r>
            <w:r>
              <w:rPr>
                <w:rFonts w:hint="default" w:ascii="Times New Roman" w:hAnsi="Times New Roman" w:cs="Times New Roman"/>
                <w:bCs/>
                <w:iCs/>
                <w:sz w:val="24"/>
                <w:szCs w:val="24"/>
              </w:rPr>
              <w:t>对周边声环境影响不大。</w:t>
            </w:r>
          </w:p>
          <w:p>
            <w:pPr>
              <w:keepNext w:val="0"/>
              <w:keepLines w:val="0"/>
              <w:pageBreakBefore w:val="0"/>
              <w:kinsoku/>
              <w:wordWrap/>
              <w:overflowPunct/>
              <w:topLinePunct w:val="0"/>
              <w:autoSpaceDE/>
              <w:autoSpaceDN/>
              <w:bidi w:val="0"/>
              <w:adjustRightInd/>
              <w:snapToGrid/>
              <w:spacing w:line="480" w:lineRule="exact"/>
              <w:ind w:left="0" w:firstLine="480" w:firstLineChars="200"/>
              <w:textAlignment w:val="auto"/>
              <w:rPr>
                <w:rFonts w:hint="default" w:ascii="Times New Roman" w:hAnsi="Times New Roman" w:cs="Times New Roman"/>
                <w:bCs/>
                <w:iCs/>
                <w:sz w:val="24"/>
                <w:szCs w:val="24"/>
              </w:rPr>
            </w:pPr>
            <w:r>
              <w:rPr>
                <w:rFonts w:hint="default" w:ascii="Times New Roman" w:hAnsi="Times New Roman" w:cs="Times New Roman"/>
                <w:kern w:val="0"/>
                <w:sz w:val="24"/>
                <w:szCs w:val="24"/>
              </w:rPr>
              <w:fldChar w:fldCharType="begin"/>
            </w:r>
            <w:r>
              <w:rPr>
                <w:rFonts w:hint="default" w:ascii="Times New Roman" w:hAnsi="Times New Roman" w:cs="Times New Roman"/>
                <w:kern w:val="0"/>
                <w:sz w:val="24"/>
                <w:szCs w:val="24"/>
              </w:rPr>
              <w:instrText xml:space="preserve"> = 4 \* GB3 </w:instrText>
            </w:r>
            <w:r>
              <w:rPr>
                <w:rFonts w:hint="default" w:ascii="Times New Roman" w:hAnsi="Times New Roman" w:cs="Times New Roman"/>
                <w:kern w:val="0"/>
                <w:sz w:val="24"/>
                <w:szCs w:val="24"/>
              </w:rPr>
              <w:fldChar w:fldCharType="separate"/>
            </w:r>
            <w:r>
              <w:rPr>
                <w:rFonts w:hint="default" w:ascii="Times New Roman" w:hAnsi="Times New Roman" w:cs="Times New Roman"/>
                <w:kern w:val="0"/>
                <w:sz w:val="24"/>
                <w:szCs w:val="24"/>
              </w:rPr>
              <w:t>④</w:t>
            </w:r>
            <w:r>
              <w:rPr>
                <w:rFonts w:hint="default" w:ascii="Times New Roman" w:hAnsi="Times New Roman" w:cs="Times New Roman"/>
                <w:kern w:val="0"/>
                <w:sz w:val="24"/>
                <w:szCs w:val="24"/>
              </w:rPr>
              <w:fldChar w:fldCharType="end"/>
            </w:r>
            <w:r>
              <w:rPr>
                <w:rFonts w:hint="default" w:ascii="Times New Roman" w:hAnsi="Times New Roman" w:cs="Times New Roman"/>
                <w:bCs/>
                <w:iCs/>
                <w:sz w:val="24"/>
                <w:szCs w:val="24"/>
              </w:rPr>
              <w:t>固废环境影响分析</w:t>
            </w:r>
          </w:p>
          <w:p>
            <w:pPr>
              <w:keepNext w:val="0"/>
              <w:keepLines w:val="0"/>
              <w:pageBreakBefore w:val="0"/>
              <w:widowControl/>
              <w:kinsoku/>
              <w:wordWrap/>
              <w:overflowPunct/>
              <w:topLinePunct w:val="0"/>
              <w:autoSpaceDE/>
              <w:autoSpaceDN/>
              <w:bidi w:val="0"/>
              <w:adjustRightInd/>
              <w:snapToGrid/>
              <w:spacing w:line="480" w:lineRule="exact"/>
              <w:ind w:left="0" w:firstLine="480" w:firstLineChars="200"/>
              <w:jc w:val="both"/>
              <w:textAlignment w:val="auto"/>
              <w:rPr>
                <w:rFonts w:hint="default" w:ascii="Times New Roman" w:hAnsi="Times New Roman" w:cs="Times New Roman"/>
                <w:sz w:val="24"/>
                <w:szCs w:val="24"/>
              </w:rPr>
            </w:pPr>
            <w:r>
              <w:rPr>
                <w:rFonts w:hint="default" w:ascii="Times New Roman" w:hAnsi="Times New Roman" w:cs="Times New Roman"/>
                <w:bCs/>
                <w:iCs/>
                <w:sz w:val="24"/>
                <w:szCs w:val="24"/>
              </w:rPr>
              <w:t>项目运营</w:t>
            </w:r>
            <w:r>
              <w:rPr>
                <w:rFonts w:hint="default" w:ascii="Times New Roman" w:hAnsi="Times New Roman" w:cs="Times New Roman"/>
                <w:sz w:val="24"/>
                <w:szCs w:val="24"/>
              </w:rPr>
              <w:t>过程中固废为：生产过程</w:t>
            </w:r>
            <w:r>
              <w:rPr>
                <w:rFonts w:hint="default" w:ascii="Times New Roman" w:hAnsi="Times New Roman" w:cs="Times New Roman"/>
                <w:color w:val="auto"/>
                <w:sz w:val="24"/>
                <w:szCs w:val="24"/>
                <w:lang w:eastAsia="zh-CN"/>
              </w:rPr>
              <w:t>金属废料</w:t>
            </w:r>
            <w:r>
              <w:rPr>
                <w:rFonts w:hint="default" w:ascii="Times New Roman" w:hAnsi="Times New Roman" w:cs="Times New Roman"/>
                <w:color w:val="auto"/>
                <w:sz w:val="24"/>
                <w:szCs w:val="24"/>
              </w:rPr>
              <w:t>产生量约为</w:t>
            </w:r>
            <w:r>
              <w:rPr>
                <w:rFonts w:hint="default" w:ascii="Times New Roman" w:hAnsi="Times New Roman" w:cs="Times New Roman"/>
                <w:color w:val="auto"/>
                <w:sz w:val="24"/>
                <w:szCs w:val="24"/>
                <w:lang w:val="en-US" w:eastAsia="zh-CN"/>
              </w:rPr>
              <w:t>30</w:t>
            </w:r>
            <w:r>
              <w:rPr>
                <w:rFonts w:hint="default" w:ascii="Times New Roman" w:hAnsi="Times New Roman" w:cs="Times New Roman"/>
                <w:color w:val="auto"/>
                <w:sz w:val="24"/>
                <w:szCs w:val="24"/>
              </w:rPr>
              <w:t>t/a</w:t>
            </w:r>
            <w:r>
              <w:rPr>
                <w:rFonts w:hint="default" w:ascii="Times New Roman" w:hAnsi="Times New Roman" w:cs="Times New Roman"/>
                <w:sz w:val="24"/>
                <w:szCs w:val="24"/>
                <w:lang w:eastAsia="zh-CN"/>
              </w:rPr>
              <w:t>，</w:t>
            </w:r>
            <w:r>
              <w:rPr>
                <w:rFonts w:hint="default" w:ascii="Times New Roman" w:hAnsi="Times New Roman" w:cs="Times New Roman"/>
                <w:color w:val="auto"/>
                <w:sz w:val="24"/>
                <w:szCs w:val="24"/>
                <w:lang w:eastAsia="zh-CN"/>
              </w:rPr>
              <w:t>移动式烟尘净化器及自然沉降金属粉尘</w:t>
            </w:r>
            <w:r>
              <w:rPr>
                <w:rFonts w:hint="default" w:ascii="Times New Roman" w:hAnsi="Times New Roman" w:cs="Times New Roman"/>
                <w:color w:val="auto"/>
                <w:sz w:val="24"/>
                <w:szCs w:val="24"/>
                <w:lang w:val="en-US" w:eastAsia="zh-CN"/>
              </w:rPr>
              <w:t>1.93328t/a，</w:t>
            </w:r>
            <w:r>
              <w:rPr>
                <w:rFonts w:hint="default" w:ascii="Times New Roman" w:hAnsi="Times New Roman" w:cs="Times New Roman"/>
                <w:sz w:val="24"/>
                <w:szCs w:val="24"/>
              </w:rPr>
              <w:t>集中收集后外售。</w:t>
            </w:r>
          </w:p>
          <w:p>
            <w:pPr>
              <w:pStyle w:val="71"/>
              <w:keepNext w:val="0"/>
              <w:keepLines w:val="0"/>
              <w:pageBreakBefore w:val="0"/>
              <w:widowControl/>
              <w:kinsoku/>
              <w:wordWrap/>
              <w:overflowPunct/>
              <w:topLinePunct w:val="0"/>
              <w:autoSpaceDE/>
              <w:autoSpaceDN/>
              <w:bidi w:val="0"/>
              <w:adjustRightInd/>
              <w:snapToGrid/>
              <w:spacing w:line="480" w:lineRule="exact"/>
              <w:ind w:left="0" w:firstLine="480" w:firstLineChars="200"/>
              <w:jc w:val="both"/>
              <w:textAlignment w:val="auto"/>
              <w:rPr>
                <w:rFonts w:hint="default" w:ascii="Times New Roman" w:hAnsi="Times New Roman" w:cs="Times New Roman"/>
                <w:bCs/>
                <w:iCs/>
                <w:sz w:val="24"/>
                <w:szCs w:val="24"/>
                <w:lang w:eastAsia="zh-CN"/>
              </w:rPr>
            </w:pPr>
            <w:r>
              <w:rPr>
                <w:rFonts w:hint="default" w:ascii="Times New Roman" w:hAnsi="Times New Roman" w:cs="Times New Roman"/>
                <w:bCs/>
                <w:iCs/>
                <w:sz w:val="24"/>
                <w:szCs w:val="24"/>
              </w:rPr>
              <w:t>生活垃圾</w:t>
            </w:r>
            <w:r>
              <w:rPr>
                <w:rFonts w:hint="default" w:ascii="Times New Roman" w:hAnsi="Times New Roman" w:cs="Times New Roman"/>
                <w:bCs/>
                <w:iCs/>
                <w:sz w:val="24"/>
                <w:szCs w:val="24"/>
                <w:lang w:eastAsia="zh-CN"/>
              </w:rPr>
              <w:t>产生量</w:t>
            </w:r>
            <w:r>
              <w:rPr>
                <w:rFonts w:hint="default" w:ascii="Times New Roman" w:hAnsi="Times New Roman" w:cs="Times New Roman"/>
                <w:bCs/>
                <w:iCs/>
                <w:sz w:val="24"/>
                <w:szCs w:val="24"/>
                <w:lang w:val="en-US" w:eastAsia="zh-CN"/>
              </w:rPr>
              <w:t>3</w:t>
            </w:r>
            <w:r>
              <w:rPr>
                <w:rFonts w:hint="default" w:ascii="Times New Roman" w:hAnsi="Times New Roman" w:cs="Times New Roman"/>
                <w:sz w:val="24"/>
                <w:szCs w:val="24"/>
              </w:rPr>
              <w:t>t/a</w:t>
            </w:r>
            <w:r>
              <w:rPr>
                <w:rFonts w:hint="default" w:ascii="Times New Roman" w:hAnsi="Times New Roman" w:cs="Times New Roman"/>
                <w:sz w:val="24"/>
                <w:szCs w:val="24"/>
                <w:lang w:eastAsia="zh-CN"/>
              </w:rPr>
              <w:t>，</w:t>
            </w:r>
            <w:r>
              <w:rPr>
                <w:rFonts w:hint="default" w:ascii="Times New Roman" w:hAnsi="Times New Roman" w:cs="Times New Roman"/>
                <w:bCs/>
                <w:iCs/>
                <w:sz w:val="24"/>
                <w:szCs w:val="24"/>
              </w:rPr>
              <w:t>生活垃圾统一收集后定期送往垃圾中转站</w:t>
            </w:r>
            <w:r>
              <w:rPr>
                <w:rFonts w:hint="default" w:ascii="Times New Roman" w:hAnsi="Times New Roman" w:cs="Times New Roman"/>
                <w:bCs/>
                <w:iCs/>
                <w:sz w:val="24"/>
                <w:szCs w:val="24"/>
                <w:lang w:eastAsia="zh-CN"/>
              </w:rPr>
              <w:t>。</w:t>
            </w:r>
          </w:p>
          <w:p>
            <w:pPr>
              <w:pStyle w:val="71"/>
              <w:keepNext w:val="0"/>
              <w:keepLines w:val="0"/>
              <w:pageBreakBefore w:val="0"/>
              <w:widowControl/>
              <w:kinsoku/>
              <w:wordWrap/>
              <w:overflowPunct/>
              <w:topLinePunct w:val="0"/>
              <w:autoSpaceDE/>
              <w:autoSpaceDN/>
              <w:bidi w:val="0"/>
              <w:adjustRightInd/>
              <w:snapToGrid/>
              <w:spacing w:line="480" w:lineRule="exact"/>
              <w:ind w:left="0" w:firstLine="480" w:firstLineChars="200"/>
              <w:jc w:val="both"/>
              <w:textAlignment w:val="auto"/>
              <w:rPr>
                <w:rFonts w:hint="default" w:ascii="Times New Roman" w:hAnsi="Times New Roman" w:cs="Times New Roman"/>
                <w:sz w:val="24"/>
                <w:szCs w:val="24"/>
                <w:lang w:eastAsia="zh-CN"/>
              </w:rPr>
            </w:pPr>
            <w:r>
              <w:rPr>
                <w:rFonts w:hint="default" w:ascii="Times New Roman" w:hAnsi="Times New Roman" w:eastAsia="宋体" w:cs="Times New Roman"/>
                <w:kern w:val="0"/>
                <w:sz w:val="24"/>
                <w:szCs w:val="24"/>
                <w:lang w:val="en-US" w:eastAsia="zh-CN"/>
              </w:rPr>
              <w:t>本项目产生废</w:t>
            </w:r>
            <w:r>
              <w:rPr>
                <w:rFonts w:hint="default" w:ascii="Times New Roman" w:hAnsi="Times New Roman" w:cs="Times New Roman"/>
                <w:kern w:val="0"/>
                <w:sz w:val="24"/>
                <w:szCs w:val="24"/>
                <w:lang w:val="en-US" w:eastAsia="zh-CN"/>
              </w:rPr>
              <w:t>乳化液</w:t>
            </w:r>
            <w:r>
              <w:rPr>
                <w:rFonts w:hint="default" w:ascii="Times New Roman" w:hAnsi="Times New Roman" w:eastAsia="宋体" w:cs="Times New Roman"/>
                <w:kern w:val="0"/>
                <w:sz w:val="24"/>
                <w:szCs w:val="24"/>
                <w:lang w:val="en-US" w:eastAsia="zh-CN"/>
              </w:rPr>
              <w:t>产生量约</w:t>
            </w:r>
            <w:r>
              <w:rPr>
                <w:rFonts w:hint="default" w:ascii="Times New Roman" w:hAnsi="Times New Roman" w:cs="Times New Roman"/>
                <w:kern w:val="0"/>
                <w:sz w:val="24"/>
                <w:szCs w:val="24"/>
                <w:lang w:val="en-US" w:eastAsia="zh-CN"/>
              </w:rPr>
              <w:t>0.1t</w:t>
            </w:r>
            <w:r>
              <w:rPr>
                <w:rFonts w:hint="default" w:ascii="Times New Roman" w:hAnsi="Times New Roman" w:eastAsia="宋体" w:cs="Times New Roman"/>
                <w:kern w:val="0"/>
                <w:sz w:val="24"/>
                <w:szCs w:val="24"/>
                <w:lang w:val="en-US" w:eastAsia="zh-CN"/>
              </w:rPr>
              <w:t>/a</w:t>
            </w:r>
            <w:r>
              <w:rPr>
                <w:rFonts w:hint="default" w:ascii="Times New Roman" w:hAnsi="Times New Roman" w:cs="Times New Roman"/>
                <w:kern w:val="0"/>
                <w:sz w:val="24"/>
                <w:szCs w:val="24"/>
                <w:lang w:val="en-US" w:eastAsia="zh-CN"/>
              </w:rPr>
              <w:t>，年产生废机油约0.05t/a，</w:t>
            </w:r>
            <w:r>
              <w:rPr>
                <w:rFonts w:hint="default" w:ascii="Times New Roman" w:hAnsi="Times New Roman" w:cs="Times New Roman"/>
                <w:sz w:val="24"/>
                <w:szCs w:val="24"/>
              </w:rPr>
              <w:t>经查阅《国家危险废物名录》，</w:t>
            </w:r>
            <w:r>
              <w:rPr>
                <w:rFonts w:hint="default" w:ascii="Times New Roman" w:hAnsi="Times New Roman" w:cs="Times New Roman"/>
                <w:sz w:val="24"/>
                <w:szCs w:val="24"/>
                <w:lang w:eastAsia="zh-CN"/>
              </w:rPr>
              <w:t>废乳化液</w:t>
            </w:r>
            <w:r>
              <w:rPr>
                <w:rFonts w:hint="default" w:ascii="Times New Roman" w:hAnsi="Times New Roman" w:cs="Times New Roman"/>
                <w:sz w:val="24"/>
                <w:szCs w:val="24"/>
              </w:rPr>
              <w:t>属危险固废HW0</w:t>
            </w:r>
            <w:r>
              <w:rPr>
                <w:rFonts w:hint="default" w:ascii="Times New Roman" w:hAnsi="Times New Roman" w:cs="Times New Roman"/>
                <w:sz w:val="24"/>
                <w:szCs w:val="24"/>
                <w:lang w:val="en-US" w:eastAsia="zh-CN"/>
              </w:rPr>
              <w:t>9</w:t>
            </w:r>
            <w:r>
              <w:rPr>
                <w:rFonts w:hint="default" w:ascii="Times New Roman" w:hAnsi="Times New Roman" w:cs="Times New Roman"/>
                <w:sz w:val="24"/>
                <w:szCs w:val="24"/>
              </w:rPr>
              <w:t>（900-</w:t>
            </w:r>
            <w:r>
              <w:rPr>
                <w:rFonts w:hint="default" w:ascii="Times New Roman" w:hAnsi="Times New Roman" w:cs="Times New Roman"/>
                <w:sz w:val="24"/>
                <w:szCs w:val="24"/>
                <w:lang w:val="en-US" w:eastAsia="zh-CN"/>
              </w:rPr>
              <w:t>006</w:t>
            </w:r>
            <w:r>
              <w:rPr>
                <w:rFonts w:hint="default" w:ascii="Times New Roman" w:hAnsi="Times New Roman" w:cs="Times New Roman"/>
                <w:sz w:val="24"/>
                <w:szCs w:val="24"/>
              </w:rPr>
              <w:t>-</w:t>
            </w:r>
            <w:r>
              <w:rPr>
                <w:rFonts w:hint="default" w:ascii="Times New Roman" w:hAnsi="Times New Roman" w:cs="Times New Roman"/>
                <w:sz w:val="24"/>
                <w:szCs w:val="24"/>
                <w:lang w:val="en-US" w:eastAsia="zh-CN"/>
              </w:rPr>
              <w:t>09</w:t>
            </w:r>
            <w:r>
              <w:rPr>
                <w:rFonts w:hint="default" w:ascii="Times New Roman" w:hAnsi="Times New Roman" w:cs="Times New Roman"/>
                <w:sz w:val="24"/>
                <w:szCs w:val="24"/>
              </w:rPr>
              <w:t>），</w:t>
            </w:r>
            <w:r>
              <w:rPr>
                <w:rFonts w:hint="default" w:ascii="Times New Roman" w:hAnsi="Times New Roman" w:cs="Times New Roman"/>
                <w:sz w:val="24"/>
                <w:szCs w:val="24"/>
                <w:lang w:eastAsia="zh-CN"/>
              </w:rPr>
              <w:t>废机油</w:t>
            </w:r>
            <w:r>
              <w:rPr>
                <w:rFonts w:hint="default" w:ascii="Times New Roman" w:hAnsi="Times New Roman" w:cs="Times New Roman"/>
                <w:sz w:val="24"/>
                <w:szCs w:val="24"/>
              </w:rPr>
              <w:t>属危险固废HW08（900-2</w:t>
            </w:r>
            <w:r>
              <w:rPr>
                <w:rFonts w:hint="default" w:ascii="Times New Roman" w:hAnsi="Times New Roman" w:cs="Times New Roman"/>
                <w:sz w:val="24"/>
                <w:szCs w:val="24"/>
                <w:lang w:val="en-US" w:eastAsia="zh-CN"/>
              </w:rPr>
              <w:t>49</w:t>
            </w:r>
            <w:r>
              <w:rPr>
                <w:rFonts w:hint="default" w:ascii="Times New Roman" w:hAnsi="Times New Roman" w:cs="Times New Roman"/>
                <w:sz w:val="24"/>
                <w:szCs w:val="24"/>
              </w:rPr>
              <w:t>-08），</w:t>
            </w:r>
            <w:r>
              <w:rPr>
                <w:rFonts w:hint="default" w:ascii="Times New Roman" w:hAnsi="Times New Roman" w:cs="Times New Roman"/>
                <w:sz w:val="24"/>
                <w:szCs w:val="24"/>
                <w:lang w:eastAsia="zh-CN"/>
              </w:rPr>
              <w:t>危险废物分类收集后，</w:t>
            </w:r>
            <w:r>
              <w:rPr>
                <w:rFonts w:hint="default" w:ascii="Times New Roman" w:hAnsi="Times New Roman" w:cs="Times New Roman"/>
                <w:sz w:val="24"/>
                <w:szCs w:val="24"/>
              </w:rPr>
              <w:t>在厂内危废暂存间暂存后定期</w:t>
            </w:r>
            <w:r>
              <w:rPr>
                <w:rFonts w:hint="default" w:ascii="Times New Roman" w:hAnsi="Times New Roman" w:cs="Times New Roman"/>
                <w:bCs/>
                <w:iCs/>
                <w:sz w:val="24"/>
                <w:szCs w:val="24"/>
                <w:lang w:eastAsia="zh-CN"/>
              </w:rPr>
              <w:t>委托</w:t>
            </w:r>
            <w:r>
              <w:rPr>
                <w:rFonts w:hint="default" w:ascii="Times New Roman" w:hAnsi="Times New Roman" w:cs="Times New Roman"/>
                <w:sz w:val="24"/>
                <w:szCs w:val="24"/>
                <w:lang w:eastAsia="zh-CN"/>
              </w:rPr>
              <w:t>有资质单位</w:t>
            </w:r>
            <w:r>
              <w:rPr>
                <w:rFonts w:hint="default" w:ascii="Times New Roman" w:hAnsi="Times New Roman" w:cs="Times New Roman"/>
                <w:sz w:val="24"/>
                <w:szCs w:val="24"/>
              </w:rPr>
              <w:t>进行安全处置</w:t>
            </w:r>
            <w:r>
              <w:rPr>
                <w:rFonts w:hint="default" w:ascii="Times New Roman" w:hAnsi="Times New Roman" w:cs="Times New Roman"/>
                <w:sz w:val="24"/>
                <w:szCs w:val="24"/>
                <w:lang w:eastAsia="zh-CN"/>
              </w:rPr>
              <w:t>。</w:t>
            </w:r>
          </w:p>
          <w:p>
            <w:pPr>
              <w:pStyle w:val="71"/>
              <w:keepNext w:val="0"/>
              <w:keepLines w:val="0"/>
              <w:pageBreakBefore w:val="0"/>
              <w:widowControl/>
              <w:kinsoku/>
              <w:wordWrap/>
              <w:overflowPunct/>
              <w:topLinePunct w:val="0"/>
              <w:autoSpaceDE/>
              <w:autoSpaceDN/>
              <w:bidi w:val="0"/>
              <w:adjustRightInd/>
              <w:snapToGrid/>
              <w:spacing w:line="480" w:lineRule="exact"/>
              <w:ind w:left="0" w:firstLine="480" w:firstLineChars="200"/>
              <w:jc w:val="both"/>
              <w:textAlignment w:val="auto"/>
              <w:rPr>
                <w:rFonts w:hint="default" w:ascii="Times New Roman" w:hAnsi="Times New Roman" w:cs="Times New Roman"/>
                <w:bCs/>
                <w:iCs/>
                <w:sz w:val="24"/>
                <w:szCs w:val="24"/>
              </w:rPr>
            </w:pPr>
            <w:r>
              <w:rPr>
                <w:rFonts w:hint="default" w:ascii="Times New Roman" w:hAnsi="Times New Roman" w:cs="Times New Roman"/>
                <w:bCs/>
                <w:iCs/>
                <w:sz w:val="24"/>
                <w:szCs w:val="24"/>
              </w:rPr>
              <w:t>项目固废100%得到妥善处置，不会对周围环境造成影响。</w:t>
            </w:r>
          </w:p>
          <w:p>
            <w:pPr>
              <w:adjustRightInd w:val="0"/>
              <w:snapToGrid w:val="0"/>
              <w:spacing w:line="520" w:lineRule="exact"/>
              <w:ind w:firstLine="482" w:firstLineChars="200"/>
              <w:textAlignment w:val="baseline"/>
              <w:rPr>
                <w:rFonts w:ascii="Times New Roman" w:hAnsi="Times New Roman"/>
                <w:b/>
                <w:sz w:val="24"/>
                <w:szCs w:val="24"/>
              </w:rPr>
            </w:pPr>
            <w:r>
              <w:rPr>
                <w:rFonts w:hint="eastAsia" w:ascii="Times New Roman" w:hAnsi="Times New Roman"/>
                <w:b/>
                <w:sz w:val="24"/>
                <w:szCs w:val="24"/>
                <w:lang w:val="en-US" w:eastAsia="zh-CN"/>
              </w:rPr>
              <w:t>5、</w:t>
            </w:r>
            <w:r>
              <w:rPr>
                <w:rFonts w:hint="eastAsia" w:ascii="Times New Roman" w:hAnsi="Times New Roman"/>
                <w:b/>
                <w:sz w:val="24"/>
                <w:szCs w:val="24"/>
              </w:rPr>
              <w:t>总量建议</w:t>
            </w:r>
          </w:p>
          <w:p>
            <w:pPr>
              <w:adjustRightInd w:val="0"/>
              <w:snapToGrid w:val="0"/>
              <w:spacing w:line="500" w:lineRule="exact"/>
              <w:ind w:firstLine="480" w:firstLineChars="200"/>
              <w:rPr>
                <w:rFonts w:hint="eastAsia" w:ascii="Times New Roman" w:hAnsi="Times New Roman" w:cs="Times New Roman"/>
                <w:sz w:val="24"/>
                <w:szCs w:val="24"/>
              </w:rPr>
            </w:pPr>
            <w:r>
              <w:rPr>
                <w:rFonts w:hint="eastAsia" w:ascii="Times New Roman" w:hAnsi="Times New Roman" w:cs="Times New Roman"/>
                <w:sz w:val="24"/>
                <w:szCs w:val="24"/>
                <w:lang w:val="en-US" w:eastAsia="zh-CN"/>
              </w:rPr>
              <w:t>本</w:t>
            </w:r>
            <w:r>
              <w:rPr>
                <w:rFonts w:hint="eastAsia" w:ascii="Times New Roman" w:hAnsi="Times New Roman" w:cs="Times New Roman"/>
                <w:sz w:val="24"/>
                <w:szCs w:val="24"/>
              </w:rPr>
              <w:t>项目</w:t>
            </w:r>
            <w:r>
              <w:rPr>
                <w:rFonts w:hint="eastAsia" w:ascii="Times New Roman" w:hAnsi="Times New Roman" w:cs="Times New Roman"/>
                <w:sz w:val="24"/>
                <w:szCs w:val="24"/>
                <w:lang w:eastAsia="zh-CN"/>
              </w:rPr>
              <w:t>生活</w:t>
            </w:r>
            <w:r>
              <w:rPr>
                <w:rFonts w:hint="eastAsia" w:ascii="Times New Roman" w:hAnsi="Times New Roman" w:cs="Times New Roman"/>
                <w:sz w:val="24"/>
                <w:szCs w:val="24"/>
              </w:rPr>
              <w:t>废水量</w:t>
            </w:r>
            <w:r>
              <w:rPr>
                <w:rFonts w:hint="eastAsia" w:ascii="Times New Roman" w:hAnsi="Times New Roman" w:cs="Times New Roman"/>
                <w:sz w:val="24"/>
                <w:szCs w:val="24"/>
                <w:lang w:val="en-US" w:eastAsia="zh-CN"/>
              </w:rPr>
              <w:t>0.64</w:t>
            </w:r>
            <w:r>
              <w:rPr>
                <w:rFonts w:hint="eastAsia" w:ascii="Times New Roman" w:hAnsi="Times New Roman" w:cs="Times New Roman"/>
                <w:sz w:val="24"/>
                <w:szCs w:val="24"/>
              </w:rPr>
              <w:t>m</w:t>
            </w:r>
            <w:r>
              <w:rPr>
                <w:rFonts w:hint="eastAsia" w:ascii="Times New Roman" w:hAnsi="Times New Roman" w:cs="Times New Roman"/>
                <w:sz w:val="24"/>
                <w:szCs w:val="24"/>
                <w:vertAlign w:val="superscript"/>
              </w:rPr>
              <w:t>3</w:t>
            </w:r>
            <w:r>
              <w:rPr>
                <w:rFonts w:hint="eastAsia" w:ascii="Times New Roman" w:hAnsi="Times New Roman" w:cs="Times New Roman"/>
                <w:sz w:val="24"/>
                <w:szCs w:val="24"/>
              </w:rPr>
              <w:t>/d，年废水量</w:t>
            </w:r>
            <w:r>
              <w:rPr>
                <w:rFonts w:hint="eastAsia" w:ascii="Times New Roman" w:hAnsi="Times New Roman" w:cs="Times New Roman"/>
                <w:sz w:val="24"/>
                <w:szCs w:val="24"/>
                <w:lang w:val="en-US" w:eastAsia="zh-CN"/>
              </w:rPr>
              <w:t>192</w:t>
            </w:r>
            <w:r>
              <w:rPr>
                <w:rFonts w:hint="eastAsia" w:ascii="Times New Roman" w:hAnsi="Times New Roman" w:cs="Times New Roman"/>
                <w:sz w:val="24"/>
                <w:szCs w:val="24"/>
              </w:rPr>
              <w:t>m</w:t>
            </w:r>
            <w:r>
              <w:rPr>
                <w:rFonts w:hint="eastAsia" w:ascii="Times New Roman" w:hAnsi="Times New Roman" w:cs="Times New Roman"/>
                <w:sz w:val="24"/>
                <w:szCs w:val="24"/>
                <w:vertAlign w:val="superscript"/>
              </w:rPr>
              <w:t>3</w:t>
            </w:r>
            <w:r>
              <w:rPr>
                <w:rFonts w:hint="eastAsia" w:ascii="Times New Roman" w:hAnsi="Times New Roman" w:cs="Times New Roman"/>
                <w:sz w:val="24"/>
                <w:szCs w:val="24"/>
              </w:rPr>
              <w:t>/a。</w:t>
            </w:r>
            <w:r>
              <w:rPr>
                <w:rFonts w:hint="eastAsia" w:ascii="Times New Roman" w:hAnsi="Times New Roman" w:cs="Times New Roman"/>
                <w:sz w:val="24"/>
                <w:szCs w:val="24"/>
                <w:lang w:eastAsia="zh-CN"/>
              </w:rPr>
              <w:t>依托</w:t>
            </w:r>
            <w:r>
              <w:rPr>
                <w:rFonts w:hint="eastAsia" w:ascii="Times New Roman" w:hAnsi="Times New Roman" w:cs="Times New Roman"/>
                <w:color w:val="000000" w:themeColor="text1"/>
                <w:sz w:val="24"/>
                <w:szCs w:val="24"/>
                <w:lang w:val="en-US" w:eastAsia="zh-CN"/>
              </w:rPr>
              <w:t>豫中地质勘查工程公司平顶山第四工程处院内化粪池</w:t>
            </w:r>
            <w:r>
              <w:rPr>
                <w:rFonts w:hint="default" w:ascii="Times New Roman" w:hAnsi="Times New Roman" w:cs="Times New Roman"/>
                <w:color w:val="000000" w:themeColor="text1"/>
                <w:sz w:val="24"/>
                <w:szCs w:val="24"/>
                <w:lang w:eastAsia="zh-CN"/>
              </w:rPr>
              <w:t>处理后，排入市政污水管网</w:t>
            </w:r>
            <w:r>
              <w:rPr>
                <w:rFonts w:hint="eastAsia" w:ascii="Times New Roman" w:hAnsi="Times New Roman" w:cs="Times New Roman"/>
                <w:sz w:val="24"/>
                <w:szCs w:val="24"/>
                <w:lang w:val="en-US" w:eastAsia="zh-CN"/>
              </w:rPr>
              <w:t>最终进入城市污水处理厂做进一步处理</w:t>
            </w:r>
            <w:r>
              <w:rPr>
                <w:rFonts w:hint="eastAsia" w:ascii="Times New Roman" w:hAnsi="Times New Roman" w:cs="Times New Roman"/>
                <w:sz w:val="24"/>
                <w:szCs w:val="24"/>
              </w:rPr>
              <w:t>。出水执行《城镇污水处理厂污染物排放标准》（GB18918-2002）一级A标准（COD≤50mg/L、氨氮≤5mg/L），污染物排放浓度以该标准核算后，本项目各污染物的排放量为：COD</w:t>
            </w:r>
            <w:r>
              <w:rPr>
                <w:rFonts w:hint="eastAsia" w:ascii="Times New Roman" w:hAnsi="Times New Roman" w:cs="Times New Roman"/>
                <w:sz w:val="24"/>
                <w:szCs w:val="24"/>
                <w:lang w:val="en-US" w:eastAsia="zh-CN"/>
              </w:rPr>
              <w:t>0.0096</w:t>
            </w:r>
            <w:r>
              <w:rPr>
                <w:rFonts w:hint="eastAsia" w:ascii="Times New Roman" w:hAnsi="Times New Roman" w:cs="Times New Roman"/>
                <w:sz w:val="24"/>
                <w:szCs w:val="24"/>
              </w:rPr>
              <w:t>t/a，氨氮</w:t>
            </w:r>
            <w:r>
              <w:rPr>
                <w:rFonts w:hint="eastAsia" w:ascii="Times New Roman" w:hAnsi="Times New Roman" w:cs="Times New Roman"/>
                <w:sz w:val="24"/>
                <w:szCs w:val="24"/>
                <w:lang w:val="en-US" w:eastAsia="zh-CN"/>
              </w:rPr>
              <w:t>0.00096</w:t>
            </w:r>
            <w:r>
              <w:rPr>
                <w:rFonts w:hint="eastAsia" w:ascii="Times New Roman" w:hAnsi="Times New Roman" w:cs="Times New Roman"/>
                <w:sz w:val="24"/>
                <w:szCs w:val="24"/>
              </w:rPr>
              <w:t>t/a。</w:t>
            </w:r>
          </w:p>
          <w:p>
            <w:pPr>
              <w:adjustRightInd w:val="0"/>
              <w:snapToGrid w:val="0"/>
              <w:spacing w:line="500" w:lineRule="exact"/>
              <w:ind w:firstLine="480" w:firstLineChars="200"/>
              <w:rPr>
                <w:rFonts w:hint="eastAsia" w:ascii="Times New Roman" w:hAnsi="Times New Roman" w:cs="Times New Roman"/>
                <w:sz w:val="24"/>
                <w:szCs w:val="24"/>
              </w:rPr>
            </w:pPr>
            <w:r>
              <w:rPr>
                <w:rFonts w:hint="eastAsia" w:ascii="Times New Roman" w:hAnsi="Times New Roman" w:cs="Times New Roman"/>
                <w:sz w:val="24"/>
                <w:szCs w:val="24"/>
              </w:rPr>
              <w:t>本项目</w:t>
            </w:r>
            <w:r>
              <w:rPr>
                <w:rFonts w:hint="eastAsia" w:ascii="Times New Roman" w:hAnsi="Times New Roman" w:cs="Times New Roman"/>
                <w:sz w:val="24"/>
                <w:szCs w:val="24"/>
                <w:lang w:eastAsia="zh-CN"/>
              </w:rPr>
              <w:t>申请总量为</w:t>
            </w:r>
            <w:r>
              <w:rPr>
                <w:rFonts w:hint="eastAsia" w:ascii="Times New Roman" w:hAnsi="Times New Roman" w:cs="Times New Roman"/>
                <w:sz w:val="24"/>
                <w:szCs w:val="24"/>
              </w:rPr>
              <w:t>：COD</w:t>
            </w:r>
            <w:r>
              <w:rPr>
                <w:rFonts w:hint="eastAsia" w:ascii="Times New Roman" w:hAnsi="Times New Roman" w:cs="Times New Roman"/>
                <w:sz w:val="24"/>
                <w:szCs w:val="24"/>
                <w:lang w:val="en-US" w:eastAsia="zh-CN"/>
              </w:rPr>
              <w:t>0.0096</w:t>
            </w:r>
            <w:r>
              <w:rPr>
                <w:rFonts w:hint="eastAsia" w:ascii="Times New Roman" w:hAnsi="Times New Roman" w:cs="Times New Roman"/>
                <w:sz w:val="24"/>
                <w:szCs w:val="24"/>
              </w:rPr>
              <w:t>t/a，氨氮</w:t>
            </w:r>
            <w:r>
              <w:rPr>
                <w:rFonts w:hint="eastAsia" w:ascii="Times New Roman" w:hAnsi="Times New Roman" w:cs="Times New Roman"/>
                <w:sz w:val="24"/>
                <w:szCs w:val="24"/>
                <w:lang w:val="en-US" w:eastAsia="zh-CN"/>
              </w:rPr>
              <w:t>0.00096</w:t>
            </w:r>
            <w:r>
              <w:rPr>
                <w:rFonts w:hint="eastAsia" w:ascii="Times New Roman" w:hAnsi="Times New Roman" w:cs="Times New Roman"/>
                <w:sz w:val="24"/>
                <w:szCs w:val="24"/>
              </w:rPr>
              <w:t>t/a。</w:t>
            </w:r>
          </w:p>
          <w:p>
            <w:pPr>
              <w:adjustRightInd w:val="0"/>
              <w:snapToGrid w:val="0"/>
              <w:spacing w:line="520" w:lineRule="exact"/>
              <w:textAlignment w:val="baseline"/>
              <w:rPr>
                <w:rFonts w:ascii="Times New Roman" w:hAnsi="Times New Roman"/>
                <w:b/>
                <w:sz w:val="24"/>
              </w:rPr>
            </w:pPr>
            <w:r>
              <w:rPr>
                <w:rFonts w:hint="eastAsia" w:ascii="Times New Roman" w:hAnsi="Times New Roman"/>
                <w:b/>
                <w:sz w:val="24"/>
                <w:lang w:val="en-US" w:eastAsia="zh-CN"/>
              </w:rPr>
              <w:t>6</w:t>
            </w:r>
            <w:r>
              <w:rPr>
                <w:rFonts w:hint="eastAsia" w:ascii="Times New Roman" w:hAnsi="Times New Roman"/>
                <w:b/>
                <w:sz w:val="24"/>
              </w:rPr>
              <w:t>、建议</w:t>
            </w:r>
          </w:p>
          <w:p>
            <w:pPr>
              <w:adjustRightInd w:val="0"/>
              <w:snapToGrid w:val="0"/>
              <w:spacing w:line="520" w:lineRule="exact"/>
              <w:ind w:firstLine="480" w:firstLineChars="200"/>
              <w:textAlignment w:val="baseline"/>
              <w:rPr>
                <w:rFonts w:ascii="Times New Roman" w:hAnsi="Times New Roman"/>
                <w:sz w:val="24"/>
              </w:rPr>
            </w:pPr>
            <w:r>
              <w:rPr>
                <w:rFonts w:hint="eastAsia" w:ascii="Times New Roman" w:hAnsi="Times New Roman"/>
                <w:sz w:val="24"/>
              </w:rPr>
              <w:t>（1）项目应严格管理，确保各项治理措施到位，确保各项污染物达标排放；</w:t>
            </w:r>
          </w:p>
          <w:p>
            <w:pPr>
              <w:adjustRightInd w:val="0"/>
              <w:snapToGrid w:val="0"/>
              <w:spacing w:line="520" w:lineRule="exact"/>
              <w:ind w:firstLine="480" w:firstLineChars="200"/>
              <w:textAlignment w:val="baseline"/>
              <w:rPr>
                <w:rFonts w:ascii="Times New Roman" w:hAnsi="Times New Roman"/>
                <w:sz w:val="24"/>
              </w:rPr>
            </w:pPr>
            <w:r>
              <w:rPr>
                <w:rFonts w:hint="eastAsia" w:ascii="Times New Roman" w:hAnsi="Times New Roman"/>
                <w:sz w:val="24"/>
              </w:rPr>
              <w:t>（2）严格执行环保“三同时”制度，确保本次工程环保资金到位，专款专用；</w:t>
            </w:r>
          </w:p>
          <w:p>
            <w:pPr>
              <w:widowControl/>
              <w:adjustRightInd w:val="0"/>
              <w:spacing w:line="520" w:lineRule="exact"/>
              <w:ind w:firstLine="480" w:firstLineChars="200"/>
              <w:rPr>
                <w:rFonts w:ascii="Times New Roman" w:hAnsi="Times New Roman"/>
                <w:sz w:val="24"/>
              </w:rPr>
            </w:pPr>
            <w:r>
              <w:rPr>
                <w:rFonts w:hint="eastAsia" w:ascii="Times New Roman" w:hAnsi="Times New Roman"/>
                <w:sz w:val="24"/>
              </w:rPr>
              <w:t>（3）</w:t>
            </w:r>
            <w:r>
              <w:rPr>
                <w:rFonts w:ascii="Times New Roman" w:hAnsi="Times New Roman"/>
                <w:bCs/>
                <w:color w:val="000000"/>
                <w:sz w:val="24"/>
                <w:szCs w:val="24"/>
              </w:rPr>
              <w:t>确保</w:t>
            </w:r>
            <w:r>
              <w:rPr>
                <w:rFonts w:hint="eastAsia" w:ascii="Times New Roman" w:hAnsi="Times New Roman"/>
                <w:bCs/>
                <w:color w:val="000000"/>
                <w:sz w:val="24"/>
                <w:szCs w:val="24"/>
                <w:lang w:eastAsia="zh-CN"/>
              </w:rPr>
              <w:t>危险废物</w:t>
            </w:r>
            <w:r>
              <w:rPr>
                <w:rFonts w:ascii="Times New Roman" w:hAnsi="Times New Roman"/>
                <w:bCs/>
                <w:color w:val="000000"/>
                <w:sz w:val="24"/>
                <w:szCs w:val="24"/>
              </w:rPr>
              <w:t>装入专用收集桶内，保证不散发、不泄露，与有资质单位签订合同，收集后送相关有资质单位处置</w:t>
            </w:r>
            <w:r>
              <w:rPr>
                <w:rFonts w:hint="eastAsia" w:ascii="Times New Roman" w:hAnsi="Times New Roman"/>
                <w:bCs/>
                <w:color w:val="000000"/>
                <w:sz w:val="24"/>
                <w:szCs w:val="24"/>
              </w:rPr>
              <w:t>；</w:t>
            </w:r>
          </w:p>
          <w:p>
            <w:pPr>
              <w:spacing w:line="520" w:lineRule="exact"/>
              <w:ind w:firstLine="480" w:firstLineChars="200"/>
              <w:rPr>
                <w:rFonts w:ascii="Times New Roman" w:hAnsi="Times New Roman"/>
                <w:sz w:val="24"/>
                <w:lang w:val="zh-CN"/>
              </w:rPr>
            </w:pPr>
            <w:r>
              <w:rPr>
                <w:rFonts w:hint="eastAsia" w:ascii="Times New Roman" w:hAnsi="Times New Roman"/>
                <w:sz w:val="24"/>
              </w:rPr>
              <w:t>（4）项目建成后，应及时向环保部门申请验收，经验收合格后方可投入运营</w:t>
            </w:r>
            <w:r>
              <w:rPr>
                <w:rFonts w:hint="eastAsia" w:ascii="Times New Roman" w:hAnsi="Times New Roman"/>
                <w:sz w:val="24"/>
                <w:lang w:val="zh-CN"/>
              </w:rPr>
              <w:t>。</w:t>
            </w:r>
          </w:p>
          <w:p>
            <w:pPr>
              <w:adjustRightInd w:val="0"/>
              <w:snapToGrid w:val="0"/>
              <w:spacing w:line="520" w:lineRule="exact"/>
              <w:textAlignment w:val="baseline"/>
              <w:rPr>
                <w:rFonts w:hint="eastAsia" w:ascii="Times New Roman" w:hAnsi="Times New Roman" w:cs="Times New Roman"/>
                <w:b/>
                <w:sz w:val="24"/>
              </w:rPr>
            </w:pPr>
            <w:r>
              <w:rPr>
                <w:rFonts w:hint="eastAsia" w:ascii="Times New Roman" w:hAnsi="Times New Roman" w:cs="Times New Roman"/>
                <w:b/>
                <w:sz w:val="24"/>
                <w:lang w:val="en-US" w:eastAsia="zh-CN"/>
              </w:rPr>
              <w:t>7</w:t>
            </w:r>
            <w:r>
              <w:rPr>
                <w:rFonts w:hint="eastAsia" w:ascii="Times New Roman" w:hAnsi="Times New Roman" w:cs="Times New Roman"/>
                <w:b/>
                <w:sz w:val="24"/>
              </w:rPr>
              <w:t>、评价总结论</w:t>
            </w:r>
          </w:p>
          <w:p>
            <w:pPr>
              <w:spacing w:line="520" w:lineRule="exact"/>
              <w:ind w:firstLine="480" w:firstLineChars="200"/>
              <w:rPr>
                <w:sz w:val="18"/>
                <w:szCs w:val="18"/>
              </w:rPr>
            </w:pPr>
            <w:r>
              <w:rPr>
                <w:rFonts w:ascii="Times New Roman" w:hAnsi="Times New Roman" w:eastAsia="黑体" w:cs="Times New Roman"/>
                <w:bCs/>
                <w:iCs/>
                <w:sz w:val="24"/>
                <w:szCs w:val="22"/>
              </w:rPr>
              <w:t>综</w:t>
            </w:r>
            <w:r>
              <w:rPr>
                <w:rFonts w:hint="default" w:ascii="Times New Roman" w:hAnsi="Times New Roman" w:eastAsia="黑体" w:cs="Times New Roman"/>
                <w:bCs/>
                <w:iCs/>
                <w:sz w:val="24"/>
                <w:szCs w:val="22"/>
                <w:lang w:eastAsia="zh-CN"/>
              </w:rPr>
              <w:t>上所述，</w:t>
            </w:r>
            <w:r>
              <w:rPr>
                <w:rFonts w:hint="eastAsia" w:ascii="Times New Roman" w:hAnsi="Times New Roman" w:eastAsia="黑体" w:cs="Times New Roman"/>
                <w:bCs/>
                <w:iCs/>
                <w:sz w:val="24"/>
                <w:szCs w:val="22"/>
                <w:lang w:eastAsia="zh-CN"/>
              </w:rPr>
              <w:t>平顶山五环实业有限公司年产30000件钻探机具及配件项目</w:t>
            </w:r>
            <w:r>
              <w:rPr>
                <w:rFonts w:ascii="Times New Roman" w:hAnsi="Times New Roman" w:eastAsia="黑体" w:cs="Times New Roman"/>
                <w:bCs/>
                <w:iCs/>
                <w:sz w:val="24"/>
                <w:szCs w:val="22"/>
              </w:rPr>
              <w:t>符合国家产业政策，选址合理。经采取评价建议的治理措施后，所产生的废水、</w:t>
            </w:r>
            <w:r>
              <w:rPr>
                <w:rFonts w:hint="eastAsia" w:ascii="Times New Roman" w:hAnsi="Times New Roman" w:eastAsia="黑体" w:cs="Times New Roman"/>
                <w:bCs/>
                <w:iCs/>
                <w:sz w:val="24"/>
                <w:szCs w:val="22"/>
                <w:lang w:eastAsia="zh-CN"/>
              </w:rPr>
              <w:t>废气、</w:t>
            </w:r>
            <w:r>
              <w:rPr>
                <w:rFonts w:ascii="Times New Roman" w:hAnsi="Times New Roman" w:eastAsia="黑体" w:cs="Times New Roman"/>
                <w:bCs/>
                <w:iCs/>
                <w:sz w:val="24"/>
                <w:szCs w:val="22"/>
              </w:rPr>
              <w:t>噪声以及固废等污染物均能达标排放或妥善处置。因此，从环保角度分析，该项目建设可行。</w:t>
            </w:r>
          </w:p>
        </w:tc>
      </w:tr>
    </w:tbl>
    <w:p>
      <w:pPr>
        <w:pStyle w:val="11"/>
        <w:jc w:val="left"/>
        <w:rPr>
          <w:rFonts w:hint="default"/>
          <w:lang w:val="en-US" w:eastAsia="zh-CN"/>
        </w:rPr>
        <w:sectPr>
          <w:footerReference r:id="rId7" w:type="default"/>
          <w:footerReference r:id="rId8" w:type="even"/>
          <w:pgSz w:w="11906" w:h="16838"/>
          <w:pgMar w:top="1440" w:right="1418" w:bottom="1440" w:left="1418"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sectPr>
          <w:pgSz w:w="16838" w:h="11906" w:orient="landscape"/>
          <w:pgMar w:top="1800" w:right="1440" w:bottom="1800" w:left="1440" w:header="851" w:footer="992" w:gutter="0"/>
          <w:cols w:space="425" w:num="1"/>
          <w:docGrid w:type="lines" w:linePitch="312" w:charSpace="0"/>
        </w:sectPr>
      </w:pPr>
      <w:r>
        <w:rPr>
          <w:sz w:val="21"/>
        </w:rPr>
        <w:pict>
          <v:shape id="文本框 11" o:spid="_x0000_s2070" o:spt="202" type="#_x0000_t202" style="position:absolute;left:0pt;margin-left:158.65pt;margin-top:441.45pt;height:33.75pt;width:336.85pt;z-index:251659264;mso-width-relative:page;mso-height-relative:page;" fillcolor="#FFFFFF" filled="t" stroked="f" coordsize="21600,21600" o:gfxdata="UEsDBAoAAAAAAIdO4kAAAAAAAAAAAAAAAAAEAAAAZHJzL1BLAwQUAAAACACHTuJAPEPNZ9cAAAAL&#10;AQAADwAAAGRycy9kb3ducmV2LnhtbE2Py07DMBBF90j8gzVI7KjttkAS4nSBxBaJtnTtxiaOsMeR&#10;7T6/nmEFuxnN0Z1z29U5eHa0KY8RFciZAGaxj2bEQcF28/ZQActFo9E+olVwsRlW3e1NqxsTT/hh&#10;j+syMArB3GgFrpSp4Tz3zgadZ3GySLevmIIutKaBm6RPFB48nwvxxIMekT44PdlXZ/vv9SEo2A3h&#10;uvuUU3Im+CW+Xy+bbRyVur+T4gVYsefyB8OvPqlDR077eECTmVewkM8LQhVU1bwGRkRdS2q3p+FR&#10;LIF3Lf/fofsBUEsDBBQAAAAIAIdO4kD6Vg1EXQIAAJ0EAAAOAAAAZHJzL2Uyb0RvYy54bWytVMFu&#10;EzEQvSPxD5bvdJNl0zRRN1VoFYRU0UoFcXa83qwlr21sJ7vlA+APOHHhznf1O3j2Jm0pHHogkTZj&#10;z9uZeW9mcnrWt4rshPPS6JKOj0aUCM1NJfWmpB8/rF6dUOID0xVTRouS3gpPzxYvX5x2di5y0xhV&#10;CUcQRPt5Z0vahGDnWeZ5I1rmj4wVGs7auJYFHN0mqxzrEL1VWT4aHWedcZV1hgvvcXsxOOk+ontO&#10;QFPXkosLw7et0GGI6oRiAZR8I62ni1RtXQserurai0BUScE0pCeSwF7HZ7Y4ZfONY7aRfF8Ce04J&#10;Tzi1TGokvQ91wQIjWyf/CtVK7ow3dTjips0GIkkRsBiPnmhz0zArEhdI7e296P7/heXvd9eOyAqT&#10;MKZEsxYdv/v+7e7Hr7ufXwnuIFBn/Ry4Gwtk6N+YHuDDvcdl5N3Xro2/YETgz2f4TiaU3Jb0eFrM&#10;ivFkkFr0gXAAinw6nc0A4EAU+clxngDZQyTrfHgrTEuiUVKHViaF2e7SB1QF6AESE3ujZLWSSqWD&#10;26zPlSM7hrav0iemxyt/wJQmHep7PRmlyNrE9wec0oBH4gPBaIV+3e/VWJvqFmI4M8yTt3wlUeUl&#10;8+GaOQwQxgsrFq7wqJVBErO3KGmM+/Kv+4hHX+GlpMNAltR/3jInKFHvNDo+GxdFnOB0KCbTHAf3&#10;2LN+7NHb9tyAPJqK6pIZ8UEdzNqZ9hM2cRmzwsU0R+6ShoN5HoY1wSZzsVwmEGbWsnCpbyyPoaPU&#10;2iy3wdQytSTKNGizVw9Tm2Tfb1hci8fnhHr4V1n8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DxD&#10;zWfXAAAACwEAAA8AAAAAAAAAAQAgAAAAIgAAAGRycy9kb3ducmV2LnhtbFBLAQIUABQAAAAIAIdO&#10;4kD6Vg1EXQIAAJ0EAAAOAAAAAAAAAAEAIAAAACYBAABkcnMvZTJvRG9jLnhtbFBLBQYAAAAABgAG&#10;AFkBAAD1BQAAAAA=&#10;">
            <v:path/>
            <v:fill on="t" focussize="0,0"/>
            <v:stroke on="f" weight="0.5pt"/>
            <v:imagedata o:title=""/>
            <o:lock v:ext="edit" aspectratio="f"/>
            <v:textbox>
              <w:txbxContent>
                <w:p>
                  <w:pPr>
                    <w:tabs>
                      <w:tab w:val="left" w:pos="4875"/>
                    </w:tabs>
                    <w:jc w:val="center"/>
                    <w:rPr>
                      <w:rFonts w:hint="eastAsia" w:ascii="黑体" w:hAnsi="黑体" w:eastAsia="黑体"/>
                      <w:sz w:val="30"/>
                      <w:szCs w:val="30"/>
                    </w:rPr>
                  </w:pPr>
                  <w:r>
                    <w:rPr>
                      <w:rFonts w:hint="eastAsia"/>
                      <w:b/>
                      <w:bCs/>
                      <w:sz w:val="28"/>
                      <w:szCs w:val="28"/>
                    </w:rPr>
                    <w:t>附图一  项目地理位置示意图</w:t>
                  </w:r>
                </w:p>
                <w:p/>
              </w:txbxContent>
            </v:textbox>
          </v:shape>
        </w:pict>
      </w:r>
      <w:r>
        <w:drawing>
          <wp:anchor distT="0" distB="0" distL="114300" distR="114300" simplePos="0" relativeHeight="251658240" behindDoc="0" locked="0" layoutInCell="1" allowOverlap="1">
            <wp:simplePos x="0" y="0"/>
            <wp:positionH relativeFrom="column">
              <wp:posOffset>118745</wp:posOffset>
            </wp:positionH>
            <wp:positionV relativeFrom="paragraph">
              <wp:posOffset>-441960</wp:posOffset>
            </wp:positionV>
            <wp:extent cx="8654415" cy="6031230"/>
            <wp:effectExtent l="0" t="0" r="13335" b="7620"/>
            <wp:wrapNone/>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20"/>
                    <a:stretch>
                      <a:fillRect/>
                    </a:stretch>
                  </pic:blipFill>
                  <pic:spPr>
                    <a:xfrm>
                      <a:off x="0" y="0"/>
                      <a:ext cx="8654415" cy="6031230"/>
                    </a:xfrm>
                    <a:prstGeom prst="rect">
                      <a:avLst/>
                    </a:prstGeom>
                    <a:noFill/>
                    <a:ln>
                      <a:noFill/>
                    </a:ln>
                  </pic:spPr>
                </pic:pic>
              </a:graphicData>
            </a:graphic>
          </wp:anchor>
        </w:drawing>
      </w:r>
    </w:p>
    <w:p>
      <w:pPr>
        <w:jc w:val="center"/>
        <w:sectPr>
          <w:pgSz w:w="16838" w:h="11906" w:orient="landscape"/>
          <w:pgMar w:top="1800" w:right="1440" w:bottom="1800" w:left="1440" w:header="851" w:footer="992" w:gutter="0"/>
          <w:cols w:space="425" w:num="1"/>
          <w:docGrid w:type="lines" w:linePitch="312" w:charSpace="0"/>
        </w:sectPr>
      </w:pPr>
      <w:r>
        <w:rPr>
          <w:sz w:val="21"/>
        </w:rPr>
        <w:pict>
          <v:shape id="矩形标注 13" o:spid="_x0000_s2053" o:spt="61" type="#_x0000_t61" style="position:absolute;left:0pt;margin-left:475.8pt;margin-top:152.35pt;height:19.85pt;width:75.45pt;z-index:251681792;v-text-anchor:middle;mso-width-relative:page;mso-height-relative:page;" filled="f" stroked="t" coordsize="21600,21600" o:gfxdata="UEsDBAoAAAAAAIdO4kAAAAAAAAAAAAAAAAAEAAAAZHJzL1BLAwQUAAAACACHTuJAkzfCQdoAAAAM&#10;AQAADwAAAGRycy9kb3ducmV2LnhtbE2PTU/DMAyG70j8h8hI3FjSrRtbaTppSHCAC2xIcPQa01Yk&#10;Tmmyr3+/7ARH249eP2+5PDor9jSEzrOGbKRAENfedNxo+Ng83c1BhIhs0HomDScKsKyur0osjD/w&#10;O+3XsREphEOBGtoY+0LKULfkMIx8T5xu335wGNM4NNIMeEjhzsqxUjPpsOP0ocWeHluqf9Y7p2HV&#10;v/oFfb1Y+bsh+TZ//uxwNdH69iZTDyAiHeMfDBf9pA5Vctr6HZsgrIbFNJslVMNE5fcgLkSmxlMQ&#10;27TK8xxkVcr/JaozUEsDBBQAAAAIAIdO4kAEtDBoqgIAADEFAAAOAAAAZHJzL2Uyb0RvYy54bWyt&#10;VM1u1DAQviPxDpbvbX66/2q2Wu1qEVJFKwri7HXsJMh/2N7NlhfgMYo4wZkzj0N5DcZO2i6FQw/0&#10;kM5kvv1m5puZnJ7tpUA7Zl2jVYGz4xQjpqguG1UV+O2b9dEEI+eJKonQihX4mjl8Nn/+7LQ1M5br&#10;WouSWQQkys1aU+DaezNLEkdrJok71oYpCHJtJfHg2iopLWmBXYokT9NR0mpbGqspcw7errog7hnt&#10;Uwg15w1lK023kinfsVomiIeWXN0Yh+exWs4Z9RecO+aRKDB06uMTkoC9Cc9kfkpmlSWmbmhfAnlK&#10;CY96kqRRkPSeakU8QVvb/EUlG2q109wfUy2TrpGoCHSRpY+0uaqJYbEXkNqZe9Hd/6Olr3aXFjUl&#10;bMIJRopImPivm28/f3y5/fzp9vtXBK9Bo9a4GUCvzKXtPQdmaHjPrQz/oRW0L/BoMhxM8iFG1wU+&#10;yUaj8WDYacz2HlEATIeTPIM4BUA+zNNpjCcPRMY6/4JpiYJR4JaVFXsNc1wSIfTWR5XJ7tz5KHfZ&#10;10zK9xlGXAqY3o4IdDQaT6eTfrwHoPwQlE3Go3QaQJC/5wTrroKQQOl1I0TcEqFQG2oepLA8lMDq&#10;c1g5MKUB+ZyqMCKigpui3sYqnRZNGX4eiJytNkthERRX4PU6hb8+8R+wkHtFXN3hYqiHCQVlhjl0&#10;ygfL7zf7fhwbXV7DIK3uNtwZum6A6pw4f0ksiAI1w9H7C3hwoaER3VsY1dp+/Nf7gIdNgyhGLZwI&#10;NPlhSyzDSLxUsIPTbDAINxWdwXCcg2MPI5vDiNrKpYbeYUxQXTQD3os7k1st38G3YRGyQogoCrk7&#10;OXtn6bvTha8LZYtFhMEdGeLP1ZWhgbwb2mLrNW98mGwQqlOnd+CS4sD7qw+neuhH1MOXbv4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kzfCQdoAAAAMAQAADwAAAAAAAAABACAAAAAiAAAAZHJzL2Rv&#10;d25yZXYueG1sUEsBAhQAFAAAAAgAh07iQAS0MGiqAgAAMQUAAA4AAAAAAAAAAQAgAAAAKQEAAGRy&#10;cy9lMm9Eb2MueG1sUEsFBgAAAAAGAAYAWQEAAEUGAAAAAA==&#10;" adj="-3888,51324">
            <v:path/>
            <v:fill on="f" focussize="0,0"/>
            <v:stroke weight="2pt" color="#FF0000" joinstyle="round"/>
            <v:imagedata o:title=""/>
            <o:lock v:ext="edit" aspectratio="f"/>
            <v:textbox>
              <w:txbxContent>
                <w:p>
                  <w:pPr>
                    <w:jc w:val="center"/>
                    <w:rPr>
                      <w:rFonts w:hint="eastAsia" w:eastAsia="宋体"/>
                      <w:b/>
                      <w:bCs/>
                      <w:color w:val="000000" w:themeColor="text1"/>
                      <w:lang w:eastAsia="zh-CN"/>
                    </w:rPr>
                  </w:pPr>
                  <w:r>
                    <w:rPr>
                      <w:rFonts w:hint="eastAsia"/>
                      <w:b/>
                      <w:bCs/>
                      <w:color w:val="000000" w:themeColor="text1"/>
                      <w:lang w:eastAsia="zh-CN"/>
                    </w:rPr>
                    <w:t>项目所在地</w:t>
                  </w:r>
                </w:p>
              </w:txbxContent>
            </v:textbox>
          </v:shape>
        </w:pict>
      </w:r>
      <w:r>
        <w:rPr>
          <w:sz w:val="21"/>
        </w:rPr>
        <w:drawing>
          <wp:inline distT="0" distB="0" distL="114300" distR="114300">
            <wp:extent cx="8578215" cy="5264150"/>
            <wp:effectExtent l="0" t="0" r="13335" b="12700"/>
            <wp:docPr id="14" name="图片 14" descr="C:/Users/ADMINI~1/AppData/Local/Temp/picturecompress_20201105153826/output_1.pn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ADMINI~1/AppData/Local/Temp/picturecompress_20201105153826/output_1.pngoutput_1"/>
                    <pic:cNvPicPr>
                      <a:picLocks noChangeAspect="1"/>
                    </pic:cNvPicPr>
                  </pic:nvPicPr>
                  <pic:blipFill>
                    <a:blip r:embed="rId21"/>
                    <a:stretch>
                      <a:fillRect/>
                    </a:stretch>
                  </pic:blipFill>
                  <pic:spPr>
                    <a:xfrm>
                      <a:off x="0" y="0"/>
                      <a:ext cx="8578215" cy="5264150"/>
                    </a:xfrm>
                    <a:prstGeom prst="rect">
                      <a:avLst/>
                    </a:prstGeom>
                  </pic:spPr>
                </pic:pic>
              </a:graphicData>
            </a:graphic>
          </wp:inline>
        </w:drawing>
      </w:r>
      <w:r>
        <w:rPr>
          <w:sz w:val="21"/>
        </w:rPr>
        <w:pict>
          <v:shape id="文本框 15" o:spid="_x0000_s2064" o:spt="202" type="#_x0000_t202" style="position:absolute;left:0pt;margin-left:157.4pt;margin-top:425.2pt;height:33.75pt;width:336.85pt;z-index:251662336;mso-width-relative:page;mso-height-relative:page;" fillcolor="#FFFFFF" filled="t" stroked="f" coordsize="21600,21600" o:gfxdata="UEsDBAoAAAAAAIdO4kAAAAAAAAAAAAAAAAAEAAAAZHJzL1BLAwQUAAAACACHTuJAUIOfYtYAAAAL&#10;AQAADwAAAGRycy9kb3ducmV2LnhtbE2PO0/EMBCEeyT+g7VIdJxtyEEuxLkCiRaJe9W+eIkj7HVk&#10;+56/HlNBt6MdzXzTLs/esSPGNAZSIGcCGFIfzEiDgs36/aEGlrImo10gVHDBBMvu9qbVjQkn+sTj&#10;Kg+shFBqtAKb89RwnnqLXqdZmJDK7ytEr3ORceAm6lMJ944/CvHMvR6pNFg94ZvF/nt18Ap2g7/u&#10;tnKK1nhX0cf1st6EUan7OylegWU85z8z/OIXdOgK0z4cyCTmFDzJqqBnBfVcVMCKY1HXc2D7csiX&#10;BfCu5f83dD9QSwMEFAAAAAgAh07iQKXSoYlSAgAAkQQAAA4AAABkcnMvZTJvRG9jLnhtbK1UzW4T&#10;MRC+I/EOlu90k5D+RdlUoVUQUkUrBcTZ8XqzK3k9xnayWx4A3oATF+48V5+Dz96kDYVDD+TgjGc+&#10;z883Mzu96BrNtsr5mkzOh0cDzpSRVNRmnfOPHxavzjjzQZhCaDIq53fK84vZyxfT1k7UiCrShXIM&#10;ToyftDbnVQh2kmVeVqoR/oisMjCW5BoRcHXrrHCihfdGZ6PB4CRryRXWkVTeQ3vVG/nOo3uOQyrL&#10;WqorkptGmdB7dUqLgJJ8VVvPZynbslQy3JSlV4HpnKPSkE4EgbyKZzabisnaCVvVcpeCeE4KT2pq&#10;RG0Q9MHVlQiCbVz9l6umlo48leFIUpP1hSRGUMVw8ISbZSWsSrWAam8fSPf/z618v711rC4wCcec&#10;GdGg4/ffv93/+HX/8yuDDgS11k+AW1ogQ/eGOoD3eg9lrLsrXRP/URGDHfTePdCrusAklOPR6en5&#10;OcJI2Majs5NRcp89vrbOh7eKGhaFnDu0L7Eqttc+IBNA95AYzJOui0Wtdbq49epSO7YVaPUi/WKS&#10;ePIHTBvW5vzk9fEgeTYU3/c4bQCPxfZFRSl0q27HwIqKOxDgqJ8hb+WiRpbXwodb4TA0qBlrFW5w&#10;lJoQhHYSZxW5L//SRzx6CStnLYYw5/7zRjjFmX5n0OXz4XgcpzZdxsenI1zcoWV1aDGb5pJQ/BAL&#10;bGUSIz7ovVg6aj5h++YxKkzCSMTOediLl6FfDWyvVPN5AmFOrQjXZmlldB2pNjTfBCrr1JJIU8/N&#10;jj1MaqJ9t1VxFQ7vCfX4JZn9B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FCDn2LWAAAACwEAAA8A&#10;AAAAAAAAAQAgAAAAIgAAAGRycy9kb3ducmV2LnhtbFBLAQIUABQAAAAIAIdO4kCl0qGJUgIAAJEE&#10;AAAOAAAAAAAAAAEAIAAAACUBAABkcnMvZTJvRG9jLnhtbFBLBQYAAAAABgAGAFkBAADpBQAAAAA=&#10;">
            <v:path/>
            <v:fill on="t" focussize="0,0"/>
            <v:stroke on="f" weight="0.5pt"/>
            <v:imagedata o:title=""/>
            <o:lock v:ext="edit" aspectratio="f"/>
            <v:textbox>
              <w:txbxContent>
                <w:p>
                  <w:pPr>
                    <w:tabs>
                      <w:tab w:val="left" w:pos="4875"/>
                    </w:tabs>
                    <w:jc w:val="center"/>
                    <w:rPr>
                      <w:rFonts w:hint="eastAsia" w:ascii="黑体" w:hAnsi="黑体" w:eastAsia="黑体"/>
                      <w:sz w:val="30"/>
                      <w:szCs w:val="30"/>
                    </w:rPr>
                  </w:pPr>
                  <w:r>
                    <w:rPr>
                      <w:rFonts w:hint="eastAsia"/>
                      <w:b/>
                      <w:bCs/>
                      <w:sz w:val="28"/>
                      <w:szCs w:val="28"/>
                    </w:rPr>
                    <w:t>附图</w:t>
                  </w:r>
                  <w:r>
                    <w:rPr>
                      <w:rFonts w:hint="eastAsia"/>
                      <w:b/>
                      <w:bCs/>
                      <w:sz w:val="28"/>
                      <w:szCs w:val="28"/>
                      <w:lang w:eastAsia="zh-CN"/>
                    </w:rPr>
                    <w:t>二</w:t>
                  </w:r>
                  <w:r>
                    <w:rPr>
                      <w:rFonts w:hint="eastAsia"/>
                      <w:b/>
                      <w:bCs/>
                      <w:sz w:val="28"/>
                      <w:szCs w:val="28"/>
                    </w:rPr>
                    <w:t xml:space="preserve">  项目</w:t>
                  </w:r>
                  <w:r>
                    <w:rPr>
                      <w:rFonts w:hint="eastAsia"/>
                      <w:b/>
                      <w:bCs/>
                      <w:sz w:val="28"/>
                      <w:szCs w:val="28"/>
                      <w:lang w:eastAsia="zh-CN"/>
                    </w:rPr>
                    <w:t>在城区用地规划图中的位置</w:t>
                  </w:r>
                  <w:r>
                    <w:rPr>
                      <w:rFonts w:hint="eastAsia"/>
                      <w:b/>
                      <w:bCs/>
                      <w:sz w:val="28"/>
                      <w:szCs w:val="28"/>
                    </w:rPr>
                    <w:t>图</w:t>
                  </w:r>
                </w:p>
                <w:p/>
              </w:txbxContent>
            </v:textbox>
          </v:shape>
        </w:pict>
      </w:r>
    </w:p>
    <w:p>
      <w:pPr>
        <w:rPr>
          <w:rFonts w:hint="eastAsia" w:eastAsia="宋体"/>
          <w:lang w:eastAsia="zh-CN"/>
        </w:rPr>
        <w:sectPr>
          <w:pgSz w:w="16838" w:h="11906" w:orient="landscape"/>
          <w:pgMar w:top="1800" w:right="1440" w:bottom="1800" w:left="1440" w:header="851" w:footer="992" w:gutter="0"/>
          <w:cols w:space="425" w:num="1"/>
          <w:docGrid w:type="lines" w:linePitch="312" w:charSpace="0"/>
        </w:sectPr>
      </w:pPr>
      <w:r>
        <w:rPr>
          <w:sz w:val="21"/>
        </w:rPr>
        <w:pict>
          <v:shape id="文本框 32" o:spid="_x0000_s2061" o:spt="202" type="#_x0000_t202" style="position:absolute;left:0pt;margin-left:243.5pt;margin-top:173.3pt;height:65.35pt;width:31.1pt;z-index:252056576;mso-width-relative:page;mso-height-relative:page;" filled="f" stroked="f" coordsize="21600,21600" o:gfxdata="UEsDBAoAAAAAAIdO4kAAAAAAAAAAAAAAAAAEAAAAZHJzL1BLAwQUAAAACACHTuJACrLiFdoAAAAL&#10;AQAADwAAAGRycy9kb3ducmV2LnhtbE2PT0+DQBTE7yZ+h80z8WaXUgoFWRqj6bWJ2MR4W9gnkO4f&#10;wi4t+ul9nvQ4mcnMb8r9YjS74OQHZwWsVxEwtK1Tg+0EnN4ODztgPkirpHYWBXyhh311e1PKQrmr&#10;fcVLHTpGJdYXUkAfwlhw7tsejfQrN6Il79NNRgaSU8fVJK9UbjSPoyjlRg6WFno54nOP7bmejYDl&#10;PT8emvz4pOePl20Sf59qN5+FuL9bR4/AAi7hLwy/+IQOFTE1brbKMy0g2WX0JQjYJGkKjBLbJI+B&#10;NWRl2QZ4VfL/H6ofUEsDBBQAAAAIAIdO4kCNHSf2QAIAAGkEAAAOAAAAZHJzL2Uyb0RvYy54bWyt&#10;VEtu2zAQ3RfoHQjuG9mO87EROXATpCgQNAHSz5qmqEgAyWFJOlJ6gOYGXXXTfc+Vc/SRcpwg7SKL&#10;bqjhzPDNvMehjo57o9mN8qElW/LxzogzZSVVrb0u+aePZ28OOQtR2Eposqrktyrw48XrV0edm6sJ&#10;NaQr5RlAbJh3ruRNjG5eFEE2yoiwQ05ZBGvyRkRs/XVRedEB3ehiMhrtFx35ynmSKgR4T4cg3yD6&#10;lwBSXbdSnZJcG2XjgOqVFhGUQtO6wBe527pWMl7UdVCR6ZKDacwrisBepbVYHIn5tReuaeWmBfGS&#10;Fp5xMqK1KLqFOhVRsLVv/4IyrfQUqI47kkwxEMmKgMV49Eybq0Y4lblA6uC2oof/Bys/3Fx61lYl&#10;351wZoXBjd//uLv/+fv+13cGHwTqXJgj78ohM/ZvqcfYPPgDnIl3X3uTvmDEEIe8t1t5VR+ZhHN3&#10;Np0dICIROpzMZtO9hFI8HnY+xHeKDEtGyT1uL4sqbs5DHFIfUlItS2et1vkGtWVdyfd390b5wDYC&#10;cG1RI1EYWk1W7Ff9hteKqlvQ8jRMRnDyrEXxcxHipfAYBfSLxxIvsNSaUIQ2FmcN+W//8qf8kivx&#10;GV/OOgxXycPXtfCKM/3e4vZm4+kUwDFvpnsHE2z808jqacSuzQlhfsd4mE5mM+VH/WDWnswXvKpl&#10;qouQsBK9lRzVB/MkDiOPVynVcpmTMH9OxHN75WSCHgRdriPVbdY6CTWos9EPE5hva/Na0og/3ees&#10;xz/E4g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KsuIV2gAAAAsBAAAPAAAAAAAAAAEAIAAAACIA&#10;AABkcnMvZG93bnJldi54bWxQSwECFAAUAAAACACHTuJAjR0n9kACAABpBAAADgAAAAAAAAABACAA&#10;AAApAQAAZHJzL2Uyb0RvYy54bWxQSwUGAAAAAAYABgBZAQAA2wUAAAAA&#10;">
            <v:path/>
            <v:fill on="f" focussize="0,0"/>
            <v:stroke on="f" weight="0.5pt"/>
            <v:imagedata o:title=""/>
            <o:lock v:ext="edit" aspectratio="f"/>
            <v:textbox style="layout-flow:vertical-ideographic;">
              <w:txbxContent>
                <w:p>
                  <w:pPr>
                    <w:rPr>
                      <w:rFonts w:hint="eastAsia" w:eastAsia="宋体"/>
                      <w:b/>
                      <w:bCs/>
                      <w:color w:val="auto"/>
                      <w:lang w:eastAsia="zh-CN"/>
                    </w:rPr>
                  </w:pPr>
                  <w:r>
                    <w:rPr>
                      <w:rFonts w:hint="eastAsia"/>
                      <w:b/>
                      <w:bCs/>
                      <w:color w:val="auto"/>
                      <w:lang w:eastAsia="zh-CN"/>
                    </w:rPr>
                    <w:t>月台河</w:t>
                  </w:r>
                </w:p>
              </w:txbxContent>
            </v:textbox>
          </v:shape>
        </w:pict>
      </w:r>
      <w:r>
        <w:rPr>
          <w:sz w:val="21"/>
        </w:rPr>
        <w:pict>
          <v:shape id="文本框 31" o:spid="_x0000_s2056" o:spt="202" type="#_x0000_t202" style="position:absolute;left:0pt;margin-left:427pt;margin-top:194pt;height:65.35pt;width:31.1pt;z-index:251856896;mso-width-relative:page;mso-height-relative:page;" filled="f" stroked="f" coordsize="21600,21600" o:gfxdata="UEsDBAoAAAAAAIdO4kAAAAAAAAAAAAAAAAAEAAAAZHJzL1BLAwQUAAAACACHTuJA8eoTa9sAAAAL&#10;AQAADwAAAGRycy9kb3ducmV2LnhtbE2PwU7DMBBE70j8g7VI3KiT0BQnxKkQqNdKhEqoNyfeJlFj&#10;O4qdNvD1LCe4zWpGs2+K7WIGdsHJ985KiFcRMLSN071tJRw+dg8CmA/KajU4ixK+0MO2vL0pVK7d&#10;1b7jpQotoxLrcyWhC2HMOfdNh0b5lRvRkndyk1GBzqnlelJXKjcDT6Jow43qLX3o1IivHTbnajYS&#10;ls9sv6uz/cswH9/SdfJ9qNx8lvL+Lo6egQVcwl8YfvEJHUpiqt1stWeDBJGuaUuQ8CgECUpk8SYB&#10;VktIY/EEvCz4/w3lD1BLAwQUAAAACACHTuJASCTChkkCAAB1BAAADgAAAGRycy9lMm9Eb2MueG1s&#10;rVRLbtswEN0X6B0I7hvJnzixETlwE6QoEDQB0s+apihLAH8l6UjpAZobdNVN9z1XztFHSk6MtIss&#10;uqGGM+M3894MfXLaKUluhfON0QUdHeSUCM1N2ehNQT99vHhzTIkPTJdMGi0Keic8PV2+fnXS2oUY&#10;m9rIUjgCEO0XrS1oHYJdZJnntVDMHxgrNIKVcYoFXN0mKx1rga5kNs7zWdYaV1pnuPAe3vM+SAdE&#10;9xJAU1UNF+eGb5XQoUd1QrIASr5urKfL1G1VCR6uqsqLQGRBwTSkE0Vgr+OZLU/YYuOYrRs+tMBe&#10;0sIzToo1GkUfoc5ZYGTrmr+gVMOd8aYKB9yorCeSFAGLUf5Mm5uaWZG4QGpvH0X3/w+Wf7i9dqQp&#10;CzoZUaKZwsQfftw//Pz98Os7gQ8CtdYvkHdjkRm6t6bD2uz8Hs7Iu6ucil8wIojPxvN8MoLIdwCe&#10;5bPjfJBadIFwJEzm0/kR4hwJx+P5fHoYEbMnIOt8eCeMItEoqMMkk8Ds9tKHPnWXEutqc9FImaYp&#10;NWnRweQwTz94jABcatSIdPq2oxW6dTdwXJvyDhSd6bfEW37RoPgl8+GaOawF+sXDCVc4KmlQxAwW&#10;JbVx3/7lj/kFFewzvpS0WLSC+q9b5gQl8r3GJOej6RTAIV2mh0djXNx+ZL0f0Vt1ZrDLGBb6S2bM&#10;D3JnVs6oL3hhq1gXIaY5eisoqvfmWejXHy+Ui9UqJWEXLQuX+sbyCN0LutoGUzVJ6yhUr86gH7Yx&#10;TWt4OXHd9+8p6+nfYvk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8eoTa9sAAAALAQAADwAAAAAA&#10;AAABACAAAAAiAAAAZHJzL2Rvd25yZXYueG1sUEsBAhQAFAAAAAgAh07iQEgkwoZJAgAAdQQAAA4A&#10;AAAAAAAAAQAgAAAAKgEAAGRycy9lMm9Eb2MueG1sUEsFBgAAAAAGAAYAWQEAAOUFAAAAAA==&#10;">
            <v:path/>
            <v:fill on="f" focussize="0,0"/>
            <v:stroke on="f" weight="0.5pt"/>
            <v:imagedata o:title=""/>
            <o:lock v:ext="edit" aspectratio="f"/>
            <v:textbox style="layout-flow:vertical-ideographic;">
              <w:txbxContent>
                <w:p>
                  <w:pPr>
                    <w:rPr>
                      <w:rFonts w:hint="eastAsia" w:eastAsia="宋体"/>
                      <w:b/>
                      <w:bCs/>
                      <w:color w:val="auto"/>
                      <w:lang w:eastAsia="zh-CN"/>
                    </w:rPr>
                  </w:pPr>
                  <w:r>
                    <w:rPr>
                      <w:rFonts w:hint="eastAsia"/>
                      <w:b/>
                      <w:bCs/>
                      <w:color w:val="auto"/>
                      <w:lang w:eastAsia="zh-CN"/>
                    </w:rPr>
                    <w:t>大营村贾庄</w:t>
                  </w:r>
                </w:p>
              </w:txbxContent>
            </v:textbox>
          </v:shape>
        </w:pict>
      </w:r>
      <w:r>
        <w:drawing>
          <wp:anchor distT="0" distB="0" distL="114300" distR="114300" simplePos="0" relativeHeight="251855872" behindDoc="0" locked="0" layoutInCell="1" allowOverlap="1">
            <wp:simplePos x="0" y="0"/>
            <wp:positionH relativeFrom="column">
              <wp:posOffset>13970</wp:posOffset>
            </wp:positionH>
            <wp:positionV relativeFrom="paragraph">
              <wp:posOffset>4902200</wp:posOffset>
            </wp:positionV>
            <wp:extent cx="284480" cy="188595"/>
            <wp:effectExtent l="0" t="0" r="1270" b="1905"/>
            <wp:wrapNone/>
            <wp:docPr id="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
                    <pic:cNvPicPr>
                      <a:picLocks noChangeAspect="1"/>
                    </pic:cNvPicPr>
                  </pic:nvPicPr>
                  <pic:blipFill>
                    <a:blip r:embed="rId22"/>
                    <a:stretch>
                      <a:fillRect/>
                    </a:stretch>
                  </pic:blipFill>
                  <pic:spPr>
                    <a:xfrm>
                      <a:off x="0" y="0"/>
                      <a:ext cx="284480" cy="188595"/>
                    </a:xfrm>
                    <a:prstGeom prst="rect">
                      <a:avLst/>
                    </a:prstGeom>
                    <a:noFill/>
                    <a:ln>
                      <a:noFill/>
                    </a:ln>
                  </pic:spPr>
                </pic:pic>
              </a:graphicData>
            </a:graphic>
          </wp:anchor>
        </w:drawing>
      </w:r>
      <w:r>
        <w:drawing>
          <wp:anchor distT="0" distB="0" distL="114300" distR="114300" simplePos="0" relativeHeight="251854848" behindDoc="0" locked="0" layoutInCell="1" allowOverlap="1">
            <wp:simplePos x="0" y="0"/>
            <wp:positionH relativeFrom="column">
              <wp:posOffset>8041640</wp:posOffset>
            </wp:positionH>
            <wp:positionV relativeFrom="paragraph">
              <wp:posOffset>20320</wp:posOffset>
            </wp:positionV>
            <wp:extent cx="800100" cy="714375"/>
            <wp:effectExtent l="0" t="0" r="0" b="9525"/>
            <wp:wrapNone/>
            <wp:docPr id="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
                    <pic:cNvPicPr>
                      <a:picLocks noChangeAspect="1"/>
                    </pic:cNvPicPr>
                  </pic:nvPicPr>
                  <pic:blipFill>
                    <a:blip r:embed="rId23"/>
                    <a:stretch>
                      <a:fillRect/>
                    </a:stretch>
                  </pic:blipFill>
                  <pic:spPr>
                    <a:xfrm>
                      <a:off x="0" y="0"/>
                      <a:ext cx="800100" cy="714375"/>
                    </a:xfrm>
                    <a:prstGeom prst="rect">
                      <a:avLst/>
                    </a:prstGeom>
                    <a:noFill/>
                    <a:ln>
                      <a:noFill/>
                    </a:ln>
                  </pic:spPr>
                </pic:pic>
              </a:graphicData>
            </a:graphic>
          </wp:anchor>
        </w:drawing>
      </w:r>
      <w:r>
        <w:rPr>
          <w:sz w:val="21"/>
        </w:rPr>
        <w:pict>
          <v:shape id="文本框 28" o:spid="_x0000_s2063" o:spt="202" type="#_x0000_t202" style="position:absolute;left:0pt;margin-left:323.45pt;margin-top:239.05pt;height:20.25pt;width:39.6pt;z-index:251853824;mso-width-relative:page;mso-height-relative:page;" filled="f" stroked="f" coordsize="21600,21600" o:gfxdata="UEsDBAoAAAAAAIdO4kAAAAAAAAAAAAAAAAAEAAAAZHJzL1BLAwQUAAAACACHTuJAjh2bkNwAAAAL&#10;AQAADwAAAGRycy9kb3ducmV2LnhtbE2Py07DMBBF90j8gzVI7KiTqHXTNJMKRaqQECxaumHnxNMk&#10;wo8Quw/4eswKdjOaozvnlpur0exMkx+cRUhnCTCyrVOD7RAOb9uHHJgP0iqpnSWEL/KwqW5vSlko&#10;d7E7Ou9Dx2KI9YVE6EMYC85925ORfuZGsvF2dJORIa5Tx9UkLzHcaJ4lieBGDjZ+6OVIdU/tx/5k&#10;EJ7r7avcNZnJv3X99HJ8HD8P7wvE+7s0WQMLdA1/MPzqR3WoolPjTlZ5phHEXKwiijBf5imwSCwz&#10;EYcGYZHmAnhV8v8dqh9QSwMEFAAAAAgAh07iQNxJs6o7AgAAZwQAAA4AAABkcnMvZTJvRG9jLnht&#10;bK1UwW4TMRC9I/EPlu90k5C0NOqmCq2KkCpaqSDOjtebXcn2GNvpbvkA+ANOXLjzXf0Onr1JWhUO&#10;PXBxxjOzb/zezOTktDea3SofWrIlHx+MOFNWUtXadck/fbx49YazEIWthCarSn6nAj9dvHxx0rm5&#10;mlBDulKeAcSGeedK3sTo5kURZKOMCAfklEWwJm9ExNWvi8qLDuhGF5PR6LDoyFfOk1QhwHs+BPkW&#10;0T8HkOq6leqc5MYoGwdUr7SIoBSa1gW+yK+tayXjVV0HFZkuOZjGfKII7FU6i8WJmK+9cE0rt08Q&#10;z3nCE05GtBZF91DnIgq28e1fUKaVngLV8UCSKQYiWRGwGI+eaHPTCKcyF0gd3F708P9g5Yfba8/a&#10;quQT9N0Kg47f//h+//P3/a9vDD4I1LkwR96NQ2bs31KPsdn5A5yJd197k37BiCEOee/28qo+Mgnn&#10;bDQ5niAiEZrMjsZHs4RSPHzsfIjvFBmWjJJ7dC+LKm4vQxxSdymplqWLVuvcQW1ZV/LD17NR/mAf&#10;Abi2qJEoDE9NVuxX/ZbXiqo70PI0TEZw8qJF8UsR4rXwGAW8F8sSr3DUmlCEthZnDfmv//KnfHQI&#10;Uc46jFbJw5eN8Ioz/d6id8fj6RSwMV+ms6OkiX8cWT2O2I05I0zvGGvpZDZTftQ7s/ZkPmOnlqkq&#10;QsJK1C553JlncRh47KRUy2VOwvQ5ES/tjZMJepBzuYlUt1npJNOgzVY9zF/u1XZX0oA/vuesh/+H&#10;x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OHZuQ3AAAAAsBAAAPAAAAAAAAAAEAIAAAACIAAABk&#10;cnMvZG93bnJldi54bWxQSwECFAAUAAAACACHTuJA3EmzqjsCAABnBAAADgAAAAAAAAABACAAAAAr&#10;AQAAZHJzL2Uyb0RvYy54bWxQSwUGAAAAAAYABgBZAQAA2AUAAAAA&#10;">
            <v:path/>
            <v:fill on="f" focussize="0,0"/>
            <v:stroke on="f" weight="0.5pt"/>
            <v:imagedata o:title=""/>
            <o:lock v:ext="edit" aspectratio="f"/>
            <v:textbox>
              <w:txbxContent>
                <w:p>
                  <w:pPr>
                    <w:rPr>
                      <w:rFonts w:hint="default" w:eastAsia="宋体"/>
                      <w:b/>
                      <w:bCs/>
                      <w:color w:val="FF0000"/>
                      <w:sz w:val="18"/>
                      <w:szCs w:val="21"/>
                      <w:lang w:val="en-US" w:eastAsia="zh-CN"/>
                    </w:rPr>
                  </w:pPr>
                  <w:r>
                    <w:rPr>
                      <w:rFonts w:hint="eastAsia"/>
                      <w:b/>
                      <w:bCs/>
                      <w:color w:val="FF0000"/>
                      <w:sz w:val="18"/>
                      <w:szCs w:val="21"/>
                      <w:lang w:val="en-US" w:eastAsia="zh-CN"/>
                    </w:rPr>
                    <w:t>120m</w:t>
                  </w:r>
                </w:p>
              </w:txbxContent>
            </v:textbox>
          </v:shape>
        </w:pict>
      </w:r>
      <w:r>
        <w:rPr>
          <w:sz w:val="21"/>
        </w:rPr>
        <w:pict>
          <v:shape id="文本框 27" o:spid="_x0000_s2068" o:spt="202" type="#_x0000_t202" style="position:absolute;left:0pt;margin-left:280.65pt;margin-top:169.75pt;height:20.25pt;width:35.35pt;z-index:251755520;mso-width-relative:page;mso-height-relative:page;" filled="f" stroked="f" coordsize="21600,21600" o:gfxdata="UEsDBAoAAAAAAIdO4kAAAAAAAAAAAAAAAAAEAAAAZHJzL1BLAwQUAAAACACHTuJAN4tzh9sAAAAL&#10;AQAADwAAAGRycy9kb3ducmV2LnhtbE2PTUvEMBCG74L/IYzgzU3a0lJr00UKiyB62HUv3tJmti3m&#10;ozbZD/31jic9zszDO89bry/WsBMuYfJOQrISwND1Xk9ukLB/29yVwEJUTivjHUr4wgDr5vqqVpX2&#10;Z7fF0y4OjEJcqJSEMca54jz0I1oVVn5GR7eDX6yKNC4D14s6U7g1PBWi4FZNjj6MasZ2xP5jd7QS&#10;ntvNq9p2qS2/Tfv0cnicP/fvuZS3N4l4ABbxEv9g+NUndWjIqfNHpwMzEvIiyQiVkGX3OTAiiiyl&#10;dh1tSiGANzX/36H5AVBLAwQUAAAACACHTuJA4KddxD0CAABnBAAADgAAAGRycy9lMm9Eb2MueG1s&#10;rVTBjtowEL1X6j9YvpcADcsuIqzoIqpKqLsSrXo2jkMi2R7XNiT0A9o/2FMvvfe7+I6OncCibQ97&#10;6MWMZyZv/N7MML1tlCR7YV0FOqODXp8SoTnkld5m9POn5ZtrSpxnOmcStMjoQTh6O3v9alqbiRhC&#10;CTIXliCIdpPaZLT03kySxPFSKOZ6YITGYAFWMY9Xu01yy2pEVzIZ9vtXSQ02Nxa4cA69izZIO0T7&#10;EkAoioqLBfCdEtq3qFZI5pGSKyvj6Cy+tigE9/dF4YQnMqPI1McTi6C9CWcym7LJ1jJTVrx7AnvJ&#10;E55xUqzSWPQMtWCekZ2t/oJSFbfgoPA9DippiURFkMWg/0ybdcmMiFxQamfOorv/B8s/7h8sqfKM&#10;DseUaKaw48fHH8efv4+/vhP0oUC1cRPMWxvM9M07aHBsTn6HzsC7KawKv8iIYBzlPZzlFY0nHJ1p&#10;en2TjijhGBqOxoPxKKAkTx8b6/x7AYoEI6MWuxdFZfuV823qKSXU0rCspIwdlJrUGb16O+rHD84R&#10;BJcaawQK7VOD5ZtN0/HaQH5AWhbayXCGLyssvmLOPzCLo4BMcFn8PR6FBCwCnUVJCfbbv/whHzuE&#10;UUpqHK2Muq87ZgUl8oPG3t0M0jTMYryko/EQL/YysrmM6J26A5zeAa6l4dEM+V6ezMKC+oI7NQ9V&#10;McQ0x9oZ9SfzzrcDjzvJxXwek3D6DPMrvTY8QLdyznceiioqHWRqtenUw/mLvep2JQz45T1mPf0/&#10;zP4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N4tzh9sAAAALAQAADwAAAAAAAAABACAAAAAiAAAA&#10;ZHJzL2Rvd25yZXYueG1sUEsBAhQAFAAAAAgAh07iQOCnXcQ9AgAAZwQAAA4AAAAAAAAAAQAgAAAA&#10;KgEAAGRycy9lMm9Eb2MueG1sUEsFBgAAAAAGAAYAWQEAANkFAAAAAA==&#10;">
            <v:path/>
            <v:fill on="f" focussize="0,0"/>
            <v:stroke on="f" weight="0.5pt"/>
            <v:imagedata o:title=""/>
            <o:lock v:ext="edit" aspectratio="f"/>
            <v:textbox>
              <w:txbxContent>
                <w:p>
                  <w:pPr>
                    <w:rPr>
                      <w:rFonts w:hint="default" w:eastAsia="宋体"/>
                      <w:b/>
                      <w:bCs/>
                      <w:color w:val="FF0000"/>
                      <w:sz w:val="18"/>
                      <w:szCs w:val="21"/>
                      <w:lang w:val="en-US" w:eastAsia="zh-CN"/>
                    </w:rPr>
                  </w:pPr>
                  <w:r>
                    <w:rPr>
                      <w:rFonts w:hint="eastAsia"/>
                      <w:b/>
                      <w:bCs/>
                      <w:color w:val="FF0000"/>
                      <w:sz w:val="18"/>
                      <w:szCs w:val="21"/>
                      <w:lang w:val="en-US" w:eastAsia="zh-CN"/>
                    </w:rPr>
                    <w:t>45m</w:t>
                  </w:r>
                </w:p>
              </w:txbxContent>
            </v:textbox>
          </v:shape>
        </w:pict>
      </w:r>
      <w:r>
        <w:rPr>
          <w:sz w:val="21"/>
        </w:rPr>
        <w:pict>
          <v:shape id="文本框 26" o:spid="_x0000_s2057" o:spt="202" type="#_x0000_t202" style="position:absolute;left:0pt;margin-left:323pt;margin-top:146.4pt;height:20.25pt;width:35.35pt;z-index:251722752;mso-width-relative:page;mso-height-relative:page;" filled="f" stroked="f" coordsize="21600,21600" o:gfxdata="UEsDBAoAAAAAAIdO4kAAAAAAAAAAAAAAAAAEAAAAZHJzL1BLAwQUAAAACACHTuJAMISeZ9sAAAAL&#10;AQAADwAAAGRycy9kb3ducmV2LnhtbE2Py07DQAxF90j8w8hI7OgkAdISMqlQpAoJ0UVLN+ycjJtE&#10;zCNkpg/4eswKvLN8dX1OuTxbI440hcE7BeksAUGu9XpwnYLd2+pmASJEdBqNd6TgiwIsq8uLEgvt&#10;T25Dx23sBJe4UKCCPsaxkDK0PVkMMz+S49veTxYjr1Mn9YQnLrdGZkmSS4uD4w89jlT31H5sD1bB&#10;S71a46bJ7OLb1M+v+6fxc/d+r9T1VZo8goh0jn9h+MVndKiYqfEHp4MwCvK7nF2iguwhYwdOzNN8&#10;DqJRcMsDsirlf4fqB1BLAwQUAAAACACHTuJAutieLD0CAABnBAAADgAAAGRycy9lMm9Eb2MueG1s&#10;rVTBjtowEL1X6j9YvpcADewuIqzoIqpKqLsSrXo2jkMi2R7XNiT0A9o/2FMvvfe7+I6OncCibQ97&#10;6MWMZyZv/N7MML1tlCR7YV0FOqODXp8SoTnkld5m9POn5ZtrSpxnOmcStMjoQTh6O3v9alqbiRhC&#10;CTIXliCIdpPaZLT03kySxPFSKOZ6YITGYAFWMY9Xu01yy2pEVzIZ9vvjpAabGwtcOIfeRRukHaJ9&#10;CSAURcXFAvhOCe1bVCsk80jJlZVxdBZfWxSC+/uicMITmVFk6uOJRdDehDOZTdlka5kpK949gb3k&#10;Cc84KVZpLHqGWjDPyM5Wf0GpiltwUPgeB5W0RKIiyGLQf6bNumRGRC4otTNn0d3/g+Uf9w+WVHlG&#10;h2NKNFPY8ePjj+PP38df3wn6UKDauAnmrQ1m+uYdNDg2J79DZ+DdFFaFX2REMI7yHs7yisYTjs40&#10;vb5JR5RwDA1HV4OrUUBJnj421vn3AhQJRkYtdi+KyvYr59vUU0qopWFZSRk7KDWpMzp+O+rHD84R&#10;BJcaawQK7VOD5ZtN0/HaQH5AWhbayXCGLyssvmLOPzCLo4BMcFn8PR6FBCwCnUVJCfbbv/whHzuE&#10;UUpqHK2Muq87ZgUl8oPG3t0M0jTMYryko6shXuxlZHMZ0Tt1Bzi9A1xLw6MZ8r08mYUF9QV3ah6q&#10;YohpjrUz6k/mnW8HHneSi/k8JuH0GeZXem14gG7lnO88FFVUOsjUatOph/MXe9XtShjwy3vMevp/&#10;mP0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MISeZ9sAAAALAQAADwAAAAAAAAABACAAAAAiAAAA&#10;ZHJzL2Rvd25yZXYueG1sUEsBAhQAFAAAAAgAh07iQLrYniw9AgAAZwQAAA4AAAAAAAAAAQAgAAAA&#10;KgEAAGRycy9lMm9Eb2MueG1sUEsFBgAAAAAGAAYAWQEAANkFAAAAAA==&#10;">
            <v:path/>
            <v:fill on="f" focussize="0,0"/>
            <v:stroke on="f" weight="0.5pt"/>
            <v:imagedata o:title=""/>
            <o:lock v:ext="edit" aspectratio="f"/>
            <v:textbox>
              <w:txbxContent>
                <w:p>
                  <w:pPr>
                    <w:rPr>
                      <w:rFonts w:hint="default" w:eastAsia="宋体"/>
                      <w:b/>
                      <w:bCs/>
                      <w:color w:val="FF0000"/>
                      <w:sz w:val="18"/>
                      <w:szCs w:val="21"/>
                      <w:lang w:val="en-US" w:eastAsia="zh-CN"/>
                    </w:rPr>
                  </w:pPr>
                  <w:r>
                    <w:rPr>
                      <w:rFonts w:hint="eastAsia"/>
                      <w:b/>
                      <w:bCs/>
                      <w:color w:val="FF0000"/>
                      <w:sz w:val="18"/>
                      <w:szCs w:val="21"/>
                      <w:lang w:val="en-US" w:eastAsia="zh-CN"/>
                    </w:rPr>
                    <w:t>35m</w:t>
                  </w:r>
                </w:p>
              </w:txbxContent>
            </v:textbox>
          </v:shape>
        </w:pict>
      </w:r>
      <w:r>
        <w:rPr>
          <w:sz w:val="21"/>
        </w:rPr>
        <w:pict>
          <v:shape id="文本框 19" o:spid="_x0000_s2060" o:spt="202" type="#_x0000_t202" style="position:absolute;left:0pt;margin-left:338.3pt;margin-top:170.3pt;height:20.25pt;width:35.35pt;z-index:251689984;mso-width-relative:page;mso-height-relative:page;" filled="f" stroked="f" coordsize="21600,21600" o:gfxdata="UEsDBAoAAAAAAIdO4kAAAAAAAAAAAAAAAAAEAAAAZHJzL1BLAwQUAAAACACHTuJAVJ9qA9sAAAAL&#10;AQAADwAAAGRycy9kb3ducmV2LnhtbE2PyU7DMBCG70i8gzVI3KidLkkU4lQoUoWE6KGlF25OPE0i&#10;vITYXeDpGU5wm+XTP9+U66s17IxTGLyTkMwEMHSt14PrJBzeNg85sBCV08p4hxK+MMC6ur0pVaH9&#10;xe3wvI8doxAXCiWhj3EsOA9tj1aFmR/R0e7oJ6sitVPH9aQuFG4NnwuRcqsGRxd6NWLdY/uxP1kJ&#10;L/Vmq3bN3Obfpn5+PT6Nn4f3lZT3d4l4BBbxGv9g+NUndajIqfEnpwMzEtIsTQmVsFgKKojIltkC&#10;WEOTPEmAVyX//0P1A1BLAwQUAAAACACHTuJALaUgvkcCAABzBAAADgAAAGRycy9lMm9Eb2MueG1s&#10;rVTBbhMxEL0j8Q+W73STdDdJo26q0KoIKaKVCuLseO3sSrbH2E53wwfAH3Diwp3v6ncw9m7aqHDo&#10;gYsz9ry88Xsz3vOLTityL5xvwJR0fDKiRBgOVWO2Jf308frNnBIfmKmYAiNKuheeXixfvzpv7UJM&#10;oAZVCUeQxPhFa0tah2AXWeZ5LTTzJ2CFwaQEp1nArdtmlWMtsmuVTUajadaCq6wDLrzH06s+SQdG&#10;9xJCkLLh4gr4TgsTelYnFAsoydeN9XSZbiul4OFGSi8CUSVFpSGtWATjTVyz5TlbbB2zdcOHK7CX&#10;XOGZJs0ag0Ufqa5YYGTnmr+odMMdeJDhhIPOeiHJEVQxHj3z5q5mViQtaLW3j6b7/0fLP9zfOtJU&#10;OAlnlBimseMPP74//Pz98OsbwTM0qLV+gbg7i8jQvYUOwYdzj4dRdyedjr+oiGB+VkzmxRRN3pf0&#10;FJVNZ4PVoguEIyDP52d5QQlHwKSYjWdFZMyeiKzz4Z0ATWJQUoedTAaz+7UPPfQAiXUNXDdKpW4q&#10;Q9qSTk+LUfrDYwbJlcEaUU5/7RiFbtMNGjdQ7VGig35KvOXXDRZfMx9umcOxQD34cMINLlIBFoEh&#10;oqQG9/Vf5xGP3cIsJS2OWUn9lx1zghL13mAfz8Z5HucybfJiNsGNO85sjjNmpy8BJ3mMT9TyFEZ8&#10;UIdQOtCf8X2tYlVMMcOxdknDIbwM/fDj++RitUognETLwtrcWR6peztXuwCySU5Hm3pvBvdwFlOv&#10;hncTh/14n1BP34rlH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FSfagPbAAAACwEAAA8AAAAAAAAA&#10;AQAgAAAAIgAAAGRycy9kb3ducmV2LnhtbFBLAQIUABQAAAAIAIdO4kAtpSC+RwIAAHMEAAAOAAAA&#10;AAAAAAEAIAAAACoBAABkcnMvZTJvRG9jLnhtbFBLBQYAAAAABgAGAFkBAADjBQAAAAA=&#10;">
            <v:path/>
            <v:fill on="f" focussize="0,0"/>
            <v:stroke on="f" weight="0.5pt"/>
            <v:imagedata o:title=""/>
            <o:lock v:ext="edit" aspectratio="f"/>
            <v:textbox>
              <w:txbxContent>
                <w:p>
                  <w:pPr>
                    <w:rPr>
                      <w:rFonts w:hint="default" w:eastAsia="宋体"/>
                      <w:b/>
                      <w:bCs/>
                      <w:color w:val="FF0000"/>
                      <w:sz w:val="18"/>
                      <w:szCs w:val="21"/>
                      <w:lang w:val="en-US" w:eastAsia="zh-CN"/>
                    </w:rPr>
                  </w:pPr>
                  <w:r>
                    <w:rPr>
                      <w:rFonts w:hint="eastAsia"/>
                      <w:b/>
                      <w:bCs/>
                      <w:color w:val="FF0000"/>
                      <w:sz w:val="18"/>
                      <w:szCs w:val="21"/>
                      <w:lang w:val="en-US" w:eastAsia="zh-CN"/>
                    </w:rPr>
                    <w:t>35m</w:t>
                  </w:r>
                </w:p>
              </w:txbxContent>
            </v:textbox>
          </v:shape>
        </w:pict>
      </w:r>
      <w:r>
        <w:rPr>
          <w:sz w:val="21"/>
        </w:rPr>
        <w:pict>
          <v:shape id="直接箭头连接符 18" o:spid="_x0000_s2069" o:spt="32" type="#_x0000_t32" style="position:absolute;left:0pt;flip:x;margin-left:329pt;margin-top:210.15pt;height:94.45pt;width:1.4pt;z-index:251688960;mso-width-relative:page;mso-height-relative:page;" filled="f" stroked="t" coordsize="21600,21600" o:gfxdata="UEsDBAoAAAAAAIdO4kAAAAAAAAAAAAAAAAAEAAAAZHJzL1BLAwQUAAAACACHTuJA0rxjq9sAAAAL&#10;AQAADwAAAGRycy9kb3ducmV2LnhtbE2PwU7DMAyG70i8Q2QkLhNL1tGylaYTAiE4IRgcOKaN1xYa&#10;pzTpNt4ec4KbLf/6/X3F5uh6sccxdJ40LOYKBFLtbUeNhrfX+4sViBANWdN7Qg3fGGBTnp4UJrf+&#10;QC+438ZGcAmF3GhoYxxyKUPdojNh7gckvu386EzkdWykHc2By10vE6Uy6UxH/KE1A962WH9uJ6fh&#10;aocz/453T19pWq1nNx8Pj8/TUuvzs4W6BhHxGP/C8IvP6FAyU+UnskH0GrJ0xS5Rw2WiliA4kWWK&#10;ZSoe1DoBWRbyv0P5A1BLAwQUAAAACACHTuJAkEsh6yQCAAANBAAADgAAAGRycy9lMm9Eb2MueG1s&#10;rVNLjhMxEN0jcQfLe9IfFJK00plFQmCBYCTgABW3u9uSf7I96eQSXACJFbACVrPnNDAcg7I7zAzD&#10;Zhb0wrK7ql7Ve35enh2UJHvuvDC6psUkp4RrZhqhu5q+fbN9NKfEB9ANSKN5TY/c07PVwwfLwVa8&#10;NL2RDXcEQbSvBlvTPgRbZZlnPVfgJ8ZyjcHWOAUBj67LGgcDoiuZlXn+JBuMa6wzjHuPfzdjkJ4Q&#10;3X0ATdsKxjeGXSiuw4jquISAlHwvrKerNG3bchZeta3ngciaItOQVmyC+11cs9USqs6B7QU7jQD3&#10;GeEOJwVCY9NrqA0EIBdO/AOlBHPGmzZMmFHZSCQpgiyK/I42r3uwPHFBqb29Ft3/P1j2cn/uiGjQ&#10;CXjvGhTe+NX7y5/vPl19+/rj4+Wv7x/i/stngnEUa7C+wpq1PneRrg/rg07lJSoqmkNNy5iW/ZUX&#10;D96OFYfWKdJKYZ9jyyQZikCwbpovylmOKMeaPp4XxSKfjrfDD4EwTChmszmGGcYxupgWKZ5BFSHj&#10;MNb58IwbReKmpj44EF0f1kZr9IFxYzvYv/AhjnhTEIu12Qopkx2kJkNNF9Nyit0ALd6itXCrLMrk&#10;dUcJyA7fDgsuEfBGiiZWJ0Vct1tLR/aAjttuc/ySIKjV7bQ44gZ8P+al0Mg2gJBPdUPC0eJVBCdA&#10;d5KfIKQ+STuqGXXdmeZ47v5Iji5JzE6Ojja8fU7VN6949Rt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DSvGOr2wAAAAsBAAAPAAAAAAAAAAEAIAAAACIAAABkcnMvZG93bnJldi54bWxQSwECFAAUAAAA&#10;CACHTuJAkEsh6yQCAAANBAAADgAAAAAAAAABACAAAAAqAQAAZHJzL2Uyb0RvYy54bWxQSwUGAAAA&#10;AAYABgBZAQAAwAUAAAAA&#10;">
            <v:path arrowok="t"/>
            <v:fill on="f" focussize="0,0"/>
            <v:stroke color="#FF0000" joinstyle="round" endarrow="block"/>
            <v:imagedata o:title=""/>
            <o:lock v:ext="edit" aspectratio="f"/>
          </v:shape>
        </w:pict>
      </w:r>
      <w:r>
        <w:rPr>
          <w:sz w:val="21"/>
        </w:rPr>
        <w:pict>
          <v:shape id="直接箭头连接符 17" o:spid="_x0000_s2062" o:spt="32" type="#_x0000_t32" style="position:absolute;left:0pt;flip:x y;margin-left:274.9pt;margin-top:185.15pt;height:3.3pt;width:41.8pt;z-index:251687936;mso-width-relative:page;mso-height-relative:page;" filled="f" stroked="t" coordsize="21600,21600" o:gfxdata="UEsDBAoAAAAAAIdO4kAAAAAAAAAAAAAAAAAEAAAAZHJzL1BLAwQUAAAACACHTuJAbIr+FtsAAAAL&#10;AQAADwAAAGRycy9kb3ducmV2LnhtbE2PQU+DQBCF7yb+h82YeDF2F6lokaUxJCYNt1YT420KIxDZ&#10;WcIuLfx7tyc9zpuX976XbWfTixONrrOsIVopEMSVrTtuNHy8v90/g3AeucbeMmlYyME2v77KMK3t&#10;mfd0OvhGhBB2KWpovR9SKV3VkkG3sgNx+H3b0aAP59jIesRzCDe9fFAqkQY7Dg0tDlS0VP0cJqNh&#10;H712xYIFf+2Scvc5zeXdMpVa395E6gWEp9n/meGCH9AhD0xHO3HtRK/hcb0J6F5D/KRiEMGRxPEa&#10;xPGiJBuQeSb/b8h/AVBLAwQUAAAACACHTuJAIX5jbScCAAAWBAAADgAAAGRycy9lMm9Eb2MueG1s&#10;rVNLjhMxEN0jcQfLe9KdL5NWOrNICCwQROKzd9zubkv+qexJJ5fgAkisgBWwmj2ngeEYlN1hZhg2&#10;s6AXVrmr6rne8/Pi/KAV2Qvw0pqSDgc5JcJwW0nTlPTN682jM0p8YKZiyhpR0qPw9Hz58MGic4UY&#10;2daqSgBBEOOLzpW0DcEVWeZ5KzTzA+uEwWRtQbOAW2iyCliH6FplozyfZZ2FyoHlwnv8u+6T9IQI&#10;9wG0dS25WFt+oYUJPSoIxQJS8q10ni7TtHUteHhZ114EokqKTENa8RCMd3HNlgtWNMBcK/lpBHaf&#10;Ee5w0kwaPPQaas0CIxcg/4HSkoP1tg4DbnXWE0mKIIthfkebVy1zInFBqb27Ft3/P1j+Yr8FIit0&#10;wmNKDNN441fvL3+++3T17euPj5e/vn+I8ZfPBPMoVud8gT0rs4VI14fVwaT2ESoqqwPixLLsr7q4&#10;8a7vONSgSa2kexZLU/Q2RhEN5SCIMJnk09kY8Y4lHU/mcdvfkzgEwrFgOs7PZpjnWDAZzofpGjNW&#10;ROyI48CHp8JqEoOS+gBMNm1YWWPQEBb609j+uQ9x1puG2GzsRiqVfKEM6Uo6n46meBZDr9foMQy1&#10;Q728aShhqsFHxAOk+b1VsordSRpodisFZM/QeptNjl9SBkW7XRZHXDPf9nUp1ZMNTKonpiLh6PBO&#10;AkhmGiVOEMqcNO5ljQLvbHXcwh/t0S6J2cna0Y+396n75jkvfw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Bsiv4W2wAAAAsBAAAPAAAAAAAAAAEAIAAAACIAAABkcnMvZG93bnJldi54bWxQSwECFAAU&#10;AAAACACHTuJAIX5jbScCAAAWBAAADgAAAAAAAAABACAAAAAqAQAAZHJzL2Uyb0RvYy54bWxQSwUG&#10;AAAAAAYABgBZAQAAwwUAAAAA&#10;">
            <v:path arrowok="t"/>
            <v:fill on="f" focussize="0,0"/>
            <v:stroke color="#FF0000" joinstyle="round" endarrow="block"/>
            <v:imagedata o:title=""/>
            <o:lock v:ext="edit" aspectratio="f"/>
          </v:shape>
        </w:pict>
      </w:r>
      <w:r>
        <w:rPr>
          <w:sz w:val="21"/>
        </w:rPr>
        <w:pict>
          <v:shape id="直接箭头连接符 16" o:spid="_x0000_s2067" o:spt="32" type="#_x0000_t32" style="position:absolute;left:0pt;flip:y;margin-left:330.4pt;margin-top:144.95pt;height:21.8pt;width:1.3pt;z-index:251686912;mso-width-relative:page;mso-height-relative:page;" filled="f" stroked="t" coordsize="21600,21600" o:gfxdata="UEsDBAoAAAAAAIdO4kAAAAAAAAAAAAAAAAAEAAAAZHJzL1BLAwQUAAAACACHTuJAHISXNtwAAAAL&#10;AQAADwAAAGRycy9kb3ducmV2LnhtbE2PMU/DMBSEdyT+g/WQWCpqtyFuE/JSIRCCCUHLwOjEr0kg&#10;tkPstOXfYyYYT3e6+67YnEzPDjT6zlmExVwAI1s73dkG4W33cLUG5oOyWvXOEsI3ediU52eFyrU7&#10;2lc6bEPDYon1uUJoQxhyzn3dklF+7gay0du70agQ5dhwPapjLDc9XwohuVGdjQutGuiupfpzOxmE&#10;1Z5m7p3un7/StMpmtx+PTy9Tgnh5sRA3wAKdwl8YfvEjOpSRqXKT1Z71CFKKiB4QlussAxYTUibX&#10;wCqEJElS4GXB/38ofwBQSwMEFAAAAAgAh07iQE/9mYUsAgAAJwQAAA4AAABkcnMvZTJvRG9jLnht&#10;bK1Ty47TMBTdI/EPlvc0SYeGTNR0Fi1lg6ASj73rOIklv2R7mvQn+AEkVsAKWM2er4HhM7h2QmcY&#10;NrMgC+s61/fce46PlxeDFOjArONaVTibpRgxRXXNVVvhN6+3jwqMnCeqJkIrVuEjc/hi9fDBsjcl&#10;m+tOi5pZBCDKlb2pcOe9KZPE0Y5J4mbaMAXJRltJPGxtm9SW9IAuRTJP0zzpta2N1ZQ5B383YxJP&#10;iPY+gLppOGUbTS8lU35EtUwQD5Rcx43Dqzht0zDqXzaNYx6JCgNTH1doAvE+rMlqScrWEtNxOo1A&#10;7jPCHU6ScAVNT1Ab4gm6tPwfKMmp1U43fka1TEYiURFgkaV3tHnVEcMiF5DamZPo7v/B0heHnUW8&#10;BifkGCki4cav31/9fPfp+tvXHx+vfn3/EOIvnxHkQazeuBJq1mpnA13n14OK5XNQlNfDSVOm6lPq&#10;bEoVASH5CyJsnBnBhsZK1Ahu3sI0UU3QBwHkIsvSxwU0OFZ4fl6cFflivDg2eEThQJYvMkjTkH+S&#10;F3m814SUATGMaazzz5iWKAQVdt4S3nZ+rZUCh2g7diOH586HCW8KQrHSWy5ENIpQqK/w+WK+gGYE&#10;zN+A6SCUBgR0qsWIiBZeFfU2zu+04HWojlrZdr8WFh0IeHG7TeGLeoCKt4+FETfEdeO5mBrJesLF&#10;U1UjfzRwSd5yolrBJgihJmVHMYOse10fd/aP4uCfyGzyejDo7X2svnnfq9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AchJc23AAAAAsBAAAPAAAAAAAAAAEAIAAAACIAAABkcnMvZG93bnJldi54bWxQ&#10;SwECFAAUAAAACACHTuJAT/2ZhSwCAAAnBAAADgAAAAAAAAABACAAAAArAQAAZHJzL2Uyb0RvYy54&#10;bWxQSwUGAAAAAAYABgBZAQAAyQUAAAAA&#10;">
            <v:path arrowok="t"/>
            <v:fill on="f" focussize="0,0"/>
            <v:stroke color="#FF0000" joinstyle="round" endarrow="block"/>
            <v:imagedata o:title=""/>
            <o:lock v:ext="edit" aspectratio="f"/>
          </v:shape>
        </w:pict>
      </w:r>
      <w:r>
        <w:rPr>
          <w:sz w:val="21"/>
        </w:rPr>
        <w:pict>
          <v:rect id="矩形 20" o:spid="_x0000_s2065" o:spt="1" style="position:absolute;left:0pt;margin-left:316.7pt;margin-top:166.75pt;height:43.4pt;width:27.4pt;z-index:251682816;v-text-anchor:middle;mso-width-relative:page;mso-height-relative:page;" fillcolor="#FF0000" filled="t" stroked="t" coordsize="21600,21600" o:gfxdata="UEsDBAoAAAAAAIdO4kAAAAAAAAAAAAAAAAAEAAAAZHJzL1BLAwQUAAAACACHTuJAXlXyWdgAAAAL&#10;AQAADwAAAGRycy9kb3ducmV2LnhtbE2PwU7DMBBE70j8g7VI3Khdu4miEKcHpALi1hY4u/E2iYjX&#10;Ueym4e8xJziu5mnmbbVd3MBmnELvScN6JYAhNd721Gp4P+4eCmAhGrJm8IQavjHAtr69qUxp/ZX2&#10;OB9iy1IJhdJo6GIcS85D06EzYeVHpJSd/eRMTOfUcjuZayp3A5dC5NyZntJCZ0Z86rD5Olychmcl&#10;X4/78/gpdx9LNuXzi83eSOv7u7V4BBZxiX8w/OondaiT08lfyAY2aMiV2iRUg1IqA5aIvCgksJOG&#10;jRQKeF3x/z/UP1BLAwQUAAAACACHTuJAwMt/WYUCAAAWBQAADgAAAGRycy9lMm9Eb2MueG1srVRL&#10;btswEN0X6B0I7htJjtzYRuTAiOGiQNAESIuuaYqyBPBXkv6klynQXQ/R4xS9Rh8pJXHSLrKoF/QM&#10;Z/Rm5s0Mzy8OSpKdcL4zuqLFSU6J0NzUnd5U9NPH1ZsJJT4wXTNptKjonfD0Yv761fnezsTItEbW&#10;whGAaD/b24q2IdhZlnneCsX8ibFCw9gYp1iA6jZZ7dge6Epmozx/m+2Nq60zXHiP22VvpAOiewmg&#10;aZqOi6XhWyV06FGdkCygJN921tN5yrZpBA/XTeNFILKiqDSkE0Egr+OZzc/ZbOOYbTs+pMBeksKz&#10;mhTrNII+QC1ZYGTrur+gVMed8aYJJ9yorC8kMYIqivwZN7ctsyLVAqq9fSDd/z9Y/mF340hXV3QE&#10;SjRT6Pjvbz9+/fxOcAF29tbP4HRrb9ygeYix1EPjVPxHEeRQ0XI6mo7zMSV3FT0dTfKyGNgVh0A4&#10;HE7Ls+kEQTgcxuOigAzE7BHIOh/eCaNIFCrq0LzEKdtd+dC73rvEuN7Irl51UibFbdaX0pEdQ6NX&#10;qxy//ltpW9bflpN42eP43j2Ff4IjNdmDi3EJV8IZ5rvBXEFUFhx5vaGEyQ0WhweXAjz5eoB9ksUQ&#10;8DjZWMWS+bb3SwhDXlIjpUh5T3KUwmF9AEYU16a+Q7ec6cfYW77qAHXFfLhhDnOLnLHZ4RpHIw0K&#10;MYNESWvc13/dR3+ME6yU7LEHKPLLljlBiXyvMWjToiwBG5JSjs/imLhjy/rYorfq0qADBd4Qy5MY&#10;/YO8Fxtn1Gc8AIsYFSamOWL3dA7KZej3E08IF4tFcsOyWBau9K3lETx2XJvFNpimS5PxyM7AH9Yl&#10;NXdY7biPx3ryenzO5n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XlXyWdgAAAALAQAADwAAAAAA&#10;AAABACAAAAAiAAAAZHJzL2Rvd25yZXYueG1sUEsBAhQAFAAAAAgAh07iQMDLf1mFAgAAFgUAAA4A&#10;AAAAAAAAAQAgAAAAJwEAAGRycy9lMm9Eb2MueG1sUEsFBgAAAAAGAAYAWQEAAB4GAAAAAA==&#10;">
            <v:path/>
            <v:fill on="t" opacity="31457f" focussize="0,0"/>
            <v:stroke weight="2pt" color="#FF0000" joinstyle="round"/>
            <v:imagedata o:title=""/>
            <o:lock v:ext="edit" aspectratio="f"/>
            <v:textbox>
              <w:txbxContent>
                <w:p>
                  <w:pPr>
                    <w:jc w:val="center"/>
                  </w:pPr>
                </w:p>
              </w:txbxContent>
            </v:textbox>
          </v:rect>
        </w:pict>
      </w:r>
      <w:r>
        <w:rPr>
          <w:sz w:val="21"/>
        </w:rPr>
        <w:pict>
          <v:shape id="直接箭头连接符 21" o:spid="_x0000_s2066" o:spt="32" type="#_x0000_t32" style="position:absolute;left:0pt;margin-left:344.1pt;margin-top:188.45pt;height:0.2pt;width:22.4pt;z-index:251685888;mso-width-relative:page;mso-height-relative:page;" filled="f" stroked="t" coordsize="21600,21600" o:gfxdata="UEsDBAoAAAAAAIdO4kAAAAAAAAAAAAAAAAAEAAAAZHJzL1BLAwQUAAAACACHTuJAdiiZeNoAAAAL&#10;AQAADwAAAGRycy9kb3ducmV2LnhtbE2PwU6DQBCG7ya+w2ZMvBi7tCggsjRG4qEHTWz1vrAjoOws&#10;YbctfXunJz3OzJd/vr9Yz3YQB5x870jBchGBQGqc6alV8LF7uc1A+KDJ6MERKjihh3V5eVHo3Lgj&#10;veNhG1rBIeRzraALYcyl9E2HVvuFG5H49uUmqwOPUyvNpI8cbge5iqJEWt0Tf+j0iM8dNj/bvVXw&#10;OZ6e2nT+3lWVf62rm83G3r3dK3V9tYweQQScwx8MZ31Wh5Kdarcn48WgIMmyFaMK4jR5AMFEGsfc&#10;rj5v0hhkWcj/HcpfUEsDBBQAAAAIAIdO4kDaruZ0HAIAAAEEAAAOAAAAZHJzL2Uyb0RvYy54bWyt&#10;U82O0zAQviPxDpbvNG1odkvUdA8t5YKgEvAAU8dJLPlPtrdpX4IXQOIEnFhOe+dpYHkMxk67LMtl&#10;D+Rg2Zn5Ps/3zXh+sVeS7LjzwuiKTkZjSrhmpha6rei7t+snM0p8AF2DNJpX9MA9vVg8fjTvbclz&#10;0xlZc0eQRPuytxXtQrBllnnWcQV+ZCzXGGyMUxDw6NqsdtAju5JZPh6fZb1xtXWGce/x72oI0iOj&#10;ewihaRrB+MqwS8V1GFgdlxBQku+E9XSRqm0azsLrpvE8EFlRVBrSipfgfhvXbDGHsnVgO8GOJcBD&#10;SrinSYHQeOkt1QoCkEsn/qFSgjnjTRNGzKhsEJIcQRWT8T1v3nRgedKCVnt7a7r/f7Ts1W7jiKgr&#10;mk8o0aCw4zcfrn++/3zz7erHp+tf3z/G/dcvBONoVm99iZil3rgo14flXg9wdFTU+4o+jWnZX3nx&#10;4O2A2DdORSRKJ5hd5LPp9ByxB0QW07PpeTH0hO8DYZgQ4zOMM0zIi2nqWAblicY6H15wo0jcVNQH&#10;B6LtwtJojb03bpK6AruXPsSyoDwBYg3arIWUaQSkJn1FnxV5gVcBjnWD44RbZdEar1tKQLb4Xlhw&#10;idEbKeqITi64druUjuwAp2y9HuOXTEB/7qbFq1fguyEvhQatAYR8rmsSDhbtD06AbiU/Ukh9tHNw&#10;MHq5NfVh404242QkZccpjqN395zQf17u4j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B2KJl42gAA&#10;AAsBAAAPAAAAAAAAAAEAIAAAACIAAABkcnMvZG93bnJldi54bWxQSwECFAAUAAAACACHTuJA2q7m&#10;dBwCAAABBAAADgAAAAAAAAABACAAAAApAQAAZHJzL2Uyb0RvYy54bWxQSwUGAAAAAAYABgBZAQAA&#10;twUAAAAA&#10;">
            <v:path arrowok="t"/>
            <v:fill on="f" focussize="0,0"/>
            <v:stroke color="#FF0000" joinstyle="round" endarrow="block"/>
            <v:imagedata o:title=""/>
            <o:lock v:ext="edit" aspectratio="f"/>
          </v:shape>
        </w:pict>
      </w:r>
      <w:r>
        <w:rPr>
          <w:sz w:val="21"/>
        </w:rPr>
        <w:pict>
          <v:shape id="任意多边形 22" o:spid="_x0000_s2055" style="position:absolute;left:0pt;margin-left:205.25pt;margin-top:4.1pt;height:397.5pt;width:74.95pt;z-index:251684864;mso-width-relative:page;mso-height-relative:page;" fillcolor="#00B0F0" filled="t" stroked="t" coordsize="897890,5048250" o:gfxdata="UEsDBAoAAAAAAIdO4kAAAAAAAAAAAAAAAAAEAAAAZHJzL1BLAwQUAAAACACHTuJAjWxWItoAAAAJ&#10;AQAADwAAAGRycy9kb3ducmV2LnhtbE2PMU/DMBSEdyT+g/WQWBC1E5qqhDgVQioKA0NbBtjc+DUJ&#10;xM9R7Kbl3/OYYDzd6e67YnV2vZhwDJ0nDclMgUCqve2o0fC2W98uQYRoyJreE2r4xgCr8vKiMLn1&#10;J9rgtI2N4BIKudHQxjjkUoa6RWfCzA9I7B386ExkOTbSjubE5a6XqVIL6UxHvNCaAZ9arL+2R6fh&#10;fni8eYnV8+Z991qtPz4xO1TToPX1VaIeQEQ8x78w/OIzOpTMtPdHskH0GuaJyjiqYZmCYD9bqDmI&#10;PWt1l4IsC/n/QfkDUEsDBBQAAAAIAIdO4kBarrMhSwQAAE8PAAAOAAAAZHJzL2Uyb0RvYy54bWyt&#10;V8uO2zYU3RfoPxBaBuiY1FvGeIK2xnRTtAGSAs2SI1GWAEkUSI7t2XfffZdFf6II2q9pin5GLx/y&#10;0ElgyUA2FmWdc1+8D/L25bHv0J4J2fJhE5AbHCA2lLxqh90m+OnN/Vd5gKSiQ0U7PrBN8MRk8PLu&#10;yy9uD+OahbzhXcUEAiGDXB/GTdAoNa5XK1k2rKfyho9sgI81Fz1V8Cp2q0rQA0jvu1WIcbo6cFGN&#10;gpdMSvh3az8GTqJYIpDXdVuyLS8fezYoK1WwjipwSTbtKIM7Y21ds1L9WNeSKdRtAvBUmV9QAusH&#10;/bu6u6XrnaBj05bOBLrEhA986mk7gNKTqC1VFD2K9iNRfVsKLnmtbkrer6wjJiLgBcEfxOZ1Q0dm&#10;fIFQy/EUdPn5xJY/7F8J1FabIAwDNNAedvyfd+/+/eXX93/89t/ff77/63cEXyBMh1GuAf16fCXc&#10;m4Sl9vlYi14/wRt03ARREhKcJQF6gvQiRYIzF2Z2VKgEQJGQPIXvJQASHOdhYgCrZ0nlo1TfMW6k&#10;0v33UtltqmBlglw5S0s+DK1U7GfYzrrvYOderBBGB5QXWV5Mu+ujZavYWx8d4ijEqEGeIbCLPsUo&#10;IJ4CkmUkTWa1+JQ8wSFQZtXAHpz8iLIYk3k1PoUkaZzGC9yJPD1Jki9xx6dEOY60bbP+xJ6eOA2L&#10;Bf74FIhaFhYL9EA2neKWR2kRzSeBT3GbP+9P6usxOTabBj4lImER5gv2J/P14CIN5/PAp0ABEki5&#10;eX+g15/ilsUkBdvmisenkJSEi/K68PToFF2wPz6liEgSL0gD4ld2HCUpmffnjBPmSbYkbsQv7qiI&#10;i2yBIp+zYG+IX9kLxPvwT3Q1aK+7qYHSZuqp5XFwTRVWiOozADaDbORSN3O/w0K71q+uhUJLBpHA&#10;0h15hgye+2Si58liMvjlk80wWkyGruWTo6s0QyvyyfFVZDsATwFLriJD0/A1p1eRoRP45OwqMpS3&#10;T86vIkPN+uTiKrIuRJ8N79ekiS7JM/p1Waar7Yx+lmc231ylCDhV6vNkZ86TKkBwnhTmPPmgLabr&#10;kSpdYNMSHTaBO5Cg5vnIoz/3fM/ecANUutxsCEz1OuefEd3gI+0hxNhsDxcOP6Gm52jk2rOEQbsz&#10;wkW4PRIYuBv1F+F2shu4m9gX4XZAO7h//Jtsnp7W9il0sDtufl6Wbsalke7G4EW4nXoG7qbZRbgd&#10;XgZuh9JFtB1B1hYzWS6i7Rwx6Cn1p0hMTxuRj7Nk+l52XDJbNToJTZc9ZaNOYu9gLXnXVvdt1+n0&#10;k2L38G0n0J7qixL+Bt/bMUC7saH23yTDeLLLwY38MzndoLM9TGKAopLC/bCGexks+xHuGHLYBYh2&#10;O7h4lkqYOXPGPrMiypNt/rUFNbRizgowYtaKUUi1pbKxFKPiFHmwWV9l7OVFrx549WTuNOZ/uGcZ&#10;r9ydUF/k/HfDfr4H3/0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gYAAFtDb250ZW50X1R5cGVzXS54bWxQSwECFAAKAAAAAACHTuJAAAAAAAAA&#10;AAAAAAAABgAAAAAAAAAAABAAAACgBQAAX3JlbHMvUEsBAhQAFAAAAAgAh07iQIoUZjzRAAAAlAEA&#10;AAsAAAAAAAAAAQAgAAAAxAUAAF9yZWxzLy5yZWxzUEsBAhQACgAAAAAAh07iQAAAAAAAAAAAAAAA&#10;AAQAAAAAAAAAAAAQAAAAAAAAAGRycy9QSwECFAAUAAAACACHTuJAjWxWItoAAAAJAQAADwAAAAAA&#10;AAABACAAAAAiAAAAZHJzL2Rvd25yZXYueG1sUEsBAhQAFAAAAAgAh07iQFqusyFLBAAATw8AAA4A&#10;AAAAAAAAAQAgAAAAKQEAAGRycy9lMm9Eb2MueG1sUEsFBgAAAAAGAAYAWQEAAOYHAAAAAA==&#10;" path="m0,20320l177165,850265,374015,1564640,558165,3803015,462915,5027295,836930,5048250,897890,3129280,809625,2101850,741680,1612265,646430,931545,435610,285750,394970,0,0,20320xe">
            <v:path o:connectlocs="0,20320;187814,850265;396498,1564640;591718,3803015;490742,5027295;887240,5048250;951865,3129280;858294,2101850;786264,1612265;685288,931545;461795,285750;418712,0;0,20320" o:connectangles="0,0,0,0,0,0,0,0,0,0,0,0,0"/>
            <v:fill on="t" opacity="37355f" focussize="0,0"/>
            <v:stroke weight="2pt" color="#385D8A" joinstyle="round"/>
            <v:imagedata o:title=""/>
            <o:lock v:ext="edit" aspectratio="f"/>
          </v:shape>
        </w:pict>
      </w:r>
      <w:r>
        <w:rPr>
          <w:sz w:val="21"/>
        </w:rPr>
        <w:pict>
          <v:shape id="任意多边形 23" o:spid="_x0000_s2058" style="position:absolute;left:0pt;margin-left:240.6pt;margin-top:4.1pt;height:395.35pt;width:453.75pt;z-index:251683840;mso-width-relative:page;mso-height-relative:page;" fillcolor="#FFC000" filled="t" stroked="t" coordsize="5762625,5020945" o:gfxdata="UEsDBAoAAAAAAIdO4kAAAAAAAAAAAAAAAAAEAAAAZHJzL1BLAwQUAAAACACHTuJACg/FVtsAAAAK&#10;AQAADwAAAGRycy9kb3ducmV2LnhtbE2PzU7DMBCE70i8g7VI3KjjgogTsumBnwMHkGgo4ugmSxIR&#10;r6PYTUufHvcEp9FqRjPfFquDHcRMk+8dI6hFAoK4dk3PLcJ79XSlQfhguDGDY0L4IQ+r8vysMHnj&#10;9vxG8zq0Ipawzw1CF8KYS+nrjqzxCzcSR+/LTdaEeE6tbCazj+V2kMskuZXW9BwXOjPSfUf193pn&#10;EdrPWqevm+dKvdjjh5ofH46brEK8vFDJHYhAh/AXhhN+RIcyMm3djhsvBoQbrZYxiqCjnPxrrVMQ&#10;W4Q00xnIspD/Xyh/AVBLAwQUAAAACACHTuJAbXIKof4FAAAjGwAADgAAAGRycy9lMm9Eb2MueG1s&#10;rVnNjts2EL4X6DsIOhZoLFKifhbx5pDF9lK0AZIC7ZEry7YA/UFU1pt77733WPQliqB9mqboY/Tj&#10;j7yUAkgU0Ist2d/H4ZAzw5nhy1dPdeU9Fr0o22bvkxeB7xVN3h7K5rT3f3h3/3Xqe2LgzYFXbVPs&#10;/Q+F8F/dfvnFy0t3U9D23FaHovcwSCNuLt3ePw9Dd7Pbifxc1Fy8aLuiwZ/Htq/5gNf+tDv0/ILR&#10;62pHgyDeXdr+0PVtXgiBX+/0n74ZsXcZsD0ey7y4a/P3ddEMetS+qPgAlcS57IR/q2Z7PBb58P3x&#10;KIrBq/Y+NB3UJ4Tg+UF+7m5f8ptTz7tzmZspcJcpzHSqedlA6HWoOz5w731ffjZUXeZ9K9rj8CJv&#10;651WRK0ItCDBbG3ennlXKF2w1KK7Lrr4/4bNv3t803vlYe/T0PcaXmPH//748Z+ff/n0+6///vXH&#10;pz9/8/APlunSiRug33ZvevMm8Ch1fjr2tfyGNt7T3g+zJAgoFvgDzItkLEjMMhdPg5cDwJKYxpT5&#10;Xg4EAzSLmJSwex4qfy+Gb4pWDcsfvxWD3qcDntQqH8xU87ZpSjEUP0Lcsa6wdV/tvMC7eKMMw7Pg&#10;ohyKn6bws2fNAnv42ehk2+g2nMQZi5i3KoJaIgiljLF1LWxOHDACzqoc7PJ1oWiSRYHDatkcErCI&#10;gLQqKLIEhTQJqINCNoewOIojB0EwpKtGEWE0c9DI5pAkpZHLFsWWoCyKCXMQZHNIEqdR4rBHiSUI&#10;a50Q4iBpQoKHESz46iYh1l/XjmDF4brrZjchJWmaZA6SMlsSo7A7B0kTkqskYjs3YRlBeFlXaspy&#10;ljV1dYS10EWWzQpTGoZgre4Vsd09irPMZQUnpDCFNbn4LrE9PoppRly0mpDCKEAUc9DK9nlnURNS&#10;GsZOJkhsr4/gIi4OPCEx5C+ZiwcT2+/NWeRggxOWPhgdVtD2fJawmGKGqycgsVmIz9Tp9CC27zNC&#10;YpzvDrJsVgi9cCY66GV7PwJ7EMYOIYPYLJolIdKPdVkyXbkGQshKQpeYMWFRBDWnmEsn3g/fT1zs&#10;cMJyl2XHjDAkYRQ6rCG1WSlLpKOshieZP16XkEYhS122a8KKGE5vB8ugtvuTKMrkHq9a/IQVpkno&#10;pJUdM1KaOZ0lMre9LgWJaOoSMqjt/C7qTPGT/UEmfRpzZX4e0+f8qTH5M548Luu9QBUtXStk4m4n&#10;08jM5atJlnVyDpZMvlfIsG6bTExm70aG4dlkuokMA7TJqmrBSrhJhknZ5GiTZOy3TR6rGTfJ2Eeb&#10;HG+SjChuk5NNZIRlm5xuIiPO2uRsE1lmWzYb75tsbG5k26xMJkUT6dvsTGZHE/o2SyMzU8P7Jt1n&#10;xoYEZRN9Zm7IVDbRZwaHNGITfWZyyCc20WdGh8N+C900Ja6BDe+b6DOrw5G8iT6zOpyym+gzq9Nd&#10;Gef4Jk8/22jxvkn6zOpwxG2iz6wOh51F10qYs6lHz0526yrVrRt8D926XnXrHiSH33R8kEfa+Ohd&#10;rI7S+bmhJP+v28fiXauQgzzhdNQZd/3536r5HKUbN2aaI2D87tRwuk+j1lW3XxbRutui0KaJsgjX&#10;PRMN162QRbjufGi4bmgswnX/wsBVW2IRbroQI142F5bxupcwTke2CJbxuiOwAa/Kene87DiG2oZN&#10;wb04H11eq+FN0bwClyWygke68HWG6+J1Ga5KVTW6KUAX4WPrU7q71deEk43WO35rKzYlo1ZWF4LL&#10;4+uyT+N1MbeIN6WbwpuCbA0vyy+N10XVIh4VlCyhNuBVGaTwurhZHN6UMgquC5RFuClHFFwXGYtw&#10;XVIotC4UFtHT+DVuY161otDhVMZG1Ui/BkkZW61mumir8nBfVpUMiqI/Pbyueu+RI97e379Gb0jV&#10;A7zqzlz/GqXyRz24gavxJ+NUjQzClKGph6Y+x6XQEZcxeKw7XCyI5uR7vDrhtikfeiVgwp7MQvan&#10;ngXak+16MdxxcdbzUiNc1wpTktcT+kJCPj20hw/qnkL9jrsTNWlzzyMvZ+x3xX6+27r9D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IIAABbQ29u&#10;dGVudF9UeXBlc10ueG1sUEsBAhQACgAAAAAAh07iQAAAAAAAAAAAAAAAAAYAAAAAAAAAAAAQAAAA&#10;VAcAAF9yZWxzL1BLAQIUABQAAAAIAIdO4kCKFGY80QAAAJQBAAALAAAAAAAAAAEAIAAAAHgHAABf&#10;cmVscy8ucmVsc1BLAQIUAAoAAAAAAIdO4kAAAAAAAAAAAAAAAAAEAAAAAAAAAAAAEAAAAAAAAABk&#10;cnMvUEsBAhQAFAAAAAgAh07iQAoPxVbbAAAACgEAAA8AAAAAAAAAAQAgAAAAIgAAAGRycy9kb3du&#10;cmV2LnhtbFBLAQIUABQAAAAIAIdO4kBtcgqh/gUAACMbAAAOAAAAAAAAAAEAIAAAACoBAABkcnMv&#10;ZTJvRG9jLnhtbFBLBQYAAAAABgAGAFkBAACaCQAAAAA=&#10;" path="m0,0l0,169545,122555,605155,279400,1054100,327025,1564640,415290,1782445,946150,1768475,1007110,1762125,1156970,1788795,1524000,1788795,1591945,1788795,1626235,3823335,469900,3810000,462915,4340225,462915,4836795,476250,5006975,5762625,5020945,5756275,3272155,5116195,3020695,4150360,2973070,4157345,2524125,3333750,2524125,3313430,857250,2435860,455295,1449070,387350,829945,142875,0,0xe">
            <v:path o:connectlocs="0,0;0,169545;122555,605155;279400,1054100;327025,1564640;415290,1782445;946150,1768475;1007110,1762125;1156970,1788795;1524000,1788795;1591945,1788795;1626235,3823335;469900,3810000;462915,4340225;462915,4836795;476250,5006975;5762625,5020945;5756275,3272155;5116195,3020695;4150360,2973070;4157345,2524125;3333750,2524125;3313430,857250;2435860,455295;1449070,387350;829945,142875;0,0" o:connectangles="0,0,0,0,0,0,0,0,0,0,0,0,0,0,0,0,0,0,0,0,0,0,0,0,0,0,0"/>
            <v:fill on="t" opacity="31457f" focussize="0,0"/>
            <v:stroke weight="2pt" color="#000000" joinstyle="round"/>
            <v:imagedata o:title=""/>
            <o:lock v:ext="edit" aspectratio="f"/>
          </v:shape>
        </w:pict>
      </w:r>
      <w:r>
        <w:rPr>
          <w:sz w:val="21"/>
        </w:rPr>
        <w:pict>
          <v:shape id="文本框 24" o:spid="_x0000_s2059" o:spt="202" type="#_x0000_t202" style="position:absolute;left:0pt;margin-left:158.65pt;margin-top:417.05pt;height:33.75pt;width:336.85pt;z-index:251667456;mso-width-relative:page;mso-height-relative:page;" fillcolor="#FFFFFF" filled="t" stroked="f" coordsize="21600,21600" o:gfxdata="UEsDBAoAAAAAAIdO4kAAAAAAAAAAAAAAAAAEAAAAZHJzL1BLAwQUAAAACACHTuJAbh8LdtYAAAAL&#10;AQAADwAAAGRycy9kb3ducmV2LnhtbE2Py07DMBBF90j8gzVI7KhtUpU2jdMFElsk+lq7sYmj2uPI&#10;dp9fz7CC3Yzm6M65zeoaPDvblIeICuREALPYRTNgr2C7+XiZA8tFo9E+olVwsxlW7eNDo2sTL/hl&#10;z+vSMwrBXGsFrpSx5jx3zgadJ3G0SLfvmIIutKaem6QvFB48fxVixoMekD44Pdp3Z7vj+hQU7Ptw&#10;3+/kmJwJfoqf99tmGwelnp+kWAIr9lr+YPjVJ3VoyekQT2gy8woq+VYRqmBeTSUwIhYLSe0ONAg5&#10;A942/H+H9gdQSwMEFAAAAAgAh07iQLsiJJ9SAgAAkQQAAA4AAABkcnMvZTJvRG9jLnhtbK1UwW4T&#10;MRC9I/EPlu90kyVJ2yibKqQKQqpopYI4O15v1pLtMbaT3fIB8AecuHDnu/IdjL2bNBQOPZDDZjwz&#10;+8bvzczOrlqtyE44L8EUdHg2oEQYDqU0m4J+/LB6dUGJD8yUTIERBX0Qnl7NX76YNXYqcqhBlcIR&#10;BDF+2tiC1iHYaZZ5XgvN/BlYYTBYgdMs4NFtstKxBtG1yvLBYJI14ErrgAvv0XvdBWmP6J4DCFUl&#10;ubgGvtXChA7VCcUCUvK1tJ7O022rSvBwW1VeBKIKikxDemIRtNfxmc1nbLpxzNaS91dgz7nCE06a&#10;SYNFj1DXLDCydfIvKC25Aw9VOOOgs45IUgRZDAdPtLmvmRWJC0rt7VF0//9g+fvdnSOyLGg+osQw&#10;jR3ff/+2//Fr//MrQR8K1Fg/xbx7i5mhfQMtjs3B79EZebeV0/EfGRGMo7wPR3lFGwhH5yg/P7+8&#10;HFPCMTbKLyb5OMJkj29b58NbAZpEo6AO25dUZbsbH7rUQ0os5kHJciWVSge3WS+VIzuGrV6lX4/+&#10;R5oypCno5PV4kJANxPc7aGXwMpFsRypaoV23vQJrKB9QAAfdDHnLVxJvecN8uGMOhwY541qFW3xU&#10;CrAI9BYlNbgv//LHfOwlRilpcAgL6j9vmROUqHcGu3w5HI3i1KbDaHye48GdRtanEbPVS0DyQ1xg&#10;y5MZ84M6mJUD/Qm3bxGrYogZjrULGg7mMnSrgdvLxWKRknBOLQs35t7yCB2lNrDYBqhkakmUqdOm&#10;Vw8nNTW136q4CqfnlPX4JZn/B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G4fC3bWAAAACwEAAA8A&#10;AAAAAAAAAQAgAAAAIgAAAGRycy9kb3ducmV2LnhtbFBLAQIUABQAAAAIAIdO4kC7IiSfUgIAAJEE&#10;AAAOAAAAAAAAAAEAIAAAACUBAABkcnMvZTJvRG9jLnhtbFBLBQYAAAAABgAGAFkBAADpBQAAAAA=&#10;">
            <v:path/>
            <v:fill on="t" focussize="0,0"/>
            <v:stroke on="f" weight="0.5pt"/>
            <v:imagedata o:title=""/>
            <o:lock v:ext="edit" aspectratio="f"/>
            <v:textbox>
              <w:txbxContent>
                <w:p>
                  <w:pPr>
                    <w:tabs>
                      <w:tab w:val="left" w:pos="4875"/>
                    </w:tabs>
                    <w:jc w:val="center"/>
                    <w:rPr>
                      <w:rFonts w:hint="eastAsia" w:ascii="黑体" w:hAnsi="黑体" w:eastAsia="黑体"/>
                      <w:sz w:val="30"/>
                      <w:szCs w:val="30"/>
                    </w:rPr>
                  </w:pPr>
                  <w:r>
                    <w:rPr>
                      <w:rFonts w:hint="eastAsia"/>
                      <w:b/>
                      <w:bCs/>
                      <w:sz w:val="28"/>
                      <w:szCs w:val="28"/>
                    </w:rPr>
                    <w:t>附图</w:t>
                  </w:r>
                  <w:r>
                    <w:rPr>
                      <w:rFonts w:hint="eastAsia"/>
                      <w:b/>
                      <w:bCs/>
                      <w:sz w:val="28"/>
                      <w:szCs w:val="28"/>
                      <w:lang w:eastAsia="zh-CN"/>
                    </w:rPr>
                    <w:t>三</w:t>
                  </w:r>
                  <w:r>
                    <w:rPr>
                      <w:rFonts w:hint="eastAsia"/>
                      <w:b/>
                      <w:bCs/>
                      <w:sz w:val="28"/>
                      <w:szCs w:val="28"/>
                    </w:rPr>
                    <w:t xml:space="preserve">  项目</w:t>
                  </w:r>
                  <w:r>
                    <w:rPr>
                      <w:rFonts w:hint="eastAsia"/>
                      <w:b/>
                      <w:bCs/>
                      <w:sz w:val="28"/>
                      <w:szCs w:val="28"/>
                      <w:lang w:eastAsia="zh-CN"/>
                    </w:rPr>
                    <w:t>周围环境概况</w:t>
                  </w:r>
                  <w:r>
                    <w:rPr>
                      <w:rFonts w:hint="eastAsia"/>
                      <w:b/>
                      <w:bCs/>
                      <w:sz w:val="28"/>
                      <w:szCs w:val="28"/>
                    </w:rPr>
                    <w:t>图</w:t>
                  </w:r>
                </w:p>
                <w:p/>
              </w:txbxContent>
            </v:textbox>
          </v:shape>
        </w:pict>
      </w:r>
      <w:r>
        <w:drawing>
          <wp:inline distT="0" distB="0" distL="114300" distR="114300">
            <wp:extent cx="8853805" cy="5088890"/>
            <wp:effectExtent l="0" t="0" r="4445" b="16510"/>
            <wp:docPr id="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
                    <pic:cNvPicPr>
                      <a:picLocks noChangeAspect="1"/>
                    </pic:cNvPicPr>
                  </pic:nvPicPr>
                  <pic:blipFill>
                    <a:blip r:embed="rId24"/>
                    <a:stretch>
                      <a:fillRect/>
                    </a:stretch>
                  </pic:blipFill>
                  <pic:spPr>
                    <a:xfrm>
                      <a:off x="0" y="0"/>
                      <a:ext cx="8853805" cy="5088890"/>
                    </a:xfrm>
                    <a:prstGeom prst="rect">
                      <a:avLst/>
                    </a:prstGeom>
                    <a:noFill/>
                    <a:ln>
                      <a:noFill/>
                    </a:ln>
                  </pic:spPr>
                </pic:pic>
              </a:graphicData>
            </a:graphic>
          </wp:inline>
        </w:drawing>
      </w:r>
    </w:p>
    <w:p>
      <w:pPr>
        <w:pStyle w:val="2"/>
      </w:pPr>
    </w:p>
    <w:p>
      <w:pPr>
        <w:bidi w:val="0"/>
      </w:pPr>
    </w:p>
    <w:p>
      <w:pPr>
        <w:bidi w:val="0"/>
      </w:pPr>
      <w:r>
        <w:drawing>
          <wp:anchor distT="0" distB="0" distL="114300" distR="114300" simplePos="0" relativeHeight="252057600" behindDoc="0" locked="0" layoutInCell="1" allowOverlap="1">
            <wp:simplePos x="0" y="0"/>
            <wp:positionH relativeFrom="column">
              <wp:posOffset>-63500</wp:posOffset>
            </wp:positionH>
            <wp:positionV relativeFrom="paragraph">
              <wp:posOffset>153670</wp:posOffset>
            </wp:positionV>
            <wp:extent cx="5271770" cy="6815455"/>
            <wp:effectExtent l="0" t="0" r="5080" b="4445"/>
            <wp:wrapNone/>
            <wp:docPr id="3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
                    <pic:cNvPicPr>
                      <a:picLocks noChangeAspect="1"/>
                    </pic:cNvPicPr>
                  </pic:nvPicPr>
                  <pic:blipFill>
                    <a:blip r:embed="rId25"/>
                    <a:stretch>
                      <a:fillRect/>
                    </a:stretch>
                  </pic:blipFill>
                  <pic:spPr>
                    <a:xfrm>
                      <a:off x="0" y="0"/>
                      <a:ext cx="5271770" cy="6815455"/>
                    </a:xfrm>
                    <a:prstGeom prst="rect">
                      <a:avLst/>
                    </a:prstGeom>
                    <a:noFill/>
                    <a:ln>
                      <a:noFill/>
                    </a:ln>
                  </pic:spPr>
                </pic:pic>
              </a:graphicData>
            </a:graphic>
          </wp:anchor>
        </w:drawing>
      </w: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r>
        <w:rPr>
          <w:sz w:val="21"/>
        </w:rPr>
        <w:pict>
          <v:shape id="文本框 33" o:spid="_x0000_s2054" o:spt="202" type="#_x0000_t202" style="position:absolute;left:0pt;margin-left:24.4pt;margin-top:12.85pt;height:33.75pt;width:336.85pt;z-index:251679744;mso-width-relative:page;mso-height-relative:page;" fillcolor="#FFFFFF" filled="t" stroked="f" coordsize="21600,21600" o:gfxdata="UEsDBAoAAAAAAIdO4kAAAAAAAAAAAAAAAAAEAAAAZHJzL1BLAwQUAAAACACHTuJAggsZDtUAAAAI&#10;AQAADwAAAGRycy9kb3ducmV2LnhtbE2PzU7DMBCE70i8g7VI3KgT09KSZtMDElck2tKzGy9xVHsd&#10;xe7v02NOcBzNaOabenXxTpxojH1ghHJSgCBug+m5Q9hu3p8WIGLSbLQLTAhXirBq7u9qXZlw5k86&#10;rVMncgnHSiPYlIZKytha8jpOwkCcve8wep2yHDtpRn3O5d5JVRQv0uue84LVA71Zag/ro0fYdf62&#10;+yqH0Rrvpvxxu262oUd8fCiLJYhEl/QXhl/8jA5NZtqHI5soHMJ0kckTgprNQWR/rtQMxB7h9VmB&#10;bGr5/0DzA1BLAwQUAAAACACHTuJAKYNuJ1ICAACRBAAADgAAAGRycy9lMm9Eb2MueG1srVTBbhox&#10;EL1X6j9YvpcFAiRBLBENoqoUNZFo1bPxellLtse1Dbv0A9o/yKmX3vtd+Y6OvQtJ0x5yKIdlPDP7&#10;xu/NzM6uGq3IXjgvweR00OtTIgyHQpptTj99XL25oMQHZgqmwIicHoSnV/PXr2a1nYohVKAK4QiC&#10;GD+tbU6rEOw0yzyvhGa+B1YYDJbgNAt4dNuscKxGdK2yYb8/yWpwhXXAhffoXbZB2iG6lwBCWUou&#10;lsB3WpjQojqhWEBKvpLW03m6bVkKHm7L0otAVE6RaUhPLIL2Jj6z+YxNt47ZSvLuCuwlV3jGSTNp&#10;sOgJaskCIzsn/4LSkjvwUIYeB521RJIiyGLQf6bNumJWJC4otbcn0f3/g+Uf9neOyCKnZ2eUGKax&#10;4w/33x9+/Hr4+Y2gDwWqrZ9i3tpiZmjeQoNjc/R7dEbeTel0/EdGBOMo7+Ekr2gC4egcDc/PLy/H&#10;lHCMjYYXk+E4wmSPb1vnwzsBmkQjpw7bl1Rl+xsf2tRjSizmQcliJZVKB7fdXCtH9gxbvUq/Dv2P&#10;NGVIndPJ2bifkA3E91toZfAykWxLKlqh2TSdAhsoDiiAg3aGvOUribe8YT7cMYdDg5xxrcItPkoF&#10;WAQ6i5IK3Nd/+WM+9hKjlNQ4hDn1X3bMCUrUe4NdvhyMRnFq02E0Ph/iwT2NbJ5GzE5fA5If4AJb&#10;nsyYH9TRLB3oz7h9i1gVQ8xwrJ3TcDSvQ7sauL1cLBYpCefUsnBj1pZH6Ci1gcUuQClTS6JMrTad&#10;ejipqandVsVVeHpOWY9fkvl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ggsZDtUAAAAIAQAADwAA&#10;AAAAAAABACAAAAAiAAAAZHJzL2Rvd25yZXYueG1sUEsBAhQAFAAAAAgAh07iQCmDbidSAgAAkQQA&#10;AA4AAAAAAAAAAQAgAAAAJAEAAGRycy9lMm9Eb2MueG1sUEsFBgAAAAAGAAYAWQEAAOgFAAAAAA==&#10;">
            <v:path/>
            <v:fill on="t" focussize="0,0"/>
            <v:stroke on="f" weight="0.5pt"/>
            <v:imagedata o:title=""/>
            <o:lock v:ext="edit" aspectratio="f"/>
            <v:textbox>
              <w:txbxContent>
                <w:p>
                  <w:pPr>
                    <w:tabs>
                      <w:tab w:val="left" w:pos="4875"/>
                    </w:tabs>
                    <w:jc w:val="center"/>
                    <w:rPr>
                      <w:rFonts w:hint="eastAsia" w:ascii="黑体" w:hAnsi="黑体" w:eastAsia="黑体"/>
                      <w:sz w:val="30"/>
                      <w:szCs w:val="30"/>
                    </w:rPr>
                  </w:pPr>
                  <w:r>
                    <w:rPr>
                      <w:rFonts w:hint="eastAsia"/>
                      <w:b/>
                      <w:bCs/>
                      <w:sz w:val="28"/>
                      <w:szCs w:val="28"/>
                    </w:rPr>
                    <w:t>附图</w:t>
                  </w:r>
                  <w:r>
                    <w:rPr>
                      <w:rFonts w:hint="eastAsia"/>
                      <w:b/>
                      <w:bCs/>
                      <w:sz w:val="28"/>
                      <w:szCs w:val="28"/>
                      <w:lang w:eastAsia="zh-CN"/>
                    </w:rPr>
                    <w:t>四</w:t>
                  </w:r>
                  <w:r>
                    <w:rPr>
                      <w:rFonts w:hint="eastAsia"/>
                      <w:b/>
                      <w:bCs/>
                      <w:sz w:val="28"/>
                      <w:szCs w:val="28"/>
                    </w:rPr>
                    <w:t xml:space="preserve">  项目</w:t>
                  </w:r>
                  <w:r>
                    <w:rPr>
                      <w:rFonts w:hint="eastAsia"/>
                      <w:b/>
                      <w:bCs/>
                      <w:sz w:val="28"/>
                      <w:szCs w:val="28"/>
                      <w:lang w:eastAsia="zh-CN"/>
                    </w:rPr>
                    <w:t>厂区平面布置</w:t>
                  </w:r>
                  <w:r>
                    <w:rPr>
                      <w:rFonts w:hint="eastAsia"/>
                      <w:b/>
                      <w:bCs/>
                      <w:sz w:val="28"/>
                      <w:szCs w:val="28"/>
                    </w:rPr>
                    <w:t>图</w:t>
                  </w:r>
                </w:p>
                <w:p/>
              </w:txbxContent>
            </v:textbox>
          </v:shape>
        </w:pict>
      </w:r>
    </w:p>
    <w:p>
      <w:pPr>
        <w:bidi w:val="0"/>
      </w:pPr>
    </w:p>
    <w:p>
      <w:pPr>
        <w:tabs>
          <w:tab w:val="left" w:pos="1822"/>
        </w:tabs>
        <w:bidi w:val="0"/>
        <w:jc w:val="left"/>
        <w:rPr>
          <w:rFonts w:hint="eastAsia"/>
          <w:lang w:eastAsia="zh-CN"/>
        </w:rPr>
        <w:sectPr>
          <w:pgSz w:w="11906" w:h="16838"/>
          <w:pgMar w:top="1440" w:right="1800" w:bottom="1440" w:left="1800" w:header="851" w:footer="992" w:gutter="0"/>
          <w:cols w:space="425" w:num="1"/>
          <w:docGrid w:type="lines" w:linePitch="312" w:charSpace="0"/>
        </w:sectPr>
      </w:pPr>
    </w:p>
    <w:p>
      <w:pPr>
        <w:tabs>
          <w:tab w:val="left" w:pos="1822"/>
        </w:tabs>
        <w:bidi w:val="0"/>
        <w:jc w:val="left"/>
        <w:rPr>
          <w:rFonts w:hint="eastAsia" w:eastAsia="宋体"/>
          <w:lang w:eastAsia="zh-CN"/>
        </w:rPr>
      </w:pPr>
      <w:r>
        <w:rPr>
          <w:rFonts w:hint="eastAsia"/>
          <w:lang w:eastAsia="zh-CN"/>
        </w:rPr>
        <w:tab/>
      </w:r>
    </w:p>
    <w:tbl>
      <w:tblPr>
        <w:tblStyle w:val="23"/>
        <w:tblW w:w="104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04"/>
        <w:gridCol w:w="52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04" w:type="dxa"/>
            <w:noWrap w:val="0"/>
            <w:vAlign w:val="center"/>
          </w:tcPr>
          <w:p>
            <w:pPr>
              <w:tabs>
                <w:tab w:val="left" w:pos="2310"/>
              </w:tabs>
              <w:jc w:val="center"/>
              <w:rPr>
                <w:rFonts w:hint="eastAsia" w:eastAsia="宋体"/>
                <w:lang w:eastAsia="zh-CN"/>
              </w:rPr>
            </w:pPr>
            <w:r>
              <w:rPr>
                <w:rFonts w:hint="eastAsia" w:eastAsia="宋体"/>
                <w:lang w:eastAsia="zh-CN"/>
              </w:rPr>
              <w:drawing>
                <wp:inline distT="0" distB="0" distL="114300" distR="114300">
                  <wp:extent cx="3162300" cy="2371725"/>
                  <wp:effectExtent l="0" t="0" r="0" b="9525"/>
                  <wp:docPr id="34" name="图片 34" descr="bdfcd7508173a06ae839943ba3263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bdfcd7508173a06ae839943ba3263cb"/>
                          <pic:cNvPicPr>
                            <a:picLocks noChangeAspect="1"/>
                          </pic:cNvPicPr>
                        </pic:nvPicPr>
                        <pic:blipFill>
                          <a:blip r:embed="rId26"/>
                          <a:stretch>
                            <a:fillRect/>
                          </a:stretch>
                        </pic:blipFill>
                        <pic:spPr>
                          <a:xfrm>
                            <a:off x="0" y="0"/>
                            <a:ext cx="3162300" cy="2371725"/>
                          </a:xfrm>
                          <a:prstGeom prst="rect">
                            <a:avLst/>
                          </a:prstGeom>
                        </pic:spPr>
                      </pic:pic>
                    </a:graphicData>
                  </a:graphic>
                </wp:inline>
              </w:drawing>
            </w:r>
          </w:p>
        </w:tc>
        <w:tc>
          <w:tcPr>
            <w:tcW w:w="5205" w:type="dxa"/>
            <w:noWrap w:val="0"/>
            <w:vAlign w:val="center"/>
          </w:tcPr>
          <w:p>
            <w:pPr>
              <w:tabs>
                <w:tab w:val="left" w:pos="2310"/>
              </w:tabs>
              <w:jc w:val="center"/>
              <w:rPr>
                <w:rFonts w:hint="eastAsia" w:eastAsia="宋体"/>
                <w:lang w:eastAsia="zh-CN"/>
              </w:rPr>
            </w:pPr>
            <w:r>
              <w:rPr>
                <w:rFonts w:hint="eastAsia" w:eastAsia="宋体"/>
                <w:lang w:eastAsia="zh-CN"/>
              </w:rPr>
              <w:drawing>
                <wp:inline distT="0" distB="0" distL="114300" distR="114300">
                  <wp:extent cx="3162300" cy="2371725"/>
                  <wp:effectExtent l="0" t="0" r="0" b="9525"/>
                  <wp:docPr id="36" name="图片 36" descr="0c1f7735a0d9e36148702fbcce0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0c1f7735a0d9e36148702fbcce01411"/>
                          <pic:cNvPicPr>
                            <a:picLocks noChangeAspect="1"/>
                          </pic:cNvPicPr>
                        </pic:nvPicPr>
                        <pic:blipFill>
                          <a:blip r:embed="rId27"/>
                          <a:stretch>
                            <a:fillRect/>
                          </a:stretch>
                        </pic:blipFill>
                        <pic:spPr>
                          <a:xfrm>
                            <a:off x="0" y="0"/>
                            <a:ext cx="3162300" cy="23717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04" w:type="dxa"/>
            <w:noWrap w:val="0"/>
            <w:vAlign w:val="center"/>
          </w:tcPr>
          <w:p>
            <w:pPr>
              <w:tabs>
                <w:tab w:val="left" w:pos="2310"/>
              </w:tabs>
              <w:jc w:val="center"/>
              <w:rPr>
                <w:rFonts w:hint="eastAsia"/>
              </w:rPr>
            </w:pPr>
            <w:r>
              <w:rPr>
                <w:rFonts w:hint="eastAsia"/>
                <w:sz w:val="24"/>
              </w:rPr>
              <w:t>项目</w:t>
            </w:r>
            <w:r>
              <w:rPr>
                <w:rFonts w:hint="eastAsia"/>
                <w:sz w:val="24"/>
                <w:lang w:eastAsia="zh-CN"/>
              </w:rPr>
              <w:t>车间现状</w:t>
            </w:r>
          </w:p>
        </w:tc>
        <w:tc>
          <w:tcPr>
            <w:tcW w:w="5205" w:type="dxa"/>
            <w:noWrap w:val="0"/>
            <w:vAlign w:val="center"/>
          </w:tcPr>
          <w:p>
            <w:pPr>
              <w:tabs>
                <w:tab w:val="left" w:pos="2310"/>
              </w:tabs>
              <w:jc w:val="center"/>
              <w:rPr>
                <w:rFonts w:hint="eastAsia" w:eastAsia="宋体"/>
                <w:lang w:eastAsia="zh-CN"/>
              </w:rPr>
            </w:pPr>
            <w:r>
              <w:rPr>
                <w:rFonts w:hint="eastAsia"/>
                <w:sz w:val="24"/>
              </w:rPr>
              <w:t>项目</w:t>
            </w:r>
            <w:r>
              <w:rPr>
                <w:rFonts w:hint="eastAsia"/>
                <w:sz w:val="24"/>
                <w:lang w:eastAsia="zh-CN"/>
              </w:rPr>
              <w:t>现状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04" w:type="dxa"/>
            <w:noWrap w:val="0"/>
            <w:vAlign w:val="center"/>
          </w:tcPr>
          <w:p>
            <w:pPr>
              <w:tabs>
                <w:tab w:val="left" w:pos="2310"/>
              </w:tabs>
              <w:jc w:val="center"/>
              <w:rPr>
                <w:rFonts w:hint="eastAsia" w:eastAsia="宋体"/>
                <w:lang w:eastAsia="zh-CN"/>
              </w:rPr>
            </w:pPr>
            <w:r>
              <w:drawing>
                <wp:inline distT="0" distB="0" distL="114300" distR="114300">
                  <wp:extent cx="3159760" cy="2372360"/>
                  <wp:effectExtent l="0" t="0" r="2540" b="8890"/>
                  <wp:docPr id="37" name="图片 5"/>
                  <wp:cNvGraphicFramePr/>
                  <a:graphic xmlns:a="http://schemas.openxmlformats.org/drawingml/2006/main">
                    <a:graphicData uri="http://schemas.openxmlformats.org/drawingml/2006/picture">
                      <pic:pic xmlns:pic="http://schemas.openxmlformats.org/drawingml/2006/picture">
                        <pic:nvPicPr>
                          <pic:cNvPr id="37" name="图片 5"/>
                          <pic:cNvPicPr/>
                        </pic:nvPicPr>
                        <pic:blipFill>
                          <a:blip r:embed="rId28"/>
                          <a:stretch>
                            <a:fillRect/>
                          </a:stretch>
                        </pic:blipFill>
                        <pic:spPr>
                          <a:xfrm>
                            <a:off x="0" y="0"/>
                            <a:ext cx="3159760" cy="2372360"/>
                          </a:xfrm>
                          <a:prstGeom prst="rect">
                            <a:avLst/>
                          </a:prstGeom>
                          <a:noFill/>
                          <a:ln>
                            <a:noFill/>
                          </a:ln>
                        </pic:spPr>
                      </pic:pic>
                    </a:graphicData>
                  </a:graphic>
                </wp:inline>
              </w:drawing>
            </w:r>
          </w:p>
        </w:tc>
        <w:tc>
          <w:tcPr>
            <w:tcW w:w="5205" w:type="dxa"/>
            <w:noWrap w:val="0"/>
            <w:vAlign w:val="center"/>
          </w:tcPr>
          <w:p>
            <w:pPr>
              <w:tabs>
                <w:tab w:val="left" w:pos="2310"/>
              </w:tabs>
              <w:jc w:val="center"/>
              <w:rPr>
                <w:rFonts w:hint="eastAsia" w:eastAsia="宋体"/>
                <w:lang w:eastAsia="zh-CN"/>
              </w:rPr>
            </w:pPr>
            <w:r>
              <w:rPr>
                <w:rFonts w:hint="eastAsia" w:eastAsia="宋体"/>
                <w:lang w:eastAsia="zh-CN"/>
              </w:rPr>
              <w:drawing>
                <wp:inline distT="0" distB="0" distL="114300" distR="114300">
                  <wp:extent cx="3162300" cy="2371725"/>
                  <wp:effectExtent l="0" t="0" r="0" b="9525"/>
                  <wp:docPr id="38" name="图片 38" descr="0c1f7735a0d9e36148702fbcce0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0c1f7735a0d9e36148702fbcce01411"/>
                          <pic:cNvPicPr>
                            <a:picLocks noChangeAspect="1"/>
                          </pic:cNvPicPr>
                        </pic:nvPicPr>
                        <pic:blipFill>
                          <a:blip r:embed="rId27"/>
                          <a:stretch>
                            <a:fillRect/>
                          </a:stretch>
                        </pic:blipFill>
                        <pic:spPr>
                          <a:xfrm>
                            <a:off x="0" y="0"/>
                            <a:ext cx="3162300" cy="23717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04" w:type="dxa"/>
            <w:noWrap w:val="0"/>
            <w:vAlign w:val="center"/>
          </w:tcPr>
          <w:p>
            <w:pPr>
              <w:tabs>
                <w:tab w:val="left" w:pos="2310"/>
              </w:tabs>
              <w:jc w:val="center"/>
              <w:rPr>
                <w:rFonts w:hint="eastAsia" w:eastAsia="宋体"/>
                <w:sz w:val="24"/>
                <w:lang w:eastAsia="zh-CN"/>
              </w:rPr>
            </w:pPr>
            <w:r>
              <w:rPr>
                <w:rFonts w:hint="eastAsia"/>
                <w:sz w:val="24"/>
              </w:rPr>
              <w:t>项目</w:t>
            </w:r>
            <w:r>
              <w:rPr>
                <w:rFonts w:hint="eastAsia"/>
                <w:sz w:val="24"/>
                <w:lang w:eastAsia="zh-CN"/>
              </w:rPr>
              <w:t>东侧</w:t>
            </w:r>
          </w:p>
        </w:tc>
        <w:tc>
          <w:tcPr>
            <w:tcW w:w="5205" w:type="dxa"/>
            <w:noWrap w:val="0"/>
            <w:vAlign w:val="center"/>
          </w:tcPr>
          <w:p>
            <w:pPr>
              <w:tabs>
                <w:tab w:val="left" w:pos="2310"/>
              </w:tabs>
              <w:jc w:val="center"/>
              <w:rPr>
                <w:rFonts w:hint="eastAsia"/>
                <w:sz w:val="24"/>
              </w:rPr>
            </w:pPr>
            <w:r>
              <w:rPr>
                <w:rFonts w:hint="eastAsia"/>
                <w:sz w:val="24"/>
              </w:rPr>
              <w:t>项目</w:t>
            </w:r>
            <w:r>
              <w:rPr>
                <w:rFonts w:hint="eastAsia"/>
                <w:sz w:val="24"/>
                <w:lang w:eastAsia="zh-CN"/>
              </w:rPr>
              <w:t>西侧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04" w:type="dxa"/>
            <w:noWrap w:val="0"/>
            <w:vAlign w:val="center"/>
          </w:tcPr>
          <w:p>
            <w:pPr>
              <w:tabs>
                <w:tab w:val="left" w:pos="2310"/>
              </w:tabs>
              <w:jc w:val="center"/>
              <w:rPr>
                <w:rFonts w:hint="eastAsia" w:eastAsia="宋体"/>
                <w:sz w:val="24"/>
                <w:lang w:eastAsia="zh-CN"/>
              </w:rPr>
            </w:pPr>
            <w:r>
              <w:rPr>
                <w:rFonts w:hint="eastAsia" w:eastAsia="宋体"/>
                <w:sz w:val="24"/>
                <w:lang w:eastAsia="zh-CN"/>
              </w:rPr>
              <w:drawing>
                <wp:inline distT="0" distB="0" distL="114300" distR="114300">
                  <wp:extent cx="3162300" cy="2371725"/>
                  <wp:effectExtent l="0" t="0" r="0" b="9525"/>
                  <wp:docPr id="39" name="图片 39" descr="e061dbd7d2dd06df4dc014906327b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e061dbd7d2dd06df4dc014906327b1e"/>
                          <pic:cNvPicPr>
                            <a:picLocks noChangeAspect="1"/>
                          </pic:cNvPicPr>
                        </pic:nvPicPr>
                        <pic:blipFill>
                          <a:blip r:embed="rId29"/>
                          <a:stretch>
                            <a:fillRect/>
                          </a:stretch>
                        </pic:blipFill>
                        <pic:spPr>
                          <a:xfrm>
                            <a:off x="0" y="0"/>
                            <a:ext cx="3162300" cy="2371725"/>
                          </a:xfrm>
                          <a:prstGeom prst="rect">
                            <a:avLst/>
                          </a:prstGeom>
                        </pic:spPr>
                      </pic:pic>
                    </a:graphicData>
                  </a:graphic>
                </wp:inline>
              </w:drawing>
            </w:r>
          </w:p>
        </w:tc>
        <w:tc>
          <w:tcPr>
            <w:tcW w:w="5205" w:type="dxa"/>
            <w:noWrap w:val="0"/>
            <w:vAlign w:val="center"/>
          </w:tcPr>
          <w:p>
            <w:pPr>
              <w:tabs>
                <w:tab w:val="left" w:pos="2310"/>
              </w:tabs>
              <w:jc w:val="center"/>
              <w:rPr>
                <w:rFonts w:hint="eastAsia"/>
                <w:sz w:val="24"/>
              </w:rPr>
            </w:pPr>
            <w:r>
              <w:drawing>
                <wp:inline distT="0" distB="0" distL="114300" distR="114300">
                  <wp:extent cx="3161030" cy="2372360"/>
                  <wp:effectExtent l="0" t="0" r="1270" b="8890"/>
                  <wp:docPr id="40" name="图片 6"/>
                  <wp:cNvGraphicFramePr/>
                  <a:graphic xmlns:a="http://schemas.openxmlformats.org/drawingml/2006/main">
                    <a:graphicData uri="http://schemas.openxmlformats.org/drawingml/2006/picture">
                      <pic:pic xmlns:pic="http://schemas.openxmlformats.org/drawingml/2006/picture">
                        <pic:nvPicPr>
                          <pic:cNvPr id="40" name="图片 6"/>
                          <pic:cNvPicPr/>
                        </pic:nvPicPr>
                        <pic:blipFill>
                          <a:blip r:embed="rId30"/>
                          <a:stretch>
                            <a:fillRect/>
                          </a:stretch>
                        </pic:blipFill>
                        <pic:spPr>
                          <a:xfrm>
                            <a:off x="0" y="0"/>
                            <a:ext cx="3161030" cy="237236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04" w:type="dxa"/>
            <w:noWrap w:val="0"/>
            <w:vAlign w:val="center"/>
          </w:tcPr>
          <w:p>
            <w:pPr>
              <w:tabs>
                <w:tab w:val="left" w:pos="2310"/>
              </w:tabs>
              <w:jc w:val="center"/>
              <w:rPr>
                <w:rFonts w:hint="eastAsia" w:eastAsia="宋体"/>
                <w:sz w:val="24"/>
                <w:lang w:eastAsia="zh-CN"/>
              </w:rPr>
            </w:pPr>
            <w:r>
              <w:rPr>
                <w:rFonts w:hint="eastAsia"/>
                <w:sz w:val="24"/>
              </w:rPr>
              <w:t>项目</w:t>
            </w:r>
            <w:r>
              <w:rPr>
                <w:rFonts w:hint="eastAsia"/>
                <w:sz w:val="24"/>
                <w:lang w:eastAsia="zh-CN"/>
              </w:rPr>
              <w:t>南侧</w:t>
            </w:r>
          </w:p>
        </w:tc>
        <w:tc>
          <w:tcPr>
            <w:tcW w:w="5205" w:type="dxa"/>
            <w:noWrap w:val="0"/>
            <w:vAlign w:val="center"/>
          </w:tcPr>
          <w:p>
            <w:pPr>
              <w:tabs>
                <w:tab w:val="left" w:pos="2310"/>
              </w:tabs>
              <w:jc w:val="center"/>
              <w:rPr>
                <w:rFonts w:hint="eastAsia"/>
                <w:sz w:val="24"/>
              </w:rPr>
            </w:pPr>
            <w:r>
              <w:rPr>
                <w:rFonts w:hint="eastAsia"/>
                <w:sz w:val="24"/>
              </w:rPr>
              <w:t>项目</w:t>
            </w:r>
            <w:r>
              <w:rPr>
                <w:rFonts w:hint="eastAsia"/>
                <w:sz w:val="24"/>
                <w:lang w:eastAsia="zh-CN"/>
              </w:rPr>
              <w:t>北侧</w:t>
            </w:r>
          </w:p>
        </w:tc>
      </w:tr>
    </w:tbl>
    <w:p>
      <w:pPr>
        <w:tabs>
          <w:tab w:val="left" w:pos="1822"/>
        </w:tabs>
        <w:bidi w:val="0"/>
        <w:jc w:val="left"/>
        <w:rPr>
          <w:rFonts w:hint="eastAsia" w:eastAsia="宋体"/>
          <w:lang w:eastAsia="zh-CN"/>
        </w:rPr>
      </w:pPr>
      <w:r>
        <w:rPr>
          <w:sz w:val="24"/>
        </w:rPr>
        <w:pict>
          <v:shape id="文本框 41" o:spid="_x0000_s2052" o:spt="202" type="#_x0000_t202" style="position:absolute;left:0pt;margin-left:77.35pt;margin-top:4.15pt;height:34.95pt;width:245pt;z-index:251680768;mso-width-relative:page;mso-height-relative:page;" fillcolor="#FFFFFF" filled="t" stroked="f" coordsize="21600,21600" o:gfxdata="UEsDBAoAAAAAAIdO4kAAAAAAAAAAAAAAAAAEAAAAZHJzL1BLAwQUAAAACACHTuJA78d359MAAAAI&#10;AQAADwAAAGRycy9kb3ducmV2LnhtbE2Py07DMBBF90j8gzVI7KiTEtooxOkCiS0SbenajYc4wh5H&#10;tvv8eqYrWB7dqztn2tXZO3HEmMZACspZAQKpD2akQcF28/5Ug0hZk9EuECq4YIJVd3/X6saEE33i&#10;cZ0HwSOUGq3A5jw1UqbeotdpFiYkzr5D9DozxkGaqE887p2cF8VCej0SX7B6wjeL/c/64BXsBn/d&#10;fZVTtMa7ij6ul802jEo9PpTFK4iM5/xXhps+q0PHTvtwIJOEY36pllxVUD+D4HxR3XivYFnPQXat&#10;/P9A9wtQSwMEFAAAAAgAh07iQMHmrQdfAgAAnQQAAA4AAABkcnMvZTJvRG9jLnhtbK1UwW7bMAy9&#10;D9g/CLqvjhsnTYI6RdYiw4BiLZANOyuyHAuQRE1SYncfsP1BT7vsvu/Kd4ySk7brduhhOTiU+Ezy&#10;PZI+v+i0IjvhvART0vxkQIkwHCppNiX99HH5ZkKJD8xUTIERJb0Tnl7MX786b+1MnEIDqhKOYBDj&#10;Z60taROCnWWZ543QzJ+AFQadNTjNAh7dJqscazG6VtnpYDDOWnCVdcCF93h71TvpIaJ7SUCoa8nF&#10;FfCtFib0UZ1QLCAl30jr6TxVW9eCh5u69iIQVVJkGtITk6C9js9sfs5mG8dsI/mhBPaSEp5x0kwa&#10;TPoQ6ooFRrZO/hVKS+7AQx1OOOisJ5IUQRb54Jk2q4ZZkbig1N4+iO7/X1j+YXfriKxKWuSUGKax&#10;4/v77/sfv/Y/vxG8Q4Fa62eIW1lEhu4tdDg2x3uPl5F3Vzsd/5ERif7psJgUI0ruSjotzorJcNRL&#10;LbpAOAKGeZ6PBtgFjoiiGE7GCZA9RrLOh3cCNIlGSR22MinMdtc+YFUIPUJiYg9KVkupVDq4zfpS&#10;ObJj2PZl+sX0+MofMGVIW9LxcDRIkQ3E93ucMgiPxHuC0QrdujuosYbqDsVw0M+Tt3wpscpr5sMt&#10;czhASAxXLNzgo1aASeBgUdKA+/qv+4jHvqKXkhYHsqT+y5Y5QYl6b7Dj07wo4gSnQzE6O8WDe+pZ&#10;P/WYrb4EJI9NxeqSGfFBHc3agf6Mm7iIWdHFDMfcJQ1H8zL0a4KbzMVikUA4s5aFa7OyPIaOUhtY&#10;bAPUMrUkytRrc1APpzbJftiwuBZPzwn1+FWZ/wZ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Dvx3fn&#10;0wAAAAgBAAAPAAAAAAAAAAEAIAAAACIAAABkcnMvZG93bnJldi54bWxQSwECFAAUAAAACACHTuJA&#10;weatB18CAACdBAAADgAAAAAAAAABACAAAAAiAQAAZHJzL2Uyb0RvYy54bWxQSwUGAAAAAAYABgBZ&#10;AQAA8wUAAAAA&#10;">
            <v:path/>
            <v:fill on="t" focussize="0,0"/>
            <v:stroke on="f" weight="0.5pt"/>
            <v:imagedata o:title=""/>
            <o:lock v:ext="edit" aspectratio="f"/>
            <v:textbox>
              <w:txbxContent>
                <w:p>
                  <w:r>
                    <w:rPr>
                      <w:rFonts w:hint="eastAsia" w:ascii="黑体" w:hAnsi="黑体" w:eastAsia="黑体"/>
                      <w:sz w:val="30"/>
                      <w:szCs w:val="30"/>
                    </w:rPr>
                    <w:t>附图</w:t>
                  </w:r>
                  <w:r>
                    <w:rPr>
                      <w:rFonts w:hint="eastAsia" w:ascii="黑体" w:hAnsi="黑体" w:eastAsia="黑体"/>
                      <w:sz w:val="30"/>
                      <w:szCs w:val="30"/>
                      <w:lang w:eastAsia="zh-CN"/>
                    </w:rPr>
                    <w:t>五</w:t>
                  </w:r>
                  <w:r>
                    <w:rPr>
                      <w:rFonts w:hint="eastAsia" w:ascii="黑体" w:hAnsi="黑体" w:eastAsia="黑体"/>
                      <w:sz w:val="30"/>
                      <w:szCs w:val="30"/>
                    </w:rPr>
                    <w:t xml:space="preserve">        项目厂区现状图</w:t>
                  </w:r>
                </w:p>
              </w:txbxContent>
            </v:textbox>
          </v:shape>
        </w:pict>
      </w:r>
    </w:p>
    <w:p>
      <w:pPr>
        <w:pStyle w:val="11"/>
        <w:jc w:val="right"/>
        <w:rPr>
          <w:rFonts w:hint="default" w:ascii="Times New Roman" w:hAnsi="Times New Roman"/>
          <w:b/>
          <w:bCs/>
          <w:sz w:val="28"/>
          <w:szCs w:val="28"/>
          <w:lang w:val="en-US" w:eastAsia="zh-CN"/>
        </w:rPr>
      </w:pPr>
      <w:r>
        <w:rPr>
          <w:rFonts w:hint="eastAsia" w:ascii="Times New Roman" w:hAnsi="Times New Roman"/>
          <w:b/>
          <w:bCs/>
          <w:sz w:val="28"/>
          <w:szCs w:val="28"/>
          <w:lang w:eastAsia="zh-CN"/>
        </w:rPr>
        <w:t>附件</w:t>
      </w:r>
      <w:r>
        <w:rPr>
          <w:rFonts w:hint="eastAsia" w:ascii="Times New Roman" w:hAnsi="Times New Roman"/>
          <w:b/>
          <w:bCs/>
          <w:sz w:val="28"/>
          <w:szCs w:val="28"/>
          <w:lang w:val="en-US" w:eastAsia="zh-CN"/>
        </w:rPr>
        <w:t>1</w:t>
      </w:r>
    </w:p>
    <w:p>
      <w:pPr>
        <w:pStyle w:val="11"/>
        <w:jc w:val="right"/>
        <w:rPr>
          <w:rFonts w:hint="eastAsia" w:ascii="Times New Roman" w:hAnsi="Times New Roman"/>
          <w:b/>
          <w:bCs/>
          <w:sz w:val="28"/>
          <w:szCs w:val="28"/>
          <w:lang w:eastAsia="zh-CN"/>
        </w:rPr>
      </w:pPr>
      <w:r>
        <w:rPr>
          <w:rFonts w:hint="eastAsia" w:ascii="Times New Roman" w:hAnsi="Times New Roman"/>
          <w:b/>
          <w:bCs/>
          <w:sz w:val="28"/>
          <w:szCs w:val="28"/>
          <w:lang w:eastAsia="zh-CN"/>
        </w:rPr>
        <w:drawing>
          <wp:inline distT="0" distB="0" distL="114300" distR="114300">
            <wp:extent cx="5261610" cy="6851650"/>
            <wp:effectExtent l="0" t="0" r="15240" b="6350"/>
            <wp:docPr id="24" name="图片 24" descr="13250659334345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13250659334345600"/>
                    <pic:cNvPicPr>
                      <a:picLocks noChangeAspect="1"/>
                    </pic:cNvPicPr>
                  </pic:nvPicPr>
                  <pic:blipFill>
                    <a:blip r:embed="rId31"/>
                    <a:stretch>
                      <a:fillRect/>
                    </a:stretch>
                  </pic:blipFill>
                  <pic:spPr>
                    <a:xfrm>
                      <a:off x="0" y="0"/>
                      <a:ext cx="5261610" cy="6851650"/>
                    </a:xfrm>
                    <a:prstGeom prst="rect">
                      <a:avLst/>
                    </a:prstGeom>
                  </pic:spPr>
                </pic:pic>
              </a:graphicData>
            </a:graphic>
          </wp:inline>
        </w:drawing>
      </w:r>
    </w:p>
    <w:p>
      <w:pPr>
        <w:pStyle w:val="11"/>
        <w:jc w:val="right"/>
        <w:rPr>
          <w:rFonts w:hint="eastAsia" w:ascii="Times New Roman" w:hAnsi="Times New Roman"/>
          <w:b/>
          <w:bCs/>
          <w:sz w:val="28"/>
          <w:szCs w:val="28"/>
          <w:lang w:eastAsia="zh-CN"/>
        </w:rPr>
      </w:pPr>
    </w:p>
    <w:p>
      <w:pPr>
        <w:pStyle w:val="11"/>
        <w:jc w:val="right"/>
        <w:rPr>
          <w:rFonts w:hint="eastAsia" w:ascii="Times New Roman" w:hAnsi="Times New Roman"/>
          <w:b/>
          <w:bCs/>
          <w:sz w:val="28"/>
          <w:szCs w:val="28"/>
          <w:lang w:eastAsia="zh-CN"/>
        </w:rPr>
      </w:pPr>
    </w:p>
    <w:p>
      <w:pPr>
        <w:pStyle w:val="11"/>
        <w:jc w:val="right"/>
        <w:rPr>
          <w:rFonts w:hint="eastAsia" w:ascii="Times New Roman" w:hAnsi="Times New Roman"/>
          <w:b/>
          <w:bCs/>
          <w:sz w:val="28"/>
          <w:szCs w:val="28"/>
          <w:lang w:eastAsia="zh-CN"/>
        </w:rPr>
      </w:pPr>
    </w:p>
    <w:p>
      <w:pPr>
        <w:pStyle w:val="11"/>
        <w:jc w:val="right"/>
        <w:rPr>
          <w:rFonts w:hint="eastAsia" w:ascii="Times New Roman" w:hAnsi="Times New Roman"/>
          <w:b/>
          <w:bCs/>
          <w:sz w:val="28"/>
          <w:szCs w:val="28"/>
          <w:lang w:eastAsia="zh-CN"/>
        </w:rPr>
      </w:pPr>
    </w:p>
    <w:p>
      <w:pPr>
        <w:pStyle w:val="11"/>
        <w:jc w:val="right"/>
        <w:rPr>
          <w:rFonts w:hint="default" w:ascii="Times New Roman" w:hAnsi="Times New Roman"/>
          <w:b/>
          <w:bCs/>
          <w:sz w:val="28"/>
          <w:szCs w:val="28"/>
          <w:lang w:val="en-US" w:eastAsia="zh-CN"/>
        </w:rPr>
      </w:pPr>
      <w:r>
        <w:rPr>
          <w:rFonts w:hint="eastAsia" w:ascii="Times New Roman" w:hAnsi="Times New Roman"/>
          <w:b/>
          <w:bCs/>
          <w:sz w:val="28"/>
          <w:szCs w:val="28"/>
          <w:lang w:eastAsia="zh-CN"/>
        </w:rPr>
        <w:t>附件</w:t>
      </w:r>
      <w:r>
        <w:rPr>
          <w:rFonts w:hint="eastAsia" w:ascii="Times New Roman" w:hAnsi="Times New Roman"/>
          <w:b/>
          <w:bCs/>
          <w:sz w:val="28"/>
          <w:szCs w:val="28"/>
          <w:lang w:val="en-US" w:eastAsia="zh-CN"/>
        </w:rPr>
        <w:t>2</w:t>
      </w:r>
    </w:p>
    <w:p>
      <w:pPr>
        <w:pStyle w:val="31"/>
        <w:rPr>
          <w:rFonts w:hint="eastAsia" w:eastAsia="仿宋_GB2312"/>
          <w:lang w:eastAsia="zh-CN"/>
        </w:rPr>
      </w:pPr>
      <w:r>
        <w:rPr>
          <w:rFonts w:hint="eastAsia" w:eastAsia="仿宋_GB2312"/>
          <w:lang w:eastAsia="zh-CN"/>
        </w:rPr>
        <w:drawing>
          <wp:inline distT="0" distB="0" distL="114300" distR="114300">
            <wp:extent cx="4883150" cy="7919720"/>
            <wp:effectExtent l="0" t="0" r="12700" b="5080"/>
            <wp:docPr id="23" name="图片 23" descr="1300263facdde00f7f0d83eb6648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1300263facdde00f7f0d83eb6648366"/>
                    <pic:cNvPicPr>
                      <a:picLocks noChangeAspect="1"/>
                    </pic:cNvPicPr>
                  </pic:nvPicPr>
                  <pic:blipFill>
                    <a:blip r:embed="rId32"/>
                    <a:srcRect t="2009"/>
                    <a:stretch>
                      <a:fillRect/>
                    </a:stretch>
                  </pic:blipFill>
                  <pic:spPr>
                    <a:xfrm>
                      <a:off x="0" y="0"/>
                      <a:ext cx="4883150" cy="7919720"/>
                    </a:xfrm>
                    <a:prstGeom prst="rect">
                      <a:avLst/>
                    </a:prstGeom>
                  </pic:spPr>
                </pic:pic>
              </a:graphicData>
            </a:graphic>
          </wp:inline>
        </w:drawing>
      </w:r>
    </w:p>
    <w:p>
      <w:pPr>
        <w:rPr>
          <w:rFonts w:hint="eastAsia" w:eastAsia="仿宋_GB2312"/>
          <w:lang w:eastAsia="zh-CN"/>
        </w:rPr>
      </w:pPr>
      <w:r>
        <w:rPr>
          <w:rFonts w:hint="eastAsia" w:eastAsia="仿宋_GB2312"/>
          <w:lang w:eastAsia="zh-CN"/>
        </w:rPr>
        <w:br w:type="page"/>
      </w:r>
    </w:p>
    <w:p>
      <w:pPr>
        <w:pStyle w:val="11"/>
        <w:jc w:val="right"/>
        <w:rPr>
          <w:rFonts w:hint="default" w:ascii="Times New Roman" w:hAnsi="Times New Roman"/>
          <w:b/>
          <w:bCs/>
          <w:sz w:val="28"/>
          <w:szCs w:val="28"/>
          <w:lang w:val="en-US" w:eastAsia="zh-CN"/>
        </w:rPr>
      </w:pPr>
      <w:r>
        <w:rPr>
          <w:rFonts w:hint="eastAsia" w:ascii="Times New Roman" w:hAnsi="Times New Roman"/>
          <w:b/>
          <w:bCs/>
          <w:sz w:val="28"/>
          <w:szCs w:val="28"/>
          <w:lang w:eastAsia="zh-CN"/>
        </w:rPr>
        <w:t>附件</w:t>
      </w:r>
      <w:r>
        <w:rPr>
          <w:rFonts w:hint="eastAsia" w:ascii="Times New Roman" w:hAnsi="Times New Roman"/>
          <w:b/>
          <w:bCs/>
          <w:sz w:val="28"/>
          <w:szCs w:val="28"/>
          <w:lang w:val="en-US" w:eastAsia="zh-CN"/>
        </w:rPr>
        <w:t>3</w:t>
      </w:r>
    </w:p>
    <w:p>
      <w:pPr>
        <w:tabs>
          <w:tab w:val="left" w:pos="1140"/>
        </w:tabs>
        <w:jc w:val="center"/>
        <w:rPr>
          <w:rFonts w:hint="eastAsia" w:eastAsia="宋体"/>
          <w:b/>
          <w:bCs/>
          <w:lang w:eastAsia="zh-CN"/>
        </w:rPr>
      </w:pPr>
      <w:r>
        <w:rPr>
          <w:rFonts w:hint="eastAsia" w:eastAsia="宋体"/>
          <w:lang w:eastAsia="zh-CN"/>
        </w:rPr>
        <w:drawing>
          <wp:inline distT="0" distB="0" distL="114300" distR="114300">
            <wp:extent cx="5264150" cy="7022465"/>
            <wp:effectExtent l="0" t="0" r="12700" b="6985"/>
            <wp:docPr id="13" name="图片 13" descr="aceb21e9c9d1c9a383507833ec77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aceb21e9c9d1c9a383507833ec77500"/>
                    <pic:cNvPicPr>
                      <a:picLocks noChangeAspect="1"/>
                    </pic:cNvPicPr>
                  </pic:nvPicPr>
                  <pic:blipFill>
                    <a:blip r:embed="rId33"/>
                    <a:stretch>
                      <a:fillRect/>
                    </a:stretch>
                  </pic:blipFill>
                  <pic:spPr>
                    <a:xfrm>
                      <a:off x="0" y="0"/>
                      <a:ext cx="5264150" cy="7022465"/>
                    </a:xfrm>
                    <a:prstGeom prst="rect">
                      <a:avLst/>
                    </a:prstGeom>
                  </pic:spPr>
                </pic:pic>
              </a:graphicData>
            </a:graphic>
          </wp:inline>
        </w:drawing>
      </w:r>
    </w:p>
    <w:p>
      <w:r>
        <w:br w:type="page"/>
      </w:r>
    </w:p>
    <w:p>
      <w:pPr>
        <w:pStyle w:val="11"/>
        <w:jc w:val="right"/>
        <w:rPr>
          <w:rFonts w:hint="default" w:ascii="Times New Roman" w:hAnsi="Times New Roman"/>
          <w:b/>
          <w:bCs/>
          <w:sz w:val="28"/>
          <w:szCs w:val="28"/>
          <w:lang w:val="en-US" w:eastAsia="zh-CN"/>
        </w:rPr>
      </w:pPr>
      <w:r>
        <w:rPr>
          <w:rFonts w:hint="eastAsia" w:ascii="Times New Roman" w:hAnsi="Times New Roman"/>
          <w:b/>
          <w:bCs/>
          <w:sz w:val="28"/>
          <w:szCs w:val="28"/>
          <w:lang w:eastAsia="zh-CN"/>
        </w:rPr>
        <w:t>附件</w:t>
      </w:r>
      <w:r>
        <w:rPr>
          <w:rFonts w:hint="eastAsia" w:ascii="Times New Roman" w:hAnsi="Times New Roman"/>
          <w:b/>
          <w:bCs/>
          <w:sz w:val="28"/>
          <w:szCs w:val="28"/>
          <w:lang w:val="en-US" w:eastAsia="zh-CN"/>
        </w:rPr>
        <w:t>4</w:t>
      </w:r>
    </w:p>
    <w:p>
      <w:pPr>
        <w:pStyle w:val="31"/>
      </w:pPr>
      <w:r>
        <w:drawing>
          <wp:inline distT="0" distB="0" distL="114300" distR="114300">
            <wp:extent cx="5758180" cy="6297295"/>
            <wp:effectExtent l="0" t="0" r="13970" b="8255"/>
            <wp:docPr id="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
                    <pic:cNvPicPr>
                      <a:picLocks noChangeAspect="1"/>
                    </pic:cNvPicPr>
                  </pic:nvPicPr>
                  <pic:blipFill>
                    <a:blip r:embed="rId34"/>
                    <a:stretch>
                      <a:fillRect/>
                    </a:stretch>
                  </pic:blipFill>
                  <pic:spPr>
                    <a:xfrm>
                      <a:off x="0" y="0"/>
                      <a:ext cx="5758180" cy="6297295"/>
                    </a:xfrm>
                    <a:prstGeom prst="rect">
                      <a:avLst/>
                    </a:prstGeom>
                    <a:noFill/>
                    <a:ln>
                      <a:noFill/>
                    </a:ln>
                  </pic:spPr>
                </pic:pic>
              </a:graphicData>
            </a:graphic>
          </wp:inline>
        </w:drawing>
      </w:r>
    </w:p>
    <w:p>
      <w:r>
        <w:br w:type="page"/>
      </w:r>
    </w:p>
    <w:p>
      <w:pPr>
        <w:pStyle w:val="11"/>
        <w:jc w:val="right"/>
        <w:rPr>
          <w:rFonts w:hint="eastAsia" w:ascii="Times New Roman" w:hAnsi="Times New Roman"/>
          <w:b/>
          <w:bCs/>
          <w:sz w:val="28"/>
          <w:szCs w:val="28"/>
          <w:lang w:val="en-US" w:eastAsia="zh-CN"/>
        </w:rPr>
      </w:pPr>
      <w:r>
        <w:rPr>
          <w:rFonts w:hint="eastAsia" w:ascii="Times New Roman" w:hAnsi="Times New Roman"/>
          <w:b/>
          <w:bCs/>
          <w:sz w:val="28"/>
          <w:szCs w:val="28"/>
          <w:lang w:eastAsia="zh-CN"/>
        </w:rPr>
        <w:t>附件</w:t>
      </w:r>
      <w:r>
        <w:rPr>
          <w:rFonts w:hint="eastAsia" w:ascii="Times New Roman" w:hAnsi="Times New Roman"/>
          <w:b/>
          <w:bCs/>
          <w:sz w:val="28"/>
          <w:szCs w:val="28"/>
          <w:lang w:val="en-US" w:eastAsia="zh-CN"/>
        </w:rPr>
        <w:t>5</w:t>
      </w:r>
    </w:p>
    <w:p>
      <w:pPr>
        <w:pStyle w:val="11"/>
        <w:jc w:val="left"/>
        <w:rPr>
          <w:rFonts w:hint="eastAsia" w:eastAsia="宋体"/>
          <w:lang w:eastAsia="zh-CN"/>
        </w:rPr>
      </w:pPr>
      <w:r>
        <w:drawing>
          <wp:inline distT="0" distB="0" distL="114300" distR="114300">
            <wp:extent cx="5388610" cy="7635875"/>
            <wp:effectExtent l="0" t="0" r="2540" b="317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35"/>
                    <a:stretch>
                      <a:fillRect/>
                    </a:stretch>
                  </pic:blipFill>
                  <pic:spPr>
                    <a:xfrm>
                      <a:off x="0" y="0"/>
                      <a:ext cx="5388610" cy="7635875"/>
                    </a:xfrm>
                    <a:prstGeom prst="rect">
                      <a:avLst/>
                    </a:prstGeom>
                    <a:noFill/>
                    <a:ln>
                      <a:noFill/>
                    </a:ln>
                  </pic:spPr>
                </pic:pic>
              </a:graphicData>
            </a:graphic>
          </wp:inline>
        </w:drawing>
      </w:r>
      <w:r>
        <w:drawing>
          <wp:inline distT="0" distB="0" distL="114300" distR="114300">
            <wp:extent cx="5534660" cy="7807325"/>
            <wp:effectExtent l="0" t="0" r="8890" b="317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36"/>
                    <a:stretch>
                      <a:fillRect/>
                    </a:stretch>
                  </pic:blipFill>
                  <pic:spPr>
                    <a:xfrm>
                      <a:off x="0" y="0"/>
                      <a:ext cx="5534660" cy="7807325"/>
                    </a:xfrm>
                    <a:prstGeom prst="rect">
                      <a:avLst/>
                    </a:prstGeom>
                    <a:noFill/>
                    <a:ln>
                      <a:noFill/>
                    </a:ln>
                  </pic:spPr>
                </pic:pic>
              </a:graphicData>
            </a:graphic>
          </wp:inline>
        </w:drawing>
      </w:r>
      <w:r>
        <w:drawing>
          <wp:inline distT="0" distB="0" distL="114300" distR="114300">
            <wp:extent cx="5613400" cy="7969250"/>
            <wp:effectExtent l="0" t="0" r="6350" b="1270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37"/>
                    <a:stretch>
                      <a:fillRect/>
                    </a:stretch>
                  </pic:blipFill>
                  <pic:spPr>
                    <a:xfrm>
                      <a:off x="0" y="0"/>
                      <a:ext cx="5613400" cy="7969250"/>
                    </a:xfrm>
                    <a:prstGeom prst="rect">
                      <a:avLst/>
                    </a:prstGeom>
                    <a:noFill/>
                    <a:ln>
                      <a:noFill/>
                    </a:ln>
                  </pic:spPr>
                </pic:pic>
              </a:graphicData>
            </a:graphic>
          </wp:inline>
        </w:drawing>
      </w:r>
      <w:r>
        <w:drawing>
          <wp:inline distT="0" distB="0" distL="114300" distR="114300">
            <wp:extent cx="5560695" cy="7894955"/>
            <wp:effectExtent l="0" t="0" r="1905" b="1079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38"/>
                    <a:stretch>
                      <a:fillRect/>
                    </a:stretch>
                  </pic:blipFill>
                  <pic:spPr>
                    <a:xfrm>
                      <a:off x="0" y="0"/>
                      <a:ext cx="5560695" cy="7894955"/>
                    </a:xfrm>
                    <a:prstGeom prst="rect">
                      <a:avLst/>
                    </a:prstGeom>
                    <a:noFill/>
                    <a:ln>
                      <a:noFill/>
                    </a:ln>
                  </pic:spPr>
                </pic:pic>
              </a:graphicData>
            </a:graphic>
          </wp:inline>
        </w:drawing>
      </w:r>
      <w:r>
        <w:drawing>
          <wp:inline distT="0" distB="0" distL="114300" distR="114300">
            <wp:extent cx="5692775" cy="8045450"/>
            <wp:effectExtent l="0" t="0" r="3175" b="1270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39"/>
                    <a:stretch>
                      <a:fillRect/>
                    </a:stretch>
                  </pic:blipFill>
                  <pic:spPr>
                    <a:xfrm>
                      <a:off x="0" y="0"/>
                      <a:ext cx="5692775" cy="8045450"/>
                    </a:xfrm>
                    <a:prstGeom prst="rect">
                      <a:avLst/>
                    </a:prstGeom>
                    <a:noFill/>
                    <a:ln>
                      <a:noFill/>
                    </a:ln>
                  </pic:spPr>
                </pic:pic>
              </a:graphicData>
            </a:graphic>
          </wp:inline>
        </w:drawing>
      </w:r>
      <w:r>
        <w:drawing>
          <wp:inline distT="0" distB="0" distL="114300" distR="114300">
            <wp:extent cx="5591175" cy="7903845"/>
            <wp:effectExtent l="0" t="0" r="9525" b="190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40"/>
                    <a:stretch>
                      <a:fillRect/>
                    </a:stretch>
                  </pic:blipFill>
                  <pic:spPr>
                    <a:xfrm>
                      <a:off x="0" y="0"/>
                      <a:ext cx="5591175" cy="7903845"/>
                    </a:xfrm>
                    <a:prstGeom prst="rect">
                      <a:avLst/>
                    </a:prstGeom>
                    <a:noFill/>
                    <a:ln>
                      <a:noFill/>
                    </a:ln>
                  </pic:spPr>
                </pic:pic>
              </a:graphicData>
            </a:graphic>
          </wp:inline>
        </w:drawing>
      </w:r>
      <w:r>
        <w:drawing>
          <wp:inline distT="0" distB="0" distL="114300" distR="114300">
            <wp:extent cx="5625465" cy="7937500"/>
            <wp:effectExtent l="0" t="0" r="13335" b="635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41"/>
                    <a:stretch>
                      <a:fillRect/>
                    </a:stretch>
                  </pic:blipFill>
                  <pic:spPr>
                    <a:xfrm>
                      <a:off x="0" y="0"/>
                      <a:ext cx="5625465" cy="7937500"/>
                    </a:xfrm>
                    <a:prstGeom prst="rect">
                      <a:avLst/>
                    </a:prstGeom>
                    <a:noFill/>
                    <a:ln>
                      <a:noFill/>
                    </a:ln>
                  </pic:spPr>
                </pic:pic>
              </a:graphicData>
            </a:graphic>
          </wp:inline>
        </w:drawing>
      </w:r>
      <w:r>
        <w:drawing>
          <wp:inline distT="0" distB="0" distL="114300" distR="114300">
            <wp:extent cx="5797550" cy="8204835"/>
            <wp:effectExtent l="0" t="0" r="12700" b="571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42"/>
                    <a:stretch>
                      <a:fillRect/>
                    </a:stretch>
                  </pic:blipFill>
                  <pic:spPr>
                    <a:xfrm>
                      <a:off x="0" y="0"/>
                      <a:ext cx="5797550" cy="8204835"/>
                    </a:xfrm>
                    <a:prstGeom prst="rect">
                      <a:avLst/>
                    </a:prstGeom>
                    <a:noFill/>
                    <a:ln>
                      <a:noFill/>
                    </a:ln>
                  </pic:spPr>
                </pic:pic>
              </a:graphicData>
            </a:graphic>
          </wp:inline>
        </w:drawing>
      </w:r>
      <w:r>
        <w:rPr>
          <w:rFonts w:hint="eastAsia" w:eastAsia="宋体"/>
          <w:lang w:eastAsia="zh-CN"/>
        </w:rPr>
        <w:drawing>
          <wp:inline distT="0" distB="0" distL="114300" distR="114300">
            <wp:extent cx="5266690" cy="7900670"/>
            <wp:effectExtent l="0" t="0" r="10160" b="5080"/>
            <wp:docPr id="15" name="图片 15" descr="7a1211f0428f0307f699565f517ce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7a1211f0428f0307f699565f517ce02"/>
                    <pic:cNvPicPr>
                      <a:picLocks noChangeAspect="1"/>
                    </pic:cNvPicPr>
                  </pic:nvPicPr>
                  <pic:blipFill>
                    <a:blip r:embed="rId43"/>
                    <a:stretch>
                      <a:fillRect/>
                    </a:stretch>
                  </pic:blipFill>
                  <pic:spPr>
                    <a:xfrm>
                      <a:off x="0" y="0"/>
                      <a:ext cx="5266690" cy="7900670"/>
                    </a:xfrm>
                    <a:prstGeom prst="rect">
                      <a:avLst/>
                    </a:prstGeom>
                  </pic:spPr>
                </pic:pic>
              </a:graphicData>
            </a:graphic>
          </wp:inline>
        </w:drawing>
      </w:r>
      <w:r>
        <w:rPr>
          <w:rFonts w:hint="eastAsia" w:eastAsia="宋体"/>
          <w:lang w:eastAsia="zh-CN"/>
        </w:rPr>
        <w:drawing>
          <wp:inline distT="0" distB="0" distL="114300" distR="114300">
            <wp:extent cx="5264150" cy="7480935"/>
            <wp:effectExtent l="0" t="0" r="12700" b="5715"/>
            <wp:docPr id="16" name="图片 16" descr="a507a8c0b487d464a92437750c19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a507a8c0b487d464a92437750c19121"/>
                    <pic:cNvPicPr>
                      <a:picLocks noChangeAspect="1"/>
                    </pic:cNvPicPr>
                  </pic:nvPicPr>
                  <pic:blipFill>
                    <a:blip r:embed="rId44"/>
                    <a:stretch>
                      <a:fillRect/>
                    </a:stretch>
                  </pic:blipFill>
                  <pic:spPr>
                    <a:xfrm>
                      <a:off x="0" y="0"/>
                      <a:ext cx="5264150" cy="7480935"/>
                    </a:xfrm>
                    <a:prstGeom prst="rect">
                      <a:avLst/>
                    </a:prstGeom>
                  </pic:spPr>
                </pic:pic>
              </a:graphicData>
            </a:graphic>
          </wp:inline>
        </w:drawing>
      </w:r>
      <w:r>
        <w:rPr>
          <w:rFonts w:hint="eastAsia" w:eastAsia="宋体"/>
          <w:lang w:eastAsia="zh-CN"/>
        </w:rPr>
        <w:drawing>
          <wp:inline distT="0" distB="0" distL="114300" distR="114300">
            <wp:extent cx="5264150" cy="7388225"/>
            <wp:effectExtent l="0" t="0" r="12700" b="3175"/>
            <wp:docPr id="18" name="图片 18" descr="a4b50e361babce8fb3f17b0a8f5e2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a4b50e361babce8fb3f17b0a8f5e2d2"/>
                    <pic:cNvPicPr>
                      <a:picLocks noChangeAspect="1"/>
                    </pic:cNvPicPr>
                  </pic:nvPicPr>
                  <pic:blipFill>
                    <a:blip r:embed="rId45"/>
                    <a:stretch>
                      <a:fillRect/>
                    </a:stretch>
                  </pic:blipFill>
                  <pic:spPr>
                    <a:xfrm>
                      <a:off x="0" y="0"/>
                      <a:ext cx="5264150" cy="7388225"/>
                    </a:xfrm>
                    <a:prstGeom prst="rect">
                      <a:avLst/>
                    </a:prstGeom>
                  </pic:spPr>
                </pic:pic>
              </a:graphicData>
            </a:graphic>
          </wp:inline>
        </w:drawing>
      </w:r>
      <w:r>
        <w:rPr>
          <w:rFonts w:hint="eastAsia" w:eastAsia="宋体"/>
          <w:lang w:eastAsia="zh-CN"/>
        </w:rPr>
        <w:drawing>
          <wp:inline distT="0" distB="0" distL="114300" distR="114300">
            <wp:extent cx="5266690" cy="7802880"/>
            <wp:effectExtent l="0" t="0" r="10160" b="7620"/>
            <wp:docPr id="19" name="图片 19" descr="4c33e77a8b082d0d0094a3a85b09d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4c33e77a8b082d0d0094a3a85b09dcb"/>
                    <pic:cNvPicPr>
                      <a:picLocks noChangeAspect="1"/>
                    </pic:cNvPicPr>
                  </pic:nvPicPr>
                  <pic:blipFill>
                    <a:blip r:embed="rId46"/>
                    <a:stretch>
                      <a:fillRect/>
                    </a:stretch>
                  </pic:blipFill>
                  <pic:spPr>
                    <a:xfrm>
                      <a:off x="0" y="0"/>
                      <a:ext cx="5266690" cy="7802880"/>
                    </a:xfrm>
                    <a:prstGeom prst="rect">
                      <a:avLst/>
                    </a:prstGeom>
                  </pic:spPr>
                </pic:pic>
              </a:graphicData>
            </a:graphic>
          </wp:inline>
        </w:drawing>
      </w:r>
      <w:r>
        <w:rPr>
          <w:rFonts w:hint="eastAsia" w:eastAsia="宋体"/>
          <w:lang w:eastAsia="zh-CN"/>
        </w:rPr>
        <w:drawing>
          <wp:inline distT="0" distB="0" distL="114300" distR="114300">
            <wp:extent cx="5264150" cy="7656830"/>
            <wp:effectExtent l="0" t="0" r="12700" b="1270"/>
            <wp:docPr id="20" name="图片 20" descr="709372039b1fdb580289dd6268bc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709372039b1fdb580289dd6268bc845"/>
                    <pic:cNvPicPr>
                      <a:picLocks noChangeAspect="1"/>
                    </pic:cNvPicPr>
                  </pic:nvPicPr>
                  <pic:blipFill>
                    <a:blip r:embed="rId47"/>
                    <a:stretch>
                      <a:fillRect/>
                    </a:stretch>
                  </pic:blipFill>
                  <pic:spPr>
                    <a:xfrm>
                      <a:off x="0" y="0"/>
                      <a:ext cx="5264150" cy="7656830"/>
                    </a:xfrm>
                    <a:prstGeom prst="rect">
                      <a:avLst/>
                    </a:prstGeom>
                  </pic:spPr>
                </pic:pic>
              </a:graphicData>
            </a:graphic>
          </wp:inline>
        </w:drawing>
      </w:r>
      <w:r>
        <w:rPr>
          <w:rFonts w:hint="eastAsia" w:eastAsia="宋体"/>
          <w:lang w:eastAsia="zh-CN"/>
        </w:rPr>
        <w:drawing>
          <wp:inline distT="0" distB="0" distL="114300" distR="114300">
            <wp:extent cx="5262245" cy="7994015"/>
            <wp:effectExtent l="0" t="0" r="14605" b="6985"/>
            <wp:docPr id="21" name="图片 21" descr="120d1dd594bc1f3e5dea7426672a6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120d1dd594bc1f3e5dea7426672a6a8"/>
                    <pic:cNvPicPr>
                      <a:picLocks noChangeAspect="1"/>
                    </pic:cNvPicPr>
                  </pic:nvPicPr>
                  <pic:blipFill>
                    <a:blip r:embed="rId48"/>
                    <a:stretch>
                      <a:fillRect/>
                    </a:stretch>
                  </pic:blipFill>
                  <pic:spPr>
                    <a:xfrm>
                      <a:off x="0" y="0"/>
                      <a:ext cx="5262245" cy="7994015"/>
                    </a:xfrm>
                    <a:prstGeom prst="rect">
                      <a:avLst/>
                    </a:prstGeom>
                  </pic:spPr>
                </pic:pic>
              </a:graphicData>
            </a:graphic>
          </wp:inline>
        </w:drawing>
      </w:r>
      <w:r>
        <w:rPr>
          <w:rFonts w:hint="eastAsia" w:eastAsia="宋体"/>
          <w:lang w:eastAsia="zh-CN"/>
        </w:rPr>
        <w:drawing>
          <wp:inline distT="0" distB="0" distL="114300" distR="114300">
            <wp:extent cx="5266055" cy="7651115"/>
            <wp:effectExtent l="0" t="0" r="10795" b="6985"/>
            <wp:docPr id="22" name="图片 22" descr="7eb42875f1833957c87c8fa29e24b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7eb42875f1833957c87c8fa29e24b0e"/>
                    <pic:cNvPicPr>
                      <a:picLocks noChangeAspect="1"/>
                    </pic:cNvPicPr>
                  </pic:nvPicPr>
                  <pic:blipFill>
                    <a:blip r:embed="rId49"/>
                    <a:stretch>
                      <a:fillRect/>
                    </a:stretch>
                  </pic:blipFill>
                  <pic:spPr>
                    <a:xfrm>
                      <a:off x="0" y="0"/>
                      <a:ext cx="5266055" cy="7651115"/>
                    </a:xfrm>
                    <a:prstGeom prst="rect">
                      <a:avLst/>
                    </a:prstGeom>
                  </pic:spPr>
                </pic:pic>
              </a:graphicData>
            </a:graphic>
          </wp:inline>
        </w:drawing>
      </w:r>
      <w:r>
        <w:rPr>
          <w:rFonts w:hint="eastAsia" w:eastAsia="宋体"/>
          <w:lang w:eastAsia="zh-CN"/>
        </w:rPr>
        <w:drawing>
          <wp:inline distT="0" distB="0" distL="114300" distR="114300">
            <wp:extent cx="5266690" cy="7900670"/>
            <wp:effectExtent l="0" t="0" r="10160" b="5080"/>
            <wp:docPr id="44" name="图片 44" descr="504044768fb506d9526463f5fce0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504044768fb506d9526463f5fce0773"/>
                    <pic:cNvPicPr>
                      <a:picLocks noChangeAspect="1"/>
                    </pic:cNvPicPr>
                  </pic:nvPicPr>
                  <pic:blipFill>
                    <a:blip r:embed="rId50"/>
                    <a:stretch>
                      <a:fillRect/>
                    </a:stretch>
                  </pic:blipFill>
                  <pic:spPr>
                    <a:xfrm>
                      <a:off x="0" y="0"/>
                      <a:ext cx="5266690" cy="7900670"/>
                    </a:xfrm>
                    <a:prstGeom prst="rect">
                      <a:avLst/>
                    </a:prstGeom>
                  </pic:spPr>
                </pic:pic>
              </a:graphicData>
            </a:graphic>
          </wp:inline>
        </w:drawing>
      </w:r>
    </w:p>
    <w:p>
      <w:r>
        <w:br w:type="page"/>
      </w:r>
    </w:p>
    <w:p>
      <w:pPr>
        <w:pStyle w:val="11"/>
        <w:jc w:val="right"/>
        <w:rPr>
          <w:rFonts w:hint="eastAsia"/>
          <w:b/>
          <w:bCs/>
          <w:lang w:val="en-US" w:eastAsia="zh-CN"/>
        </w:rPr>
      </w:pPr>
      <w:r>
        <w:rPr>
          <w:rFonts w:hint="eastAsia" w:ascii="Times New Roman" w:hAnsi="Times New Roman"/>
          <w:b/>
          <w:bCs/>
          <w:sz w:val="28"/>
          <w:szCs w:val="28"/>
          <w:lang w:eastAsia="zh-CN"/>
        </w:rPr>
        <w:t>附件</w:t>
      </w:r>
      <w:r>
        <w:rPr>
          <w:rFonts w:hint="eastAsia" w:ascii="Times New Roman" w:hAnsi="Times New Roman"/>
          <w:b/>
          <w:bCs/>
          <w:sz w:val="28"/>
          <w:szCs w:val="28"/>
          <w:lang w:val="en-US" w:eastAsia="zh-CN"/>
        </w:rPr>
        <w:t>6</w:t>
      </w:r>
    </w:p>
    <w:p>
      <w:pPr>
        <w:pStyle w:val="2"/>
        <w:jc w:val="right"/>
        <w:rPr>
          <w:rFonts w:hint="default"/>
          <w:b/>
          <w:bCs/>
          <w:lang w:val="en-US" w:eastAsia="zh-CN"/>
        </w:rPr>
      </w:pPr>
      <w:r>
        <w:rPr>
          <w:rFonts w:hint="default"/>
          <w:b/>
          <w:bCs/>
          <w:lang w:val="en-US" w:eastAsia="zh-CN"/>
        </w:rPr>
        <w:drawing>
          <wp:anchor distT="0" distB="0" distL="114300" distR="114300" simplePos="0" relativeHeight="252058624" behindDoc="0" locked="0" layoutInCell="1" allowOverlap="1">
            <wp:simplePos x="0" y="0"/>
            <wp:positionH relativeFrom="column">
              <wp:posOffset>15875</wp:posOffset>
            </wp:positionH>
            <wp:positionV relativeFrom="paragraph">
              <wp:posOffset>132715</wp:posOffset>
            </wp:positionV>
            <wp:extent cx="5264150" cy="7465060"/>
            <wp:effectExtent l="0" t="0" r="12700" b="2540"/>
            <wp:wrapNone/>
            <wp:docPr id="45" name="图片 45" descr="250b114cb91b101cc6b3e3c760b30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250b114cb91b101cc6b3e3c760b309c"/>
                    <pic:cNvPicPr>
                      <a:picLocks noChangeAspect="1"/>
                    </pic:cNvPicPr>
                  </pic:nvPicPr>
                  <pic:blipFill>
                    <a:blip r:embed="rId51"/>
                    <a:stretch>
                      <a:fillRect/>
                    </a:stretch>
                  </pic:blipFill>
                  <pic:spPr>
                    <a:xfrm>
                      <a:off x="0" y="0"/>
                      <a:ext cx="5264150" cy="7465060"/>
                    </a:xfrm>
                    <a:prstGeom prst="rect">
                      <a:avLst/>
                    </a:prstGeom>
                  </pic:spPr>
                </pic:pic>
              </a:graphicData>
            </a:graphic>
          </wp:anchor>
        </w:drawing>
      </w: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jc w:val="right"/>
        <w:rPr>
          <w:rFonts w:hint="default"/>
          <w:lang w:val="en-US" w:eastAsia="zh-CN"/>
        </w:rPr>
        <w:sectPr>
          <w:pgSz w:w="11906" w:h="16838"/>
          <w:pgMar w:top="1440" w:right="1800" w:bottom="1440" w:left="1800" w:header="851" w:footer="992" w:gutter="0"/>
          <w:cols w:space="425" w:num="1"/>
          <w:docGrid w:type="lines" w:linePitch="312" w:charSpace="0"/>
        </w:sectPr>
      </w:pPr>
    </w:p>
    <w:p>
      <w:pPr>
        <w:pStyle w:val="2"/>
        <w:jc w:val="right"/>
        <w:rPr>
          <w:rFonts w:hint="eastAsia"/>
          <w:b/>
          <w:bCs/>
          <w:lang w:val="en-US" w:eastAsia="zh-CN"/>
        </w:rPr>
      </w:pPr>
      <w:r>
        <w:rPr>
          <w:rFonts w:hint="eastAsia"/>
          <w:b/>
          <w:bCs/>
          <w:lang w:val="en-US" w:eastAsia="zh-CN"/>
        </w:rPr>
        <w:t>附件7</w:t>
      </w:r>
    </w:p>
    <w:p>
      <w:pPr>
        <w:pStyle w:val="2"/>
        <w:rPr>
          <w:rFonts w:hint="default"/>
          <w:lang w:val="en-US" w:eastAsia="zh-CN"/>
        </w:rPr>
      </w:pPr>
      <w:r>
        <w:rPr>
          <w:rFonts w:hint="default"/>
          <w:lang w:val="en-US" w:eastAsia="zh-CN"/>
        </w:rPr>
        <w:drawing>
          <wp:anchor distT="0" distB="0" distL="114300" distR="114300" simplePos="0" relativeHeight="252059648" behindDoc="0" locked="0" layoutInCell="1" allowOverlap="1">
            <wp:simplePos x="0" y="0"/>
            <wp:positionH relativeFrom="column">
              <wp:posOffset>-287020</wp:posOffset>
            </wp:positionH>
            <wp:positionV relativeFrom="paragraph">
              <wp:posOffset>146685</wp:posOffset>
            </wp:positionV>
            <wp:extent cx="5888990" cy="7842885"/>
            <wp:effectExtent l="0" t="0" r="16510" b="5715"/>
            <wp:wrapNone/>
            <wp:docPr id="46" name="图片 46" descr="13250659335349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13250659335349600"/>
                    <pic:cNvPicPr>
                      <a:picLocks noChangeAspect="1"/>
                    </pic:cNvPicPr>
                  </pic:nvPicPr>
                  <pic:blipFill>
                    <a:blip r:embed="rId52"/>
                    <a:stretch>
                      <a:fillRect/>
                    </a:stretch>
                  </pic:blipFill>
                  <pic:spPr>
                    <a:xfrm>
                      <a:off x="0" y="0"/>
                      <a:ext cx="5888990" cy="7842885"/>
                    </a:xfrm>
                    <a:prstGeom prst="rect">
                      <a:avLst/>
                    </a:prstGeom>
                  </pic:spPr>
                </pic:pic>
              </a:graphicData>
            </a:graphic>
          </wp:anchor>
        </w:drawing>
      </w: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r>
        <w:rPr>
          <w:rFonts w:hint="default"/>
          <w:lang w:val="en-US" w:eastAsia="zh-CN"/>
        </w:rPr>
        <w:drawing>
          <wp:anchor distT="0" distB="0" distL="114300" distR="114300" simplePos="0" relativeHeight="252060672" behindDoc="1" locked="0" layoutInCell="1" allowOverlap="1">
            <wp:simplePos x="0" y="0"/>
            <wp:positionH relativeFrom="column">
              <wp:posOffset>5080</wp:posOffset>
            </wp:positionH>
            <wp:positionV relativeFrom="paragraph">
              <wp:posOffset>31750</wp:posOffset>
            </wp:positionV>
            <wp:extent cx="5261610" cy="7887335"/>
            <wp:effectExtent l="0" t="0" r="15240" b="18415"/>
            <wp:wrapThrough wrapText="bothSides">
              <wp:wrapPolygon>
                <wp:start x="0" y="0"/>
                <wp:lineTo x="0" y="21546"/>
                <wp:lineTo x="21506" y="21546"/>
                <wp:lineTo x="21506" y="0"/>
                <wp:lineTo x="0" y="0"/>
              </wp:wrapPolygon>
            </wp:wrapThrough>
            <wp:docPr id="47" name="图片 47" descr="13250659335007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13250659335007600"/>
                    <pic:cNvPicPr>
                      <a:picLocks noChangeAspect="1"/>
                    </pic:cNvPicPr>
                  </pic:nvPicPr>
                  <pic:blipFill>
                    <a:blip r:embed="rId53"/>
                    <a:stretch>
                      <a:fillRect/>
                    </a:stretch>
                  </pic:blipFill>
                  <pic:spPr>
                    <a:xfrm>
                      <a:off x="0" y="0"/>
                      <a:ext cx="5261610" cy="7887335"/>
                    </a:xfrm>
                    <a:prstGeom prst="rect">
                      <a:avLst/>
                    </a:prstGeom>
                  </pic:spPr>
                </pic:pic>
              </a:graphicData>
            </a:graphic>
          </wp:anchor>
        </w:drawing>
      </w:r>
    </w:p>
    <w:p>
      <w:pPr>
        <w:pStyle w:val="2"/>
        <w:rPr>
          <w:rFonts w:hint="default"/>
          <w:lang w:val="en-US" w:eastAsia="zh-CN"/>
        </w:rPr>
      </w:pPr>
    </w:p>
    <w:p>
      <w:pPr>
        <w:pStyle w:val="2"/>
        <w:rPr>
          <w:rFonts w:hint="default"/>
          <w:lang w:val="en-US" w:eastAsia="zh-CN"/>
        </w:rPr>
      </w:pPr>
      <w:r>
        <w:rPr>
          <w:rFonts w:hint="default"/>
          <w:lang w:val="en-US" w:eastAsia="zh-CN"/>
        </w:rPr>
        <w:drawing>
          <wp:anchor distT="0" distB="0" distL="114300" distR="114300" simplePos="0" relativeHeight="252061696" behindDoc="0" locked="0" layoutInCell="1" allowOverlap="1">
            <wp:simplePos x="0" y="0"/>
            <wp:positionH relativeFrom="column">
              <wp:posOffset>43180</wp:posOffset>
            </wp:positionH>
            <wp:positionV relativeFrom="paragraph">
              <wp:posOffset>368935</wp:posOffset>
            </wp:positionV>
            <wp:extent cx="5267960" cy="7973695"/>
            <wp:effectExtent l="0" t="0" r="8890" b="8255"/>
            <wp:wrapTopAndBottom/>
            <wp:docPr id="48" name="图片 48" descr="13250659334988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13250659334988600"/>
                    <pic:cNvPicPr>
                      <a:picLocks noChangeAspect="1"/>
                    </pic:cNvPicPr>
                  </pic:nvPicPr>
                  <pic:blipFill>
                    <a:blip r:embed="rId54"/>
                    <a:stretch>
                      <a:fillRect/>
                    </a:stretch>
                  </pic:blipFill>
                  <pic:spPr>
                    <a:xfrm>
                      <a:off x="0" y="0"/>
                      <a:ext cx="5267960" cy="7973695"/>
                    </a:xfrm>
                    <a:prstGeom prst="rect">
                      <a:avLst/>
                    </a:prstGeom>
                  </pic:spPr>
                </pic:pic>
              </a:graphicData>
            </a:graphic>
          </wp:anchor>
        </w:drawing>
      </w:r>
    </w:p>
    <w:p>
      <w:pPr>
        <w:pStyle w:val="2"/>
        <w:rPr>
          <w:rFonts w:hint="default"/>
          <w:lang w:val="en-US" w:eastAsia="zh-CN"/>
        </w:rPr>
      </w:pPr>
    </w:p>
    <w:p>
      <w:pPr>
        <w:pStyle w:val="2"/>
        <w:rPr>
          <w:rFonts w:hint="default"/>
          <w:lang w:val="en-US" w:eastAsia="zh-CN"/>
        </w:rPr>
      </w:pPr>
      <w:r>
        <w:rPr>
          <w:rFonts w:hint="default"/>
          <w:lang w:val="en-US" w:eastAsia="zh-CN"/>
        </w:rPr>
        <w:drawing>
          <wp:anchor distT="0" distB="0" distL="114300" distR="114300" simplePos="0" relativeHeight="252062720" behindDoc="0" locked="0" layoutInCell="1" allowOverlap="1">
            <wp:simplePos x="0" y="0"/>
            <wp:positionH relativeFrom="column">
              <wp:posOffset>-102870</wp:posOffset>
            </wp:positionH>
            <wp:positionV relativeFrom="paragraph">
              <wp:posOffset>176530</wp:posOffset>
            </wp:positionV>
            <wp:extent cx="5261610" cy="7849235"/>
            <wp:effectExtent l="0" t="0" r="15240" b="18415"/>
            <wp:wrapNone/>
            <wp:docPr id="49" name="图片 49" descr="13250659335358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13250659335358600"/>
                    <pic:cNvPicPr>
                      <a:picLocks noChangeAspect="1"/>
                    </pic:cNvPicPr>
                  </pic:nvPicPr>
                  <pic:blipFill>
                    <a:blip r:embed="rId55"/>
                    <a:stretch>
                      <a:fillRect/>
                    </a:stretch>
                  </pic:blipFill>
                  <pic:spPr>
                    <a:xfrm>
                      <a:off x="0" y="0"/>
                      <a:ext cx="5261610" cy="7849235"/>
                    </a:xfrm>
                    <a:prstGeom prst="rect">
                      <a:avLst/>
                    </a:prstGeom>
                  </pic:spPr>
                </pic:pic>
              </a:graphicData>
            </a:graphic>
          </wp:anchor>
        </w:drawing>
      </w: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r>
        <w:rPr>
          <w:rFonts w:hint="default"/>
          <w:lang w:val="en-US" w:eastAsia="zh-CN"/>
        </w:rPr>
        <w:drawing>
          <wp:anchor distT="0" distB="0" distL="114300" distR="114300" simplePos="0" relativeHeight="252063744" behindDoc="0" locked="0" layoutInCell="1" allowOverlap="1">
            <wp:simplePos x="0" y="0"/>
            <wp:positionH relativeFrom="column">
              <wp:posOffset>30480</wp:posOffset>
            </wp:positionH>
            <wp:positionV relativeFrom="paragraph">
              <wp:posOffset>114935</wp:posOffset>
            </wp:positionV>
            <wp:extent cx="5257800" cy="7891780"/>
            <wp:effectExtent l="0" t="0" r="0" b="13970"/>
            <wp:wrapNone/>
            <wp:docPr id="50" name="图片 50" descr="13250659335356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13250659335356600"/>
                    <pic:cNvPicPr>
                      <a:picLocks noChangeAspect="1"/>
                    </pic:cNvPicPr>
                  </pic:nvPicPr>
                  <pic:blipFill>
                    <a:blip r:embed="rId56"/>
                    <a:stretch>
                      <a:fillRect/>
                    </a:stretch>
                  </pic:blipFill>
                  <pic:spPr>
                    <a:xfrm>
                      <a:off x="0" y="0"/>
                      <a:ext cx="5257800" cy="7891780"/>
                    </a:xfrm>
                    <a:prstGeom prst="rect">
                      <a:avLst/>
                    </a:prstGeom>
                  </pic:spPr>
                </pic:pic>
              </a:graphicData>
            </a:graphic>
          </wp:anchor>
        </w:drawing>
      </w: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r>
        <w:rPr>
          <w:rFonts w:hint="default"/>
          <w:lang w:val="en-US" w:eastAsia="zh-CN"/>
        </w:rPr>
        <w:drawing>
          <wp:anchor distT="0" distB="0" distL="114300" distR="114300" simplePos="0" relativeHeight="252064768" behindDoc="0" locked="0" layoutInCell="1" allowOverlap="1">
            <wp:simplePos x="0" y="0"/>
            <wp:positionH relativeFrom="column">
              <wp:posOffset>-71120</wp:posOffset>
            </wp:positionH>
            <wp:positionV relativeFrom="paragraph">
              <wp:posOffset>144780</wp:posOffset>
            </wp:positionV>
            <wp:extent cx="5269865" cy="7783195"/>
            <wp:effectExtent l="0" t="0" r="6985" b="8255"/>
            <wp:wrapNone/>
            <wp:docPr id="51" name="图片 51" descr="1325065933536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13250659335361600"/>
                    <pic:cNvPicPr>
                      <a:picLocks noChangeAspect="1"/>
                    </pic:cNvPicPr>
                  </pic:nvPicPr>
                  <pic:blipFill>
                    <a:blip r:embed="rId57"/>
                    <a:stretch>
                      <a:fillRect/>
                    </a:stretch>
                  </pic:blipFill>
                  <pic:spPr>
                    <a:xfrm>
                      <a:off x="0" y="0"/>
                      <a:ext cx="5269865" cy="7783195"/>
                    </a:xfrm>
                    <a:prstGeom prst="rect">
                      <a:avLst/>
                    </a:prstGeom>
                  </pic:spPr>
                </pic:pic>
              </a:graphicData>
            </a:graphic>
          </wp:anchor>
        </w:drawing>
      </w: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r>
        <w:rPr>
          <w:rFonts w:hint="default"/>
          <w:lang w:val="en-US" w:eastAsia="zh-CN"/>
        </w:rPr>
        <w:drawing>
          <wp:anchor distT="0" distB="0" distL="114300" distR="114300" simplePos="0" relativeHeight="252067840" behindDoc="0" locked="0" layoutInCell="1" allowOverlap="1">
            <wp:simplePos x="0" y="0"/>
            <wp:positionH relativeFrom="column">
              <wp:posOffset>62230</wp:posOffset>
            </wp:positionH>
            <wp:positionV relativeFrom="paragraph">
              <wp:posOffset>138430</wp:posOffset>
            </wp:positionV>
            <wp:extent cx="5261610" cy="7933690"/>
            <wp:effectExtent l="0" t="0" r="15240" b="10160"/>
            <wp:wrapNone/>
            <wp:docPr id="52" name="图片 52" descr="c122ea92b2dfd6bd0bcc48821429c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c122ea92b2dfd6bd0bcc48821429c4a"/>
                    <pic:cNvPicPr>
                      <a:picLocks noChangeAspect="1"/>
                    </pic:cNvPicPr>
                  </pic:nvPicPr>
                  <pic:blipFill>
                    <a:blip r:embed="rId58"/>
                    <a:stretch>
                      <a:fillRect/>
                    </a:stretch>
                  </pic:blipFill>
                  <pic:spPr>
                    <a:xfrm>
                      <a:off x="0" y="0"/>
                      <a:ext cx="5261610" cy="7933690"/>
                    </a:xfrm>
                    <a:prstGeom prst="rect">
                      <a:avLst/>
                    </a:prstGeom>
                  </pic:spPr>
                </pic:pic>
              </a:graphicData>
            </a:graphic>
          </wp:anchor>
        </w:drawing>
      </w: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r>
        <w:rPr>
          <w:rFonts w:hint="default"/>
          <w:lang w:val="en-US" w:eastAsia="zh-CN"/>
        </w:rPr>
        <w:drawing>
          <wp:anchor distT="0" distB="0" distL="114300" distR="114300" simplePos="0" relativeHeight="252065792" behindDoc="0" locked="0" layoutInCell="1" allowOverlap="1">
            <wp:simplePos x="0" y="0"/>
            <wp:positionH relativeFrom="column">
              <wp:posOffset>-7620</wp:posOffset>
            </wp:positionH>
            <wp:positionV relativeFrom="paragraph">
              <wp:posOffset>189230</wp:posOffset>
            </wp:positionV>
            <wp:extent cx="5261610" cy="7898130"/>
            <wp:effectExtent l="0" t="0" r="15240" b="7620"/>
            <wp:wrapNone/>
            <wp:docPr id="53" name="图片 53" descr="13250659335376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13250659335376600"/>
                    <pic:cNvPicPr>
                      <a:picLocks noChangeAspect="1"/>
                    </pic:cNvPicPr>
                  </pic:nvPicPr>
                  <pic:blipFill>
                    <a:blip r:embed="rId59"/>
                    <a:stretch>
                      <a:fillRect/>
                    </a:stretch>
                  </pic:blipFill>
                  <pic:spPr>
                    <a:xfrm>
                      <a:off x="0" y="0"/>
                      <a:ext cx="5261610" cy="7898130"/>
                    </a:xfrm>
                    <a:prstGeom prst="rect">
                      <a:avLst/>
                    </a:prstGeom>
                  </pic:spPr>
                </pic:pic>
              </a:graphicData>
            </a:graphic>
          </wp:anchor>
        </w:drawing>
      </w: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r>
        <w:rPr>
          <w:rFonts w:hint="default"/>
          <w:lang w:val="en-US" w:eastAsia="zh-CN"/>
        </w:rPr>
        <w:drawing>
          <wp:anchor distT="0" distB="0" distL="114300" distR="114300" simplePos="0" relativeHeight="252066816" behindDoc="0" locked="0" layoutInCell="1" allowOverlap="1">
            <wp:simplePos x="0" y="0"/>
            <wp:positionH relativeFrom="column">
              <wp:posOffset>-7620</wp:posOffset>
            </wp:positionH>
            <wp:positionV relativeFrom="paragraph">
              <wp:posOffset>69850</wp:posOffset>
            </wp:positionV>
            <wp:extent cx="5260340" cy="7306945"/>
            <wp:effectExtent l="0" t="0" r="16510" b="8255"/>
            <wp:wrapNone/>
            <wp:docPr id="54" name="图片 54" descr="1325065933538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13250659335381600"/>
                    <pic:cNvPicPr>
                      <a:picLocks noChangeAspect="1"/>
                    </pic:cNvPicPr>
                  </pic:nvPicPr>
                  <pic:blipFill>
                    <a:blip r:embed="rId60"/>
                    <a:stretch>
                      <a:fillRect/>
                    </a:stretch>
                  </pic:blipFill>
                  <pic:spPr>
                    <a:xfrm>
                      <a:off x="0" y="0"/>
                      <a:ext cx="5260340" cy="7306945"/>
                    </a:xfrm>
                    <a:prstGeom prst="rect">
                      <a:avLst/>
                    </a:prstGeom>
                  </pic:spPr>
                </pic:pic>
              </a:graphicData>
            </a:graphic>
          </wp:anchor>
        </w:drawing>
      </w: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11"/>
        <w:jc w:val="left"/>
        <w:rPr>
          <w:rFonts w:hint="default"/>
          <w:lang w:val="en-US" w:eastAsia="zh-CN"/>
        </w:rPr>
      </w:pPr>
    </w:p>
    <w:p>
      <w:pPr>
        <w:pStyle w:val="11"/>
        <w:jc w:val="left"/>
        <w:rPr>
          <w:rFonts w:hint="default"/>
          <w:lang w:val="en-US" w:eastAsia="zh-CN"/>
        </w:rPr>
      </w:pPr>
    </w:p>
    <w:p>
      <w:pPr>
        <w:pStyle w:val="11"/>
        <w:jc w:val="left"/>
        <w:rPr>
          <w:rFonts w:hint="default"/>
          <w:lang w:val="en-US" w:eastAsia="zh-CN"/>
        </w:rPr>
      </w:pPr>
    </w:p>
    <w:p>
      <w:pPr>
        <w:pStyle w:val="11"/>
        <w:jc w:val="left"/>
        <w:rPr>
          <w:rFonts w:hint="default"/>
          <w:lang w:val="en-US" w:eastAsia="zh-CN"/>
        </w:rPr>
      </w:pPr>
    </w:p>
    <w:p>
      <w:pPr>
        <w:pStyle w:val="11"/>
        <w:jc w:val="left"/>
        <w:rPr>
          <w:rFonts w:hint="default"/>
          <w:lang w:val="en-US" w:eastAsia="zh-CN"/>
        </w:rPr>
      </w:pPr>
    </w:p>
    <w:p>
      <w:pPr>
        <w:pStyle w:val="11"/>
        <w:jc w:val="left"/>
        <w:rPr>
          <w:rFonts w:hint="default"/>
          <w:lang w:val="en-US" w:eastAsia="zh-CN"/>
        </w:rPr>
        <w:sectPr>
          <w:pgSz w:w="11906" w:h="16838"/>
          <w:pgMar w:top="1440" w:right="1800" w:bottom="1440" w:left="1800" w:header="851" w:footer="992" w:gutter="0"/>
          <w:cols w:space="425" w:num="1"/>
          <w:docGrid w:type="lines" w:linePitch="312" w:charSpace="0"/>
        </w:sectPr>
      </w:pPr>
    </w:p>
    <w:p>
      <w:pPr>
        <w:pStyle w:val="11"/>
        <w:jc w:val="left"/>
        <w:rPr>
          <w:rFonts w:hint="default"/>
          <w:lang w:val="en-US" w:eastAsia="zh-CN"/>
        </w:rPr>
      </w:pPr>
      <w:bookmarkStart w:id="3" w:name="_GoBack"/>
      <w:r>
        <w:rPr>
          <w:rFonts w:hint="default"/>
          <w:lang w:val="en-US" w:eastAsia="zh-CN"/>
        </w:rPr>
        <w:drawing>
          <wp:anchor distT="0" distB="0" distL="114300" distR="114300" simplePos="0" relativeHeight="252067840" behindDoc="0" locked="0" layoutInCell="1" allowOverlap="1">
            <wp:simplePos x="0" y="0"/>
            <wp:positionH relativeFrom="column">
              <wp:posOffset>1386205</wp:posOffset>
            </wp:positionH>
            <wp:positionV relativeFrom="paragraph">
              <wp:posOffset>-1818005</wp:posOffset>
            </wp:positionV>
            <wp:extent cx="6087745" cy="8609330"/>
            <wp:effectExtent l="0" t="0" r="1270" b="8255"/>
            <wp:wrapNone/>
            <wp:docPr id="55" name="图片 55" descr="13250659335362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13250659335362600"/>
                    <pic:cNvPicPr>
                      <a:picLocks noChangeAspect="1"/>
                    </pic:cNvPicPr>
                  </pic:nvPicPr>
                  <pic:blipFill>
                    <a:blip r:embed="rId61"/>
                    <a:stretch>
                      <a:fillRect/>
                    </a:stretch>
                  </pic:blipFill>
                  <pic:spPr>
                    <a:xfrm rot="5400000">
                      <a:off x="0" y="0"/>
                      <a:ext cx="6087745" cy="8609330"/>
                    </a:xfrm>
                    <a:prstGeom prst="rect">
                      <a:avLst/>
                    </a:prstGeom>
                  </pic:spPr>
                </pic:pic>
              </a:graphicData>
            </a:graphic>
          </wp:anchor>
        </w:drawing>
      </w:r>
      <w:bookmarkEnd w:id="3"/>
    </w:p>
    <w:sectPr>
      <w:pgSz w:w="16838" w:h="11906" w:orient="landscape"/>
      <w:pgMar w:top="1800" w:right="1440" w:bottom="1800" w:left="144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86"/>
    <w:family w:val="swiss"/>
    <w:pitch w:val="default"/>
    <w:sig w:usb0="E00002FF" w:usb1="4000ACFF" w:usb2="00000001" w:usb3="00000000" w:csb0="2000019F" w:csb1="00000000"/>
  </w:font>
  <w:font w:name="Calibri">
    <w:panose1 w:val="020F0502020204030204"/>
    <w:charset w:val="86"/>
    <w:family w:val="swiss"/>
    <w:pitch w:val="default"/>
    <w:sig w:usb0="E00002FF" w:usb1="4000ACFF" w:usb2="00000001" w:usb3="00000000" w:csb0="2000019F" w:csb1="00000000"/>
  </w:font>
  <w:font w:name="仿宋_GB2312">
    <w:altName w:val="仿宋"/>
    <w:panose1 w:val="00000000000000000000"/>
    <w:charset w:val="86"/>
    <w:family w:val="modern"/>
    <w:pitch w:val="default"/>
    <w:sig w:usb0="00000000" w:usb1="00000000" w:usb2="00000000" w:usb3="00000000" w:csb0="00040000" w:csb1="00000000"/>
  </w:font>
  <w:font w:name="楷体_GB2312">
    <w:altName w:val="楷体"/>
    <w:panose1 w:val="02010609030101010101"/>
    <w:charset w:val="86"/>
    <w:family w:val="modern"/>
    <w:pitch w:val="default"/>
    <w:sig w:usb0="00000000" w:usb1="00000000" w:usb2="00000010" w:usb3="00000000" w:csb0="00040000" w:csb1="00000000"/>
  </w:font>
  <w:font w:name="楷体">
    <w:panose1 w:val="02010609060101010101"/>
    <w:charset w:val="86"/>
    <w:family w:val="modern"/>
    <w:pitch w:val="default"/>
    <w:sig w:usb0="800002BF" w:usb1="38CF7CFA" w:usb2="00000016" w:usb3="00000000" w:csb0="00040001" w:csb1="00000000"/>
  </w:font>
  <w:font w:name="Wingdings 2">
    <w:panose1 w:val="05020102010507070707"/>
    <w:charset w:val="02"/>
    <w:family w:val="roman"/>
    <w:pitch w:val="default"/>
    <w:sig w:usb0="00000000" w:usb1="00000000" w:usb2="00000000" w:usb3="00000000" w:csb0="80000000"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rPr>
        <w:sz w:val="18"/>
      </w:rPr>
      <w:pict>
        <v:shape id="_x0000_s3073" o:spid="_x0000_s3073" o:spt="202" type="#_x0000_t202" style="position:absolute;left:0pt;margin-top:0pt;height:144pt;width:144pt;mso-position-horizontal:center;mso-position-horizontal-relative:margin;mso-wrap-style:none;z-index:251658240;mso-width-relative:page;mso-height-relative:page;" filled="f" stroked="f" coordsize="21600,21600">
          <v:path/>
          <v:fill on="f" focussize="0,0"/>
          <v:stroke on="f" endarrow="block"/>
          <v:imagedata o:title=""/>
          <o:lock v:ext="edit" aspectratio="f"/>
          <v:textbox inset="0mm,0mm,0mm,0mm" style="mso-fit-shape-to-text:t;">
            <w:txbxContent>
              <w:p>
                <w:pPr>
                  <w:pStyle w:val="15"/>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180" w:firstLineChars="10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rPr>
        <w:sz w:val="18"/>
      </w:rPr>
      <w:pict>
        <v:shape id="_x0000_s3077" o:spid="_x0000_s3077" o:spt="202" type="#_x0000_t202" style="position:absolute;left:0pt;margin-top:0pt;height:144pt;width:144pt;mso-position-horizontal:center;mso-position-horizontal-relative:margin;mso-wrap-style:none;z-index:251660288;mso-width-relative:page;mso-height-relative:page;" filled="f" stroked="f" coordsize="21600,21600">
          <v:path/>
          <v:fill on="f" focussize="0,0"/>
          <v:stroke on="f" endarrow="block"/>
          <v:imagedata o:title=""/>
          <o:lock v:ext="edit" aspectratio="f"/>
          <v:textbox inset="0mm,0mm,0mm,0mm" style="mso-fit-shape-to-text:t;">
            <w:txbxContent>
              <w:p>
                <w:pPr>
                  <w:pStyle w:val="15"/>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rPr>
        <w:sz w:val="18"/>
      </w:rPr>
      <w:pict>
        <v:shape id="_x0000_s3078" o:spid="_x0000_s3078" o:spt="202" type="#_x0000_t202" style="position:absolute;left:0pt;margin-top:0pt;height:144pt;width:144pt;mso-position-horizontal:center;mso-position-horizontal-relative:margin;mso-wrap-style:none;z-index:251661312;mso-width-relative:page;mso-height-relative:page;" filled="f" stroked="f" coordsize="21600,21600">
          <v:path/>
          <v:fill on="f" focussize="0,0"/>
          <v:stroke on="f" endarrow="block"/>
          <v:imagedata o:title=""/>
          <o:lock v:ext="edit" aspectratio="f"/>
          <v:textbox inset="0mm,0mm,0mm,0mm" style="mso-fit-shape-to-text:t;">
            <w:txbxContent>
              <w:p>
                <w:pPr>
                  <w:pStyle w:val="15"/>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w:t>
                </w:r>
                <w:r>
                  <w:rPr>
                    <w:rFonts w:hint="eastAsia"/>
                    <w:lang w:eastAsia="zh-CN"/>
                  </w:rPr>
                  <w:fldChar w:fldCharType="end"/>
                </w:r>
              </w:p>
            </w:txbxContent>
          </v:textbox>
        </v:shape>
      </w:pic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80C31D4"/>
    <w:multiLevelType w:val="multilevel"/>
    <w:tmpl w:val="480C31D4"/>
    <w:lvl w:ilvl="0" w:tentative="0">
      <w:start w:val="1"/>
      <w:numFmt w:val="decimal"/>
      <w:lvlText w:val="%1"/>
      <w:lvlJc w:val="left"/>
      <w:pPr>
        <w:tabs>
          <w:tab w:val="left" w:pos="465"/>
        </w:tabs>
        <w:ind w:left="105" w:firstLine="0"/>
      </w:pPr>
      <w:rPr>
        <w:rFonts w:hint="default" w:ascii="Times New Roman" w:hAnsi="Times New Roman"/>
        <w:b/>
        <w:i w:val="0"/>
        <w:sz w:val="24"/>
        <w:szCs w:val="24"/>
      </w:rPr>
    </w:lvl>
    <w:lvl w:ilvl="1" w:tentative="0">
      <w:start w:val="1"/>
      <w:numFmt w:val="decimal"/>
      <w:lvlText w:val="%1.%2"/>
      <w:lvlJc w:val="left"/>
      <w:pPr>
        <w:tabs>
          <w:tab w:val="left" w:pos="672"/>
        </w:tabs>
        <w:ind w:left="672" w:hanging="567"/>
      </w:pPr>
      <w:rPr>
        <w:rFonts w:hint="default" w:ascii="Times New Roman" w:hAnsi="Times New Roman"/>
        <w:b/>
        <w:i w:val="0"/>
        <w:sz w:val="24"/>
        <w:szCs w:val="24"/>
      </w:rPr>
    </w:lvl>
    <w:lvl w:ilvl="2" w:tentative="0">
      <w:start w:val="1"/>
      <w:numFmt w:val="decimal"/>
      <w:lvlText w:val="%1.%2.%3"/>
      <w:lvlJc w:val="left"/>
      <w:pPr>
        <w:tabs>
          <w:tab w:val="left" w:pos="825"/>
        </w:tabs>
        <w:ind w:left="105" w:firstLine="0"/>
      </w:pPr>
      <w:rPr>
        <w:rFonts w:hint="default" w:ascii="Times New Roman" w:hAnsi="Times New Roman" w:eastAsia="黑体" w:cs="Times New Roman"/>
        <w:b/>
        <w:i w:val="0"/>
        <w:caps w:val="0"/>
        <w:strike w:val="0"/>
        <w:dstrike w:val="0"/>
        <w:outline w:val="0"/>
        <w:shadow w:val="0"/>
        <w:emboss w:val="0"/>
        <w:imprint w:val="0"/>
        <w:snapToGrid w:val="0"/>
        <w:vanish w:val="0"/>
        <w:color w:val="333333"/>
        <w:spacing w:val="0"/>
        <w:w w:val="100"/>
        <w:kern w:val="0"/>
        <w:position w:val="0"/>
        <w:sz w:val="24"/>
        <w:szCs w:val="24"/>
        <w:u w:val="none"/>
        <w:vertAlign w:val="baseline"/>
      </w:rPr>
    </w:lvl>
    <w:lvl w:ilvl="3" w:tentative="0">
      <w:start w:val="1"/>
      <w:numFmt w:val="decimal"/>
      <w:pStyle w:val="6"/>
      <w:lvlText w:val="%1.%2.%3.%4"/>
      <w:lvlJc w:val="left"/>
      <w:pPr>
        <w:tabs>
          <w:tab w:val="left" w:pos="956"/>
        </w:tabs>
        <w:ind w:left="956" w:hanging="851"/>
      </w:pPr>
      <w:rPr>
        <w:rFonts w:hint="default" w:ascii="Times New Roman" w:hAnsi="Times New Roman"/>
        <w:b w:val="0"/>
        <w:i w:val="0"/>
        <w:sz w:val="26"/>
        <w:szCs w:val="26"/>
      </w:rPr>
    </w:lvl>
    <w:lvl w:ilvl="4" w:tentative="0">
      <w:start w:val="1"/>
      <w:numFmt w:val="decimal"/>
      <w:lvlText w:val="%1.%2.%3.%4.%5."/>
      <w:lvlJc w:val="left"/>
      <w:pPr>
        <w:tabs>
          <w:tab w:val="left" w:pos="1097"/>
        </w:tabs>
        <w:ind w:left="1097" w:hanging="992"/>
      </w:pPr>
      <w:rPr>
        <w:rFonts w:hint="eastAsia"/>
      </w:rPr>
    </w:lvl>
    <w:lvl w:ilvl="5" w:tentative="0">
      <w:start w:val="1"/>
      <w:numFmt w:val="decimal"/>
      <w:lvlText w:val="%1.%2.%3.%4.%5.%6."/>
      <w:lvlJc w:val="left"/>
      <w:pPr>
        <w:tabs>
          <w:tab w:val="left" w:pos="1239"/>
        </w:tabs>
        <w:ind w:left="1239" w:hanging="1134"/>
      </w:pPr>
      <w:rPr>
        <w:rFonts w:hint="eastAsia"/>
      </w:rPr>
    </w:lvl>
    <w:lvl w:ilvl="6" w:tentative="0">
      <w:start w:val="1"/>
      <w:numFmt w:val="decimal"/>
      <w:lvlText w:val="%1.%2.%3.%4.%5.%6.%7."/>
      <w:lvlJc w:val="left"/>
      <w:pPr>
        <w:tabs>
          <w:tab w:val="left" w:pos="1381"/>
        </w:tabs>
        <w:ind w:left="1381" w:hanging="1276"/>
      </w:pPr>
      <w:rPr>
        <w:rFonts w:hint="eastAsia"/>
      </w:rPr>
    </w:lvl>
    <w:lvl w:ilvl="7" w:tentative="0">
      <w:start w:val="1"/>
      <w:numFmt w:val="decimal"/>
      <w:lvlText w:val="%1.%2.%3.%4.%5.%6.%7.%8."/>
      <w:lvlJc w:val="left"/>
      <w:pPr>
        <w:tabs>
          <w:tab w:val="left" w:pos="1523"/>
        </w:tabs>
        <w:ind w:left="1523" w:hanging="1418"/>
      </w:pPr>
      <w:rPr>
        <w:rFonts w:hint="eastAsia"/>
      </w:rPr>
    </w:lvl>
    <w:lvl w:ilvl="8" w:tentative="0">
      <w:start w:val="1"/>
      <w:numFmt w:val="decimal"/>
      <w:lvlText w:val="%1.%2.%3.%4.%5.%6.%7.%8.%9."/>
      <w:lvlJc w:val="left"/>
      <w:pPr>
        <w:tabs>
          <w:tab w:val="left" w:pos="1664"/>
        </w:tabs>
        <w:ind w:left="1664" w:hanging="1559"/>
      </w:pPr>
      <w:rPr>
        <w:rFonts w:hint="eastAsia"/>
      </w:rPr>
    </w:lvl>
  </w:abstractNum>
  <w:abstractNum w:abstractNumId="1">
    <w:nsid w:val="65B9485C"/>
    <w:multiLevelType w:val="singleLevel"/>
    <w:tmpl w:val="65B9485C"/>
    <w:lvl w:ilvl="0" w:tentative="0">
      <w:start w:val="1"/>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bordersDoNotSurroundHeader w:val="0"/>
  <w:bordersDoNotSurroundFooter w:val="0"/>
  <w:hideSpellingErrors/>
  <w:documentProtection w:enforcement="0"/>
  <w:defaultTabStop w:val="420"/>
  <w:evenAndOddHeaders w:val="1"/>
  <w:drawingGridHorizontalSpacing w:val="105"/>
  <w:drawingGridVerticalSpacing w:val="156"/>
  <w:displayHorizontalDrawingGridEvery w:val="1"/>
  <w:displayVerticalDrawingGridEvery w:val="1"/>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rsids>
    <w:rsidRoot w:val="002A35D6"/>
    <w:rsid w:val="00000702"/>
    <w:rsid w:val="0000094D"/>
    <w:rsid w:val="00000C53"/>
    <w:rsid w:val="00000E6C"/>
    <w:rsid w:val="000020EC"/>
    <w:rsid w:val="000022BF"/>
    <w:rsid w:val="0000281C"/>
    <w:rsid w:val="00002886"/>
    <w:rsid w:val="00002A3E"/>
    <w:rsid w:val="00002CB3"/>
    <w:rsid w:val="000030E3"/>
    <w:rsid w:val="0000402B"/>
    <w:rsid w:val="000047CF"/>
    <w:rsid w:val="00004BD1"/>
    <w:rsid w:val="000056FD"/>
    <w:rsid w:val="00005753"/>
    <w:rsid w:val="00006CA0"/>
    <w:rsid w:val="000074A8"/>
    <w:rsid w:val="000075D9"/>
    <w:rsid w:val="00007720"/>
    <w:rsid w:val="00007D37"/>
    <w:rsid w:val="00010A72"/>
    <w:rsid w:val="0001111F"/>
    <w:rsid w:val="000111B0"/>
    <w:rsid w:val="000119B5"/>
    <w:rsid w:val="00011CAE"/>
    <w:rsid w:val="000120F5"/>
    <w:rsid w:val="00012DFA"/>
    <w:rsid w:val="00013208"/>
    <w:rsid w:val="0001462F"/>
    <w:rsid w:val="0001474D"/>
    <w:rsid w:val="00014A98"/>
    <w:rsid w:val="00014C33"/>
    <w:rsid w:val="00014EDF"/>
    <w:rsid w:val="00014F84"/>
    <w:rsid w:val="00015176"/>
    <w:rsid w:val="0001582C"/>
    <w:rsid w:val="00015ED0"/>
    <w:rsid w:val="00016404"/>
    <w:rsid w:val="00016B8C"/>
    <w:rsid w:val="00016DC4"/>
    <w:rsid w:val="00016E58"/>
    <w:rsid w:val="00017600"/>
    <w:rsid w:val="00017B7C"/>
    <w:rsid w:val="000207DB"/>
    <w:rsid w:val="000213F5"/>
    <w:rsid w:val="000223D0"/>
    <w:rsid w:val="00023F1C"/>
    <w:rsid w:val="0002417B"/>
    <w:rsid w:val="000247A3"/>
    <w:rsid w:val="00026E0E"/>
    <w:rsid w:val="000270A2"/>
    <w:rsid w:val="000272B7"/>
    <w:rsid w:val="000273B2"/>
    <w:rsid w:val="0003016D"/>
    <w:rsid w:val="000303EC"/>
    <w:rsid w:val="00030672"/>
    <w:rsid w:val="00030956"/>
    <w:rsid w:val="0003101A"/>
    <w:rsid w:val="000319AE"/>
    <w:rsid w:val="000325C2"/>
    <w:rsid w:val="0003292B"/>
    <w:rsid w:val="00033A91"/>
    <w:rsid w:val="0003491F"/>
    <w:rsid w:val="0003534B"/>
    <w:rsid w:val="000359AB"/>
    <w:rsid w:val="000367E4"/>
    <w:rsid w:val="00036E5B"/>
    <w:rsid w:val="00037077"/>
    <w:rsid w:val="000374E1"/>
    <w:rsid w:val="00037D62"/>
    <w:rsid w:val="00037DF1"/>
    <w:rsid w:val="00037F27"/>
    <w:rsid w:val="00040ACC"/>
    <w:rsid w:val="00040BCE"/>
    <w:rsid w:val="000415A0"/>
    <w:rsid w:val="000415AC"/>
    <w:rsid w:val="00041A06"/>
    <w:rsid w:val="00042B1E"/>
    <w:rsid w:val="000440E7"/>
    <w:rsid w:val="00044C51"/>
    <w:rsid w:val="00044DD0"/>
    <w:rsid w:val="00045909"/>
    <w:rsid w:val="000473FB"/>
    <w:rsid w:val="00050297"/>
    <w:rsid w:val="000506D8"/>
    <w:rsid w:val="000507BC"/>
    <w:rsid w:val="00050F0E"/>
    <w:rsid w:val="000519D5"/>
    <w:rsid w:val="00051AF3"/>
    <w:rsid w:val="00052C77"/>
    <w:rsid w:val="00053A7C"/>
    <w:rsid w:val="00053FB9"/>
    <w:rsid w:val="00054197"/>
    <w:rsid w:val="0005444F"/>
    <w:rsid w:val="00054F8C"/>
    <w:rsid w:val="00055051"/>
    <w:rsid w:val="00055ABE"/>
    <w:rsid w:val="00055D87"/>
    <w:rsid w:val="0005644F"/>
    <w:rsid w:val="00057AE1"/>
    <w:rsid w:val="00057B58"/>
    <w:rsid w:val="000601EA"/>
    <w:rsid w:val="00060949"/>
    <w:rsid w:val="00060F0B"/>
    <w:rsid w:val="0006229D"/>
    <w:rsid w:val="000631D3"/>
    <w:rsid w:val="00063228"/>
    <w:rsid w:val="000638AE"/>
    <w:rsid w:val="00063925"/>
    <w:rsid w:val="000649B1"/>
    <w:rsid w:val="00065106"/>
    <w:rsid w:val="00065EA2"/>
    <w:rsid w:val="00066087"/>
    <w:rsid w:val="000662D4"/>
    <w:rsid w:val="00066894"/>
    <w:rsid w:val="00066C7B"/>
    <w:rsid w:val="00070B9F"/>
    <w:rsid w:val="000712F8"/>
    <w:rsid w:val="000713E6"/>
    <w:rsid w:val="00071B72"/>
    <w:rsid w:val="00072BD5"/>
    <w:rsid w:val="00072D38"/>
    <w:rsid w:val="000740C6"/>
    <w:rsid w:val="00074A72"/>
    <w:rsid w:val="00075D73"/>
    <w:rsid w:val="00075DC0"/>
    <w:rsid w:val="00076FA5"/>
    <w:rsid w:val="000805CB"/>
    <w:rsid w:val="000819EA"/>
    <w:rsid w:val="00081B21"/>
    <w:rsid w:val="00082059"/>
    <w:rsid w:val="00082EC5"/>
    <w:rsid w:val="00083362"/>
    <w:rsid w:val="00083D95"/>
    <w:rsid w:val="00084698"/>
    <w:rsid w:val="00084C03"/>
    <w:rsid w:val="000850ED"/>
    <w:rsid w:val="0008558A"/>
    <w:rsid w:val="00086784"/>
    <w:rsid w:val="00086B1A"/>
    <w:rsid w:val="000876A0"/>
    <w:rsid w:val="00087DDB"/>
    <w:rsid w:val="00090F4D"/>
    <w:rsid w:val="000928DD"/>
    <w:rsid w:val="00093724"/>
    <w:rsid w:val="00093AC9"/>
    <w:rsid w:val="00093BC0"/>
    <w:rsid w:val="00093E0C"/>
    <w:rsid w:val="000945BF"/>
    <w:rsid w:val="000947BD"/>
    <w:rsid w:val="00094A8A"/>
    <w:rsid w:val="00094DEA"/>
    <w:rsid w:val="000969BF"/>
    <w:rsid w:val="0009740C"/>
    <w:rsid w:val="000974D7"/>
    <w:rsid w:val="00097CEA"/>
    <w:rsid w:val="000A0349"/>
    <w:rsid w:val="000A0AA0"/>
    <w:rsid w:val="000A1648"/>
    <w:rsid w:val="000A1DEB"/>
    <w:rsid w:val="000A2E97"/>
    <w:rsid w:val="000A32C2"/>
    <w:rsid w:val="000A35B1"/>
    <w:rsid w:val="000A4B2C"/>
    <w:rsid w:val="000A4B54"/>
    <w:rsid w:val="000A4EBA"/>
    <w:rsid w:val="000A62CA"/>
    <w:rsid w:val="000A7631"/>
    <w:rsid w:val="000B0019"/>
    <w:rsid w:val="000B0B8A"/>
    <w:rsid w:val="000B1068"/>
    <w:rsid w:val="000B10F0"/>
    <w:rsid w:val="000B1BE6"/>
    <w:rsid w:val="000B2C58"/>
    <w:rsid w:val="000B360D"/>
    <w:rsid w:val="000B3B12"/>
    <w:rsid w:val="000B3BFF"/>
    <w:rsid w:val="000B3C9C"/>
    <w:rsid w:val="000B443F"/>
    <w:rsid w:val="000B447D"/>
    <w:rsid w:val="000B4666"/>
    <w:rsid w:val="000B5C80"/>
    <w:rsid w:val="000B6A91"/>
    <w:rsid w:val="000B6AD3"/>
    <w:rsid w:val="000B7B61"/>
    <w:rsid w:val="000C0023"/>
    <w:rsid w:val="000C0D76"/>
    <w:rsid w:val="000C1696"/>
    <w:rsid w:val="000C2FD6"/>
    <w:rsid w:val="000C3D9D"/>
    <w:rsid w:val="000C449E"/>
    <w:rsid w:val="000C44D3"/>
    <w:rsid w:val="000C4A71"/>
    <w:rsid w:val="000C4F89"/>
    <w:rsid w:val="000C4FF6"/>
    <w:rsid w:val="000C502A"/>
    <w:rsid w:val="000C5430"/>
    <w:rsid w:val="000C56E6"/>
    <w:rsid w:val="000C6505"/>
    <w:rsid w:val="000C6850"/>
    <w:rsid w:val="000C6926"/>
    <w:rsid w:val="000C78B6"/>
    <w:rsid w:val="000C7CCB"/>
    <w:rsid w:val="000D0020"/>
    <w:rsid w:val="000D18CF"/>
    <w:rsid w:val="000D309D"/>
    <w:rsid w:val="000D30F1"/>
    <w:rsid w:val="000D34C5"/>
    <w:rsid w:val="000D55D5"/>
    <w:rsid w:val="000D5FC1"/>
    <w:rsid w:val="000D6EC8"/>
    <w:rsid w:val="000D73F0"/>
    <w:rsid w:val="000E050F"/>
    <w:rsid w:val="000E0E38"/>
    <w:rsid w:val="000E0EC2"/>
    <w:rsid w:val="000E1BB1"/>
    <w:rsid w:val="000E1EFD"/>
    <w:rsid w:val="000E247F"/>
    <w:rsid w:val="000E2DC2"/>
    <w:rsid w:val="000E320E"/>
    <w:rsid w:val="000E43D0"/>
    <w:rsid w:val="000E49F9"/>
    <w:rsid w:val="000E4A36"/>
    <w:rsid w:val="000E518F"/>
    <w:rsid w:val="000E5286"/>
    <w:rsid w:val="000E6064"/>
    <w:rsid w:val="000E65E6"/>
    <w:rsid w:val="000E7384"/>
    <w:rsid w:val="000E7543"/>
    <w:rsid w:val="000E7F09"/>
    <w:rsid w:val="000F0379"/>
    <w:rsid w:val="000F0FA8"/>
    <w:rsid w:val="000F1AA0"/>
    <w:rsid w:val="000F28B0"/>
    <w:rsid w:val="000F2D8B"/>
    <w:rsid w:val="000F2D9C"/>
    <w:rsid w:val="000F3896"/>
    <w:rsid w:val="000F3C70"/>
    <w:rsid w:val="000F3ED3"/>
    <w:rsid w:val="000F437B"/>
    <w:rsid w:val="000F50F5"/>
    <w:rsid w:val="000F53B0"/>
    <w:rsid w:val="000F6192"/>
    <w:rsid w:val="000F7729"/>
    <w:rsid w:val="000F7889"/>
    <w:rsid w:val="000F7D32"/>
    <w:rsid w:val="0010146A"/>
    <w:rsid w:val="00101543"/>
    <w:rsid w:val="00101742"/>
    <w:rsid w:val="001026CC"/>
    <w:rsid w:val="00103528"/>
    <w:rsid w:val="00103811"/>
    <w:rsid w:val="00103ACA"/>
    <w:rsid w:val="00103B67"/>
    <w:rsid w:val="0010412A"/>
    <w:rsid w:val="00105B21"/>
    <w:rsid w:val="00106102"/>
    <w:rsid w:val="001070D7"/>
    <w:rsid w:val="001070FF"/>
    <w:rsid w:val="00107FF8"/>
    <w:rsid w:val="00110894"/>
    <w:rsid w:val="001121B4"/>
    <w:rsid w:val="001122D7"/>
    <w:rsid w:val="00112926"/>
    <w:rsid w:val="00112B8D"/>
    <w:rsid w:val="00113AE0"/>
    <w:rsid w:val="00113EF1"/>
    <w:rsid w:val="001145C2"/>
    <w:rsid w:val="0011495A"/>
    <w:rsid w:val="001153B3"/>
    <w:rsid w:val="00116120"/>
    <w:rsid w:val="001165A8"/>
    <w:rsid w:val="00117ABF"/>
    <w:rsid w:val="00117C82"/>
    <w:rsid w:val="00120192"/>
    <w:rsid w:val="00120693"/>
    <w:rsid w:val="00120FE0"/>
    <w:rsid w:val="00121C90"/>
    <w:rsid w:val="00122840"/>
    <w:rsid w:val="00122961"/>
    <w:rsid w:val="0012440F"/>
    <w:rsid w:val="00124977"/>
    <w:rsid w:val="0012526D"/>
    <w:rsid w:val="001253B0"/>
    <w:rsid w:val="00125DBB"/>
    <w:rsid w:val="001266F6"/>
    <w:rsid w:val="00126ADA"/>
    <w:rsid w:val="00126C78"/>
    <w:rsid w:val="00127D59"/>
    <w:rsid w:val="00127E54"/>
    <w:rsid w:val="001300BD"/>
    <w:rsid w:val="00130452"/>
    <w:rsid w:val="00130D84"/>
    <w:rsid w:val="001313B7"/>
    <w:rsid w:val="00131EB4"/>
    <w:rsid w:val="00132EBE"/>
    <w:rsid w:val="0013361E"/>
    <w:rsid w:val="0013426D"/>
    <w:rsid w:val="00134FB3"/>
    <w:rsid w:val="00135323"/>
    <w:rsid w:val="00137635"/>
    <w:rsid w:val="001379C7"/>
    <w:rsid w:val="00137EE0"/>
    <w:rsid w:val="00140258"/>
    <w:rsid w:val="00140812"/>
    <w:rsid w:val="0014166A"/>
    <w:rsid w:val="00142D19"/>
    <w:rsid w:val="001430B5"/>
    <w:rsid w:val="00143700"/>
    <w:rsid w:val="00143983"/>
    <w:rsid w:val="001439C3"/>
    <w:rsid w:val="00143A77"/>
    <w:rsid w:val="00143B5C"/>
    <w:rsid w:val="00143D0A"/>
    <w:rsid w:val="001440DC"/>
    <w:rsid w:val="00144972"/>
    <w:rsid w:val="001449BF"/>
    <w:rsid w:val="00145255"/>
    <w:rsid w:val="001461F2"/>
    <w:rsid w:val="001462C6"/>
    <w:rsid w:val="00146B9F"/>
    <w:rsid w:val="00147569"/>
    <w:rsid w:val="001478BA"/>
    <w:rsid w:val="00147A2F"/>
    <w:rsid w:val="00147BBA"/>
    <w:rsid w:val="00147FCD"/>
    <w:rsid w:val="00150182"/>
    <w:rsid w:val="00150597"/>
    <w:rsid w:val="00151264"/>
    <w:rsid w:val="00151602"/>
    <w:rsid w:val="001518EE"/>
    <w:rsid w:val="00151C9E"/>
    <w:rsid w:val="00151D79"/>
    <w:rsid w:val="0015277C"/>
    <w:rsid w:val="00152AF1"/>
    <w:rsid w:val="00152ECA"/>
    <w:rsid w:val="001532DB"/>
    <w:rsid w:val="00153845"/>
    <w:rsid w:val="00154E42"/>
    <w:rsid w:val="00154F65"/>
    <w:rsid w:val="0015584E"/>
    <w:rsid w:val="00155B22"/>
    <w:rsid w:val="00155BA2"/>
    <w:rsid w:val="00155DC1"/>
    <w:rsid w:val="00156331"/>
    <w:rsid w:val="00156DB9"/>
    <w:rsid w:val="00157767"/>
    <w:rsid w:val="00157B65"/>
    <w:rsid w:val="00157B69"/>
    <w:rsid w:val="00157DBC"/>
    <w:rsid w:val="001607CB"/>
    <w:rsid w:val="00161E81"/>
    <w:rsid w:val="00162224"/>
    <w:rsid w:val="00162425"/>
    <w:rsid w:val="00162DF5"/>
    <w:rsid w:val="00163273"/>
    <w:rsid w:val="00163994"/>
    <w:rsid w:val="00163AE1"/>
    <w:rsid w:val="00163D24"/>
    <w:rsid w:val="00164836"/>
    <w:rsid w:val="0016498C"/>
    <w:rsid w:val="00164F81"/>
    <w:rsid w:val="00164FB9"/>
    <w:rsid w:val="00165069"/>
    <w:rsid w:val="0016543B"/>
    <w:rsid w:val="001655AF"/>
    <w:rsid w:val="0016782C"/>
    <w:rsid w:val="00167851"/>
    <w:rsid w:val="00167FF5"/>
    <w:rsid w:val="00170D85"/>
    <w:rsid w:val="00171095"/>
    <w:rsid w:val="001718DA"/>
    <w:rsid w:val="00171903"/>
    <w:rsid w:val="001731A4"/>
    <w:rsid w:val="001738FF"/>
    <w:rsid w:val="0017424D"/>
    <w:rsid w:val="00174C85"/>
    <w:rsid w:val="0017531C"/>
    <w:rsid w:val="00175668"/>
    <w:rsid w:val="001760F7"/>
    <w:rsid w:val="001762EE"/>
    <w:rsid w:val="0017672B"/>
    <w:rsid w:val="00176F64"/>
    <w:rsid w:val="00180254"/>
    <w:rsid w:val="0018133D"/>
    <w:rsid w:val="00181A34"/>
    <w:rsid w:val="00181A4C"/>
    <w:rsid w:val="00181AEB"/>
    <w:rsid w:val="00181CE3"/>
    <w:rsid w:val="00182009"/>
    <w:rsid w:val="001821A1"/>
    <w:rsid w:val="00182255"/>
    <w:rsid w:val="0018239A"/>
    <w:rsid w:val="00182825"/>
    <w:rsid w:val="00183090"/>
    <w:rsid w:val="0018326F"/>
    <w:rsid w:val="00183E34"/>
    <w:rsid w:val="001846F1"/>
    <w:rsid w:val="001848D3"/>
    <w:rsid w:val="00184E65"/>
    <w:rsid w:val="001857D3"/>
    <w:rsid w:val="001859AD"/>
    <w:rsid w:val="001860FC"/>
    <w:rsid w:val="00186549"/>
    <w:rsid w:val="001869B2"/>
    <w:rsid w:val="001873BA"/>
    <w:rsid w:val="00190286"/>
    <w:rsid w:val="0019042F"/>
    <w:rsid w:val="00190EE0"/>
    <w:rsid w:val="0019124E"/>
    <w:rsid w:val="001912D4"/>
    <w:rsid w:val="001918C5"/>
    <w:rsid w:val="001921E0"/>
    <w:rsid w:val="00193196"/>
    <w:rsid w:val="00193D1B"/>
    <w:rsid w:val="00193DAD"/>
    <w:rsid w:val="0019413C"/>
    <w:rsid w:val="00194624"/>
    <w:rsid w:val="0019467D"/>
    <w:rsid w:val="00195C07"/>
    <w:rsid w:val="001973F8"/>
    <w:rsid w:val="00197803"/>
    <w:rsid w:val="00197FC9"/>
    <w:rsid w:val="001A0299"/>
    <w:rsid w:val="001A0855"/>
    <w:rsid w:val="001A0FFA"/>
    <w:rsid w:val="001A1181"/>
    <w:rsid w:val="001A1424"/>
    <w:rsid w:val="001A1CD5"/>
    <w:rsid w:val="001A2082"/>
    <w:rsid w:val="001A24EC"/>
    <w:rsid w:val="001A2B00"/>
    <w:rsid w:val="001A3078"/>
    <w:rsid w:val="001A374E"/>
    <w:rsid w:val="001A47F0"/>
    <w:rsid w:val="001A4A9D"/>
    <w:rsid w:val="001A4B69"/>
    <w:rsid w:val="001A552B"/>
    <w:rsid w:val="001A662C"/>
    <w:rsid w:val="001A724F"/>
    <w:rsid w:val="001A7438"/>
    <w:rsid w:val="001A784E"/>
    <w:rsid w:val="001A7B4E"/>
    <w:rsid w:val="001A7D92"/>
    <w:rsid w:val="001A7DE4"/>
    <w:rsid w:val="001A7E45"/>
    <w:rsid w:val="001B018B"/>
    <w:rsid w:val="001B0439"/>
    <w:rsid w:val="001B0901"/>
    <w:rsid w:val="001B0DC7"/>
    <w:rsid w:val="001B1537"/>
    <w:rsid w:val="001B25B7"/>
    <w:rsid w:val="001B4AD3"/>
    <w:rsid w:val="001B4DDB"/>
    <w:rsid w:val="001B536A"/>
    <w:rsid w:val="001B6341"/>
    <w:rsid w:val="001B6366"/>
    <w:rsid w:val="001B664C"/>
    <w:rsid w:val="001B7657"/>
    <w:rsid w:val="001B7B6E"/>
    <w:rsid w:val="001C027A"/>
    <w:rsid w:val="001C140F"/>
    <w:rsid w:val="001C1BBD"/>
    <w:rsid w:val="001C1FC2"/>
    <w:rsid w:val="001C28BB"/>
    <w:rsid w:val="001C2BA9"/>
    <w:rsid w:val="001C2C42"/>
    <w:rsid w:val="001C3CC7"/>
    <w:rsid w:val="001C4CE7"/>
    <w:rsid w:val="001C4F63"/>
    <w:rsid w:val="001C50DF"/>
    <w:rsid w:val="001C5114"/>
    <w:rsid w:val="001C519E"/>
    <w:rsid w:val="001C5457"/>
    <w:rsid w:val="001C56A4"/>
    <w:rsid w:val="001C586F"/>
    <w:rsid w:val="001C5C8E"/>
    <w:rsid w:val="001C666A"/>
    <w:rsid w:val="001C6B43"/>
    <w:rsid w:val="001C6DC0"/>
    <w:rsid w:val="001C702A"/>
    <w:rsid w:val="001C7B3D"/>
    <w:rsid w:val="001D0168"/>
    <w:rsid w:val="001D05CA"/>
    <w:rsid w:val="001D05D0"/>
    <w:rsid w:val="001D1514"/>
    <w:rsid w:val="001D21D9"/>
    <w:rsid w:val="001D29CB"/>
    <w:rsid w:val="001D36AF"/>
    <w:rsid w:val="001D3864"/>
    <w:rsid w:val="001D4A8D"/>
    <w:rsid w:val="001D4C10"/>
    <w:rsid w:val="001D5055"/>
    <w:rsid w:val="001D5DBB"/>
    <w:rsid w:val="001D6E2B"/>
    <w:rsid w:val="001D6E8F"/>
    <w:rsid w:val="001D723E"/>
    <w:rsid w:val="001E1ACF"/>
    <w:rsid w:val="001E21E1"/>
    <w:rsid w:val="001E3048"/>
    <w:rsid w:val="001E384E"/>
    <w:rsid w:val="001E5390"/>
    <w:rsid w:val="001E5A91"/>
    <w:rsid w:val="001E5C0B"/>
    <w:rsid w:val="001E60BD"/>
    <w:rsid w:val="001E65E3"/>
    <w:rsid w:val="001E6743"/>
    <w:rsid w:val="001E6F05"/>
    <w:rsid w:val="001E7078"/>
    <w:rsid w:val="001E711A"/>
    <w:rsid w:val="001E7256"/>
    <w:rsid w:val="001E7C8C"/>
    <w:rsid w:val="001F0244"/>
    <w:rsid w:val="001F084D"/>
    <w:rsid w:val="001F0EB9"/>
    <w:rsid w:val="001F170E"/>
    <w:rsid w:val="001F49B7"/>
    <w:rsid w:val="001F5169"/>
    <w:rsid w:val="001F5CE7"/>
    <w:rsid w:val="001F60AF"/>
    <w:rsid w:val="001F6564"/>
    <w:rsid w:val="001F66D4"/>
    <w:rsid w:val="0020013E"/>
    <w:rsid w:val="00200508"/>
    <w:rsid w:val="00200616"/>
    <w:rsid w:val="0020068F"/>
    <w:rsid w:val="00200706"/>
    <w:rsid w:val="002009B2"/>
    <w:rsid w:val="00202577"/>
    <w:rsid w:val="00203EB1"/>
    <w:rsid w:val="00204F31"/>
    <w:rsid w:val="002052E2"/>
    <w:rsid w:val="00205A7F"/>
    <w:rsid w:val="0020684C"/>
    <w:rsid w:val="00206987"/>
    <w:rsid w:val="00206B54"/>
    <w:rsid w:val="00206BFF"/>
    <w:rsid w:val="00207084"/>
    <w:rsid w:val="00207EF0"/>
    <w:rsid w:val="00210D58"/>
    <w:rsid w:val="00210E49"/>
    <w:rsid w:val="00210E54"/>
    <w:rsid w:val="00210F5C"/>
    <w:rsid w:val="00211A40"/>
    <w:rsid w:val="002122F6"/>
    <w:rsid w:val="00212883"/>
    <w:rsid w:val="00212926"/>
    <w:rsid w:val="00212965"/>
    <w:rsid w:val="00212EDF"/>
    <w:rsid w:val="002131A4"/>
    <w:rsid w:val="00214AB7"/>
    <w:rsid w:val="00215155"/>
    <w:rsid w:val="002159D7"/>
    <w:rsid w:val="00215A49"/>
    <w:rsid w:val="002162F5"/>
    <w:rsid w:val="00216BE1"/>
    <w:rsid w:val="00217073"/>
    <w:rsid w:val="00220CE4"/>
    <w:rsid w:val="00220DBB"/>
    <w:rsid w:val="002217D0"/>
    <w:rsid w:val="00221BEB"/>
    <w:rsid w:val="0022217C"/>
    <w:rsid w:val="00222282"/>
    <w:rsid w:val="00222CB9"/>
    <w:rsid w:val="00222F8A"/>
    <w:rsid w:val="002234D3"/>
    <w:rsid w:val="00224139"/>
    <w:rsid w:val="00224DA0"/>
    <w:rsid w:val="002267A1"/>
    <w:rsid w:val="00226F13"/>
    <w:rsid w:val="00227708"/>
    <w:rsid w:val="00227A76"/>
    <w:rsid w:val="00230096"/>
    <w:rsid w:val="002307F6"/>
    <w:rsid w:val="00230BE3"/>
    <w:rsid w:val="00230BE8"/>
    <w:rsid w:val="00230D46"/>
    <w:rsid w:val="00230FC9"/>
    <w:rsid w:val="00231477"/>
    <w:rsid w:val="00231D9A"/>
    <w:rsid w:val="00232325"/>
    <w:rsid w:val="002323BB"/>
    <w:rsid w:val="00232451"/>
    <w:rsid w:val="00232FB4"/>
    <w:rsid w:val="0023375C"/>
    <w:rsid w:val="0023386F"/>
    <w:rsid w:val="0023397E"/>
    <w:rsid w:val="002349E8"/>
    <w:rsid w:val="002360F5"/>
    <w:rsid w:val="00236654"/>
    <w:rsid w:val="00236963"/>
    <w:rsid w:val="00236CF8"/>
    <w:rsid w:val="00236E19"/>
    <w:rsid w:val="00237AE9"/>
    <w:rsid w:val="002403EF"/>
    <w:rsid w:val="00241D74"/>
    <w:rsid w:val="00243573"/>
    <w:rsid w:val="00243671"/>
    <w:rsid w:val="0024391F"/>
    <w:rsid w:val="00243BA8"/>
    <w:rsid w:val="00245434"/>
    <w:rsid w:val="00245635"/>
    <w:rsid w:val="00246F73"/>
    <w:rsid w:val="002477C8"/>
    <w:rsid w:val="002502AD"/>
    <w:rsid w:val="00250509"/>
    <w:rsid w:val="002519C8"/>
    <w:rsid w:val="002521E1"/>
    <w:rsid w:val="002523AF"/>
    <w:rsid w:val="00252404"/>
    <w:rsid w:val="00253190"/>
    <w:rsid w:val="00253199"/>
    <w:rsid w:val="002534B6"/>
    <w:rsid w:val="0025390A"/>
    <w:rsid w:val="00253D05"/>
    <w:rsid w:val="00253D8E"/>
    <w:rsid w:val="0025454F"/>
    <w:rsid w:val="002547FC"/>
    <w:rsid w:val="00255695"/>
    <w:rsid w:val="002557AC"/>
    <w:rsid w:val="00255864"/>
    <w:rsid w:val="002558EF"/>
    <w:rsid w:val="0025679E"/>
    <w:rsid w:val="00256AB1"/>
    <w:rsid w:val="002575DD"/>
    <w:rsid w:val="00260286"/>
    <w:rsid w:val="0026059D"/>
    <w:rsid w:val="0026081C"/>
    <w:rsid w:val="00260976"/>
    <w:rsid w:val="00260B19"/>
    <w:rsid w:val="00260EBB"/>
    <w:rsid w:val="0026113A"/>
    <w:rsid w:val="00261367"/>
    <w:rsid w:val="00261B99"/>
    <w:rsid w:val="00261C79"/>
    <w:rsid w:val="002626A2"/>
    <w:rsid w:val="00262B75"/>
    <w:rsid w:val="00262C29"/>
    <w:rsid w:val="002635F7"/>
    <w:rsid w:val="00263670"/>
    <w:rsid w:val="00263966"/>
    <w:rsid w:val="00264364"/>
    <w:rsid w:val="0026511F"/>
    <w:rsid w:val="00265EDC"/>
    <w:rsid w:val="00265F77"/>
    <w:rsid w:val="00267406"/>
    <w:rsid w:val="00270A97"/>
    <w:rsid w:val="002728BD"/>
    <w:rsid w:val="00272F35"/>
    <w:rsid w:val="0027388F"/>
    <w:rsid w:val="002739A3"/>
    <w:rsid w:val="00273A96"/>
    <w:rsid w:val="00273EF1"/>
    <w:rsid w:val="002740E6"/>
    <w:rsid w:val="00274CAA"/>
    <w:rsid w:val="00274D9C"/>
    <w:rsid w:val="0027528D"/>
    <w:rsid w:val="002754D7"/>
    <w:rsid w:val="002759C4"/>
    <w:rsid w:val="002760B1"/>
    <w:rsid w:val="002762A5"/>
    <w:rsid w:val="00276569"/>
    <w:rsid w:val="0027668C"/>
    <w:rsid w:val="002769F1"/>
    <w:rsid w:val="00277623"/>
    <w:rsid w:val="00277C35"/>
    <w:rsid w:val="00281618"/>
    <w:rsid w:val="00281D55"/>
    <w:rsid w:val="00281E41"/>
    <w:rsid w:val="002826E5"/>
    <w:rsid w:val="002847E6"/>
    <w:rsid w:val="00285468"/>
    <w:rsid w:val="00285CF6"/>
    <w:rsid w:val="00285EBE"/>
    <w:rsid w:val="0028665B"/>
    <w:rsid w:val="00286AF8"/>
    <w:rsid w:val="00287A0C"/>
    <w:rsid w:val="00287AE7"/>
    <w:rsid w:val="0029170D"/>
    <w:rsid w:val="00291D5B"/>
    <w:rsid w:val="00291EA8"/>
    <w:rsid w:val="00292B9C"/>
    <w:rsid w:val="00293DA9"/>
    <w:rsid w:val="00295033"/>
    <w:rsid w:val="0029600B"/>
    <w:rsid w:val="002963DB"/>
    <w:rsid w:val="00296FB2"/>
    <w:rsid w:val="00297D6B"/>
    <w:rsid w:val="00297DC3"/>
    <w:rsid w:val="002A004B"/>
    <w:rsid w:val="002A0433"/>
    <w:rsid w:val="002A0C7F"/>
    <w:rsid w:val="002A0D18"/>
    <w:rsid w:val="002A0E60"/>
    <w:rsid w:val="002A0ED5"/>
    <w:rsid w:val="002A0F11"/>
    <w:rsid w:val="002A11D3"/>
    <w:rsid w:val="002A2277"/>
    <w:rsid w:val="002A35D6"/>
    <w:rsid w:val="002A4A02"/>
    <w:rsid w:val="002A554C"/>
    <w:rsid w:val="002A5E9A"/>
    <w:rsid w:val="002A637C"/>
    <w:rsid w:val="002A6C39"/>
    <w:rsid w:val="002A6EB4"/>
    <w:rsid w:val="002A7CB4"/>
    <w:rsid w:val="002B0B3C"/>
    <w:rsid w:val="002B0E18"/>
    <w:rsid w:val="002B15EC"/>
    <w:rsid w:val="002B2E4F"/>
    <w:rsid w:val="002B393E"/>
    <w:rsid w:val="002B3B65"/>
    <w:rsid w:val="002B403E"/>
    <w:rsid w:val="002B4068"/>
    <w:rsid w:val="002B4873"/>
    <w:rsid w:val="002B498A"/>
    <w:rsid w:val="002B4ED9"/>
    <w:rsid w:val="002B5AE4"/>
    <w:rsid w:val="002B6359"/>
    <w:rsid w:val="002B657B"/>
    <w:rsid w:val="002B6DDD"/>
    <w:rsid w:val="002B7A92"/>
    <w:rsid w:val="002B7B9D"/>
    <w:rsid w:val="002C061B"/>
    <w:rsid w:val="002C0D53"/>
    <w:rsid w:val="002C0DAD"/>
    <w:rsid w:val="002C1E70"/>
    <w:rsid w:val="002C298B"/>
    <w:rsid w:val="002C2F2E"/>
    <w:rsid w:val="002C350D"/>
    <w:rsid w:val="002C3590"/>
    <w:rsid w:val="002C3749"/>
    <w:rsid w:val="002C513F"/>
    <w:rsid w:val="002C5F14"/>
    <w:rsid w:val="002C6631"/>
    <w:rsid w:val="002C70A3"/>
    <w:rsid w:val="002C7EBC"/>
    <w:rsid w:val="002D02F4"/>
    <w:rsid w:val="002D0572"/>
    <w:rsid w:val="002D0A82"/>
    <w:rsid w:val="002D0EF3"/>
    <w:rsid w:val="002D112B"/>
    <w:rsid w:val="002D1777"/>
    <w:rsid w:val="002D1AC5"/>
    <w:rsid w:val="002D1D2A"/>
    <w:rsid w:val="002D1E30"/>
    <w:rsid w:val="002D2905"/>
    <w:rsid w:val="002D29E0"/>
    <w:rsid w:val="002D3555"/>
    <w:rsid w:val="002D4984"/>
    <w:rsid w:val="002D5013"/>
    <w:rsid w:val="002D5115"/>
    <w:rsid w:val="002D5A5F"/>
    <w:rsid w:val="002D6408"/>
    <w:rsid w:val="002D6767"/>
    <w:rsid w:val="002D7803"/>
    <w:rsid w:val="002D7B74"/>
    <w:rsid w:val="002D7E82"/>
    <w:rsid w:val="002E0668"/>
    <w:rsid w:val="002E0AF2"/>
    <w:rsid w:val="002E14B5"/>
    <w:rsid w:val="002E1D6C"/>
    <w:rsid w:val="002E31AE"/>
    <w:rsid w:val="002E3553"/>
    <w:rsid w:val="002E38B8"/>
    <w:rsid w:val="002E41F5"/>
    <w:rsid w:val="002E4472"/>
    <w:rsid w:val="002E46F0"/>
    <w:rsid w:val="002E4AAF"/>
    <w:rsid w:val="002E528F"/>
    <w:rsid w:val="002E5AA0"/>
    <w:rsid w:val="002E6268"/>
    <w:rsid w:val="002E65D9"/>
    <w:rsid w:val="002E7DB5"/>
    <w:rsid w:val="002F0CF8"/>
    <w:rsid w:val="002F10D5"/>
    <w:rsid w:val="002F1C6E"/>
    <w:rsid w:val="002F1D83"/>
    <w:rsid w:val="002F216B"/>
    <w:rsid w:val="002F29B4"/>
    <w:rsid w:val="002F2A9F"/>
    <w:rsid w:val="002F2F32"/>
    <w:rsid w:val="002F3670"/>
    <w:rsid w:val="002F3A6C"/>
    <w:rsid w:val="002F3D2A"/>
    <w:rsid w:val="002F4048"/>
    <w:rsid w:val="002F45E3"/>
    <w:rsid w:val="002F4956"/>
    <w:rsid w:val="002F57C0"/>
    <w:rsid w:val="002F59E1"/>
    <w:rsid w:val="002F5AC6"/>
    <w:rsid w:val="002F5ECE"/>
    <w:rsid w:val="002F691E"/>
    <w:rsid w:val="002F6A5C"/>
    <w:rsid w:val="002F78F7"/>
    <w:rsid w:val="0030004F"/>
    <w:rsid w:val="00300BD9"/>
    <w:rsid w:val="00300CFF"/>
    <w:rsid w:val="00301249"/>
    <w:rsid w:val="00301BF9"/>
    <w:rsid w:val="00302301"/>
    <w:rsid w:val="00302E03"/>
    <w:rsid w:val="00302F08"/>
    <w:rsid w:val="00303BDD"/>
    <w:rsid w:val="00303C19"/>
    <w:rsid w:val="003041D9"/>
    <w:rsid w:val="00304216"/>
    <w:rsid w:val="0030493D"/>
    <w:rsid w:val="00305798"/>
    <w:rsid w:val="00306127"/>
    <w:rsid w:val="00306914"/>
    <w:rsid w:val="00306E74"/>
    <w:rsid w:val="00306EFA"/>
    <w:rsid w:val="00307020"/>
    <w:rsid w:val="0030711D"/>
    <w:rsid w:val="00307E23"/>
    <w:rsid w:val="00311136"/>
    <w:rsid w:val="0031155B"/>
    <w:rsid w:val="00311B52"/>
    <w:rsid w:val="00312AC4"/>
    <w:rsid w:val="00313E99"/>
    <w:rsid w:val="0031581F"/>
    <w:rsid w:val="00315DC4"/>
    <w:rsid w:val="00315FA0"/>
    <w:rsid w:val="00317304"/>
    <w:rsid w:val="003200C4"/>
    <w:rsid w:val="00320662"/>
    <w:rsid w:val="00320A2C"/>
    <w:rsid w:val="00320B3A"/>
    <w:rsid w:val="003211B7"/>
    <w:rsid w:val="00321220"/>
    <w:rsid w:val="003212EB"/>
    <w:rsid w:val="00322B89"/>
    <w:rsid w:val="0032311F"/>
    <w:rsid w:val="003231AC"/>
    <w:rsid w:val="00323378"/>
    <w:rsid w:val="00324719"/>
    <w:rsid w:val="003249BF"/>
    <w:rsid w:val="003251DE"/>
    <w:rsid w:val="0032618F"/>
    <w:rsid w:val="00326A4E"/>
    <w:rsid w:val="00326E34"/>
    <w:rsid w:val="0032792A"/>
    <w:rsid w:val="00330194"/>
    <w:rsid w:val="00332FCF"/>
    <w:rsid w:val="00333185"/>
    <w:rsid w:val="003332BF"/>
    <w:rsid w:val="0033382D"/>
    <w:rsid w:val="00333F1F"/>
    <w:rsid w:val="00334113"/>
    <w:rsid w:val="003348F1"/>
    <w:rsid w:val="003352E7"/>
    <w:rsid w:val="00335647"/>
    <w:rsid w:val="00335693"/>
    <w:rsid w:val="0033574C"/>
    <w:rsid w:val="00335F9F"/>
    <w:rsid w:val="00336020"/>
    <w:rsid w:val="0033714D"/>
    <w:rsid w:val="0033730F"/>
    <w:rsid w:val="003373A9"/>
    <w:rsid w:val="00340084"/>
    <w:rsid w:val="00341527"/>
    <w:rsid w:val="003417EC"/>
    <w:rsid w:val="00341DE9"/>
    <w:rsid w:val="00341E2B"/>
    <w:rsid w:val="003435C4"/>
    <w:rsid w:val="00343608"/>
    <w:rsid w:val="003452E1"/>
    <w:rsid w:val="003459C5"/>
    <w:rsid w:val="00350323"/>
    <w:rsid w:val="003505B0"/>
    <w:rsid w:val="00351284"/>
    <w:rsid w:val="00351423"/>
    <w:rsid w:val="003523ED"/>
    <w:rsid w:val="0035254D"/>
    <w:rsid w:val="00353627"/>
    <w:rsid w:val="00353BD5"/>
    <w:rsid w:val="00353C38"/>
    <w:rsid w:val="00354890"/>
    <w:rsid w:val="00354DB3"/>
    <w:rsid w:val="003563FE"/>
    <w:rsid w:val="003564D2"/>
    <w:rsid w:val="00356605"/>
    <w:rsid w:val="00356CC6"/>
    <w:rsid w:val="00357394"/>
    <w:rsid w:val="0036082A"/>
    <w:rsid w:val="00361467"/>
    <w:rsid w:val="00361FA5"/>
    <w:rsid w:val="00361FDA"/>
    <w:rsid w:val="00363267"/>
    <w:rsid w:val="00363956"/>
    <w:rsid w:val="0036427B"/>
    <w:rsid w:val="00364A28"/>
    <w:rsid w:val="00364A6F"/>
    <w:rsid w:val="00365280"/>
    <w:rsid w:val="003658A4"/>
    <w:rsid w:val="0036669F"/>
    <w:rsid w:val="003666F7"/>
    <w:rsid w:val="0036678C"/>
    <w:rsid w:val="00366E2E"/>
    <w:rsid w:val="003673C5"/>
    <w:rsid w:val="00367482"/>
    <w:rsid w:val="003678E0"/>
    <w:rsid w:val="00367B03"/>
    <w:rsid w:val="00367D3E"/>
    <w:rsid w:val="00370046"/>
    <w:rsid w:val="00372C60"/>
    <w:rsid w:val="003732C5"/>
    <w:rsid w:val="0037407A"/>
    <w:rsid w:val="003742B5"/>
    <w:rsid w:val="003747E3"/>
    <w:rsid w:val="0037481E"/>
    <w:rsid w:val="0037530C"/>
    <w:rsid w:val="003768AD"/>
    <w:rsid w:val="00376EBB"/>
    <w:rsid w:val="00377837"/>
    <w:rsid w:val="00380CDD"/>
    <w:rsid w:val="00380CDE"/>
    <w:rsid w:val="00381326"/>
    <w:rsid w:val="0038178B"/>
    <w:rsid w:val="00381808"/>
    <w:rsid w:val="00381FD5"/>
    <w:rsid w:val="003827B9"/>
    <w:rsid w:val="00382958"/>
    <w:rsid w:val="00382D5D"/>
    <w:rsid w:val="00383A47"/>
    <w:rsid w:val="00383C07"/>
    <w:rsid w:val="00383D72"/>
    <w:rsid w:val="00384135"/>
    <w:rsid w:val="00384E66"/>
    <w:rsid w:val="003854E6"/>
    <w:rsid w:val="00385DE0"/>
    <w:rsid w:val="003860DC"/>
    <w:rsid w:val="0038642C"/>
    <w:rsid w:val="0038679D"/>
    <w:rsid w:val="00387185"/>
    <w:rsid w:val="003906B5"/>
    <w:rsid w:val="00390903"/>
    <w:rsid w:val="00390C97"/>
    <w:rsid w:val="00391D92"/>
    <w:rsid w:val="00392257"/>
    <w:rsid w:val="00392389"/>
    <w:rsid w:val="00392B5E"/>
    <w:rsid w:val="00393152"/>
    <w:rsid w:val="00393307"/>
    <w:rsid w:val="00393336"/>
    <w:rsid w:val="003947CE"/>
    <w:rsid w:val="003953C3"/>
    <w:rsid w:val="0039546C"/>
    <w:rsid w:val="00396DCA"/>
    <w:rsid w:val="00397152"/>
    <w:rsid w:val="003A11D0"/>
    <w:rsid w:val="003A18C2"/>
    <w:rsid w:val="003A1983"/>
    <w:rsid w:val="003A2159"/>
    <w:rsid w:val="003A2971"/>
    <w:rsid w:val="003A3D84"/>
    <w:rsid w:val="003A48D9"/>
    <w:rsid w:val="003A49F7"/>
    <w:rsid w:val="003A4F72"/>
    <w:rsid w:val="003A5407"/>
    <w:rsid w:val="003A5F34"/>
    <w:rsid w:val="003A6032"/>
    <w:rsid w:val="003A69B7"/>
    <w:rsid w:val="003B02EC"/>
    <w:rsid w:val="003B0E42"/>
    <w:rsid w:val="003B22E2"/>
    <w:rsid w:val="003B2D60"/>
    <w:rsid w:val="003B2E37"/>
    <w:rsid w:val="003B3F1E"/>
    <w:rsid w:val="003B4AF0"/>
    <w:rsid w:val="003B5745"/>
    <w:rsid w:val="003B5B0E"/>
    <w:rsid w:val="003B5CFA"/>
    <w:rsid w:val="003B5EBF"/>
    <w:rsid w:val="003B6277"/>
    <w:rsid w:val="003B69C1"/>
    <w:rsid w:val="003B6E9F"/>
    <w:rsid w:val="003B768D"/>
    <w:rsid w:val="003C08A8"/>
    <w:rsid w:val="003C0C2F"/>
    <w:rsid w:val="003C0C7C"/>
    <w:rsid w:val="003C14E5"/>
    <w:rsid w:val="003C21DA"/>
    <w:rsid w:val="003C2A6D"/>
    <w:rsid w:val="003C44EA"/>
    <w:rsid w:val="003C53B5"/>
    <w:rsid w:val="003C5608"/>
    <w:rsid w:val="003C65C3"/>
    <w:rsid w:val="003C6DFB"/>
    <w:rsid w:val="003C7623"/>
    <w:rsid w:val="003C797D"/>
    <w:rsid w:val="003C7AB7"/>
    <w:rsid w:val="003C7D97"/>
    <w:rsid w:val="003C7EBD"/>
    <w:rsid w:val="003D0842"/>
    <w:rsid w:val="003D0D54"/>
    <w:rsid w:val="003D135F"/>
    <w:rsid w:val="003D14F5"/>
    <w:rsid w:val="003D1556"/>
    <w:rsid w:val="003D17BA"/>
    <w:rsid w:val="003D2091"/>
    <w:rsid w:val="003D3399"/>
    <w:rsid w:val="003D36D7"/>
    <w:rsid w:val="003D3F25"/>
    <w:rsid w:val="003D487F"/>
    <w:rsid w:val="003D49F6"/>
    <w:rsid w:val="003D5B77"/>
    <w:rsid w:val="003D674F"/>
    <w:rsid w:val="003D7C3E"/>
    <w:rsid w:val="003E03CF"/>
    <w:rsid w:val="003E0D5C"/>
    <w:rsid w:val="003E1251"/>
    <w:rsid w:val="003E1D68"/>
    <w:rsid w:val="003E2455"/>
    <w:rsid w:val="003E29EC"/>
    <w:rsid w:val="003E2DC5"/>
    <w:rsid w:val="003E2F6A"/>
    <w:rsid w:val="003E449E"/>
    <w:rsid w:val="003E4588"/>
    <w:rsid w:val="003E4832"/>
    <w:rsid w:val="003E517B"/>
    <w:rsid w:val="003E5E9A"/>
    <w:rsid w:val="003E6841"/>
    <w:rsid w:val="003E6857"/>
    <w:rsid w:val="003E6B3E"/>
    <w:rsid w:val="003E7429"/>
    <w:rsid w:val="003E7726"/>
    <w:rsid w:val="003E78DF"/>
    <w:rsid w:val="003E7C09"/>
    <w:rsid w:val="003E7DF9"/>
    <w:rsid w:val="003F024A"/>
    <w:rsid w:val="003F0DFC"/>
    <w:rsid w:val="003F12F6"/>
    <w:rsid w:val="003F137B"/>
    <w:rsid w:val="003F1ABA"/>
    <w:rsid w:val="003F1AD8"/>
    <w:rsid w:val="003F1FA8"/>
    <w:rsid w:val="003F23CF"/>
    <w:rsid w:val="003F2AAE"/>
    <w:rsid w:val="003F3160"/>
    <w:rsid w:val="003F4264"/>
    <w:rsid w:val="003F4D7F"/>
    <w:rsid w:val="003F5556"/>
    <w:rsid w:val="003F5A20"/>
    <w:rsid w:val="003F5A65"/>
    <w:rsid w:val="003F5C76"/>
    <w:rsid w:val="003F5F69"/>
    <w:rsid w:val="003F616E"/>
    <w:rsid w:val="003F637D"/>
    <w:rsid w:val="003F648F"/>
    <w:rsid w:val="003F7128"/>
    <w:rsid w:val="003F729F"/>
    <w:rsid w:val="003F7EE7"/>
    <w:rsid w:val="004000A2"/>
    <w:rsid w:val="004006F4"/>
    <w:rsid w:val="00400BB1"/>
    <w:rsid w:val="00400DB5"/>
    <w:rsid w:val="004014C5"/>
    <w:rsid w:val="00401944"/>
    <w:rsid w:val="004024B3"/>
    <w:rsid w:val="00402A1B"/>
    <w:rsid w:val="004033E1"/>
    <w:rsid w:val="00403B33"/>
    <w:rsid w:val="00403D0F"/>
    <w:rsid w:val="00404477"/>
    <w:rsid w:val="004046F8"/>
    <w:rsid w:val="004047EB"/>
    <w:rsid w:val="0040524B"/>
    <w:rsid w:val="004064DF"/>
    <w:rsid w:val="00406C6A"/>
    <w:rsid w:val="00407953"/>
    <w:rsid w:val="004101E5"/>
    <w:rsid w:val="004102AB"/>
    <w:rsid w:val="004103E8"/>
    <w:rsid w:val="004108AB"/>
    <w:rsid w:val="00410E86"/>
    <w:rsid w:val="004114CC"/>
    <w:rsid w:val="004117DE"/>
    <w:rsid w:val="00411D83"/>
    <w:rsid w:val="004120D9"/>
    <w:rsid w:val="004123D7"/>
    <w:rsid w:val="00412433"/>
    <w:rsid w:val="00412CC0"/>
    <w:rsid w:val="00412EBE"/>
    <w:rsid w:val="0041655A"/>
    <w:rsid w:val="00416737"/>
    <w:rsid w:val="00417309"/>
    <w:rsid w:val="00417832"/>
    <w:rsid w:val="00417B24"/>
    <w:rsid w:val="00417FD8"/>
    <w:rsid w:val="004201B7"/>
    <w:rsid w:val="00420A58"/>
    <w:rsid w:val="00421BD0"/>
    <w:rsid w:val="00422215"/>
    <w:rsid w:val="00422ED9"/>
    <w:rsid w:val="004237FC"/>
    <w:rsid w:val="0042384A"/>
    <w:rsid w:val="00423C67"/>
    <w:rsid w:val="0042402E"/>
    <w:rsid w:val="00424176"/>
    <w:rsid w:val="00424AD9"/>
    <w:rsid w:val="00425490"/>
    <w:rsid w:val="00425516"/>
    <w:rsid w:val="00425DF3"/>
    <w:rsid w:val="0042765F"/>
    <w:rsid w:val="00427C92"/>
    <w:rsid w:val="00427F0E"/>
    <w:rsid w:val="00427F24"/>
    <w:rsid w:val="00430739"/>
    <w:rsid w:val="00430FDD"/>
    <w:rsid w:val="004312F9"/>
    <w:rsid w:val="004335B1"/>
    <w:rsid w:val="00433F77"/>
    <w:rsid w:val="0043437C"/>
    <w:rsid w:val="00434685"/>
    <w:rsid w:val="00434FEF"/>
    <w:rsid w:val="004355C4"/>
    <w:rsid w:val="00435EAA"/>
    <w:rsid w:val="00436494"/>
    <w:rsid w:val="0043712F"/>
    <w:rsid w:val="0043765D"/>
    <w:rsid w:val="0043791B"/>
    <w:rsid w:val="004402BC"/>
    <w:rsid w:val="00440EF1"/>
    <w:rsid w:val="0044159C"/>
    <w:rsid w:val="00442520"/>
    <w:rsid w:val="004432D4"/>
    <w:rsid w:val="004436AD"/>
    <w:rsid w:val="00443F46"/>
    <w:rsid w:val="004442EB"/>
    <w:rsid w:val="0044444F"/>
    <w:rsid w:val="00444C52"/>
    <w:rsid w:val="00444E74"/>
    <w:rsid w:val="00445AA4"/>
    <w:rsid w:val="004466D7"/>
    <w:rsid w:val="00446B01"/>
    <w:rsid w:val="00446CC0"/>
    <w:rsid w:val="00446D98"/>
    <w:rsid w:val="004472B1"/>
    <w:rsid w:val="00447F07"/>
    <w:rsid w:val="004502FA"/>
    <w:rsid w:val="00450ECB"/>
    <w:rsid w:val="00452678"/>
    <w:rsid w:val="0045308E"/>
    <w:rsid w:val="004530AD"/>
    <w:rsid w:val="0045328A"/>
    <w:rsid w:val="004532AF"/>
    <w:rsid w:val="004532DF"/>
    <w:rsid w:val="004539A3"/>
    <w:rsid w:val="00453FA2"/>
    <w:rsid w:val="004549AE"/>
    <w:rsid w:val="004549B4"/>
    <w:rsid w:val="00454DBD"/>
    <w:rsid w:val="00455361"/>
    <w:rsid w:val="004558F2"/>
    <w:rsid w:val="00455974"/>
    <w:rsid w:val="00456172"/>
    <w:rsid w:val="004564A7"/>
    <w:rsid w:val="00456E9A"/>
    <w:rsid w:val="0045711E"/>
    <w:rsid w:val="00457496"/>
    <w:rsid w:val="004577B7"/>
    <w:rsid w:val="00457C16"/>
    <w:rsid w:val="00460494"/>
    <w:rsid w:val="00460529"/>
    <w:rsid w:val="00460757"/>
    <w:rsid w:val="00460CFC"/>
    <w:rsid w:val="00460E65"/>
    <w:rsid w:val="00461028"/>
    <w:rsid w:val="0046138E"/>
    <w:rsid w:val="00461DC7"/>
    <w:rsid w:val="004624B6"/>
    <w:rsid w:val="0046288B"/>
    <w:rsid w:val="00463566"/>
    <w:rsid w:val="0046378B"/>
    <w:rsid w:val="004649CF"/>
    <w:rsid w:val="004650ED"/>
    <w:rsid w:val="004656C3"/>
    <w:rsid w:val="00465A78"/>
    <w:rsid w:val="00465B00"/>
    <w:rsid w:val="004663F1"/>
    <w:rsid w:val="004664B9"/>
    <w:rsid w:val="00466AA2"/>
    <w:rsid w:val="00466EC6"/>
    <w:rsid w:val="0046715F"/>
    <w:rsid w:val="00467AB1"/>
    <w:rsid w:val="00470B8C"/>
    <w:rsid w:val="0047139B"/>
    <w:rsid w:val="004714BC"/>
    <w:rsid w:val="0047245C"/>
    <w:rsid w:val="004725ED"/>
    <w:rsid w:val="00472B26"/>
    <w:rsid w:val="004731BE"/>
    <w:rsid w:val="00474088"/>
    <w:rsid w:val="004746DD"/>
    <w:rsid w:val="00474818"/>
    <w:rsid w:val="00474B96"/>
    <w:rsid w:val="0047532E"/>
    <w:rsid w:val="0047568C"/>
    <w:rsid w:val="00475BE8"/>
    <w:rsid w:val="004760F8"/>
    <w:rsid w:val="004772C2"/>
    <w:rsid w:val="00480A54"/>
    <w:rsid w:val="00480C35"/>
    <w:rsid w:val="004828F3"/>
    <w:rsid w:val="004841B9"/>
    <w:rsid w:val="00484399"/>
    <w:rsid w:val="004843A5"/>
    <w:rsid w:val="00484554"/>
    <w:rsid w:val="00484643"/>
    <w:rsid w:val="00484DA3"/>
    <w:rsid w:val="00485840"/>
    <w:rsid w:val="00485AD2"/>
    <w:rsid w:val="00485CC6"/>
    <w:rsid w:val="0048638D"/>
    <w:rsid w:val="00486FD9"/>
    <w:rsid w:val="00487CBC"/>
    <w:rsid w:val="00487DF5"/>
    <w:rsid w:val="00490A22"/>
    <w:rsid w:val="00491A39"/>
    <w:rsid w:val="004920A0"/>
    <w:rsid w:val="00492681"/>
    <w:rsid w:val="00492AD5"/>
    <w:rsid w:val="00492AF9"/>
    <w:rsid w:val="00492BBA"/>
    <w:rsid w:val="00492C28"/>
    <w:rsid w:val="004931FC"/>
    <w:rsid w:val="004937CC"/>
    <w:rsid w:val="00493B7A"/>
    <w:rsid w:val="00494150"/>
    <w:rsid w:val="004947B7"/>
    <w:rsid w:val="004947F5"/>
    <w:rsid w:val="004958AD"/>
    <w:rsid w:val="00495D68"/>
    <w:rsid w:val="00496DA0"/>
    <w:rsid w:val="00497C8C"/>
    <w:rsid w:val="004A016F"/>
    <w:rsid w:val="004A0566"/>
    <w:rsid w:val="004A0D93"/>
    <w:rsid w:val="004A18AE"/>
    <w:rsid w:val="004A23DC"/>
    <w:rsid w:val="004A3455"/>
    <w:rsid w:val="004A35E6"/>
    <w:rsid w:val="004A3BA3"/>
    <w:rsid w:val="004A54C5"/>
    <w:rsid w:val="004A56D7"/>
    <w:rsid w:val="004A676F"/>
    <w:rsid w:val="004A67B6"/>
    <w:rsid w:val="004A68BC"/>
    <w:rsid w:val="004A76D6"/>
    <w:rsid w:val="004A77AE"/>
    <w:rsid w:val="004A783D"/>
    <w:rsid w:val="004B09C2"/>
    <w:rsid w:val="004B0AF5"/>
    <w:rsid w:val="004B10BD"/>
    <w:rsid w:val="004B1AA2"/>
    <w:rsid w:val="004B1C3B"/>
    <w:rsid w:val="004B2088"/>
    <w:rsid w:val="004B20F2"/>
    <w:rsid w:val="004B2C9C"/>
    <w:rsid w:val="004B2ECA"/>
    <w:rsid w:val="004B37CB"/>
    <w:rsid w:val="004B465F"/>
    <w:rsid w:val="004B46E8"/>
    <w:rsid w:val="004B47A2"/>
    <w:rsid w:val="004B4AAA"/>
    <w:rsid w:val="004B4D1F"/>
    <w:rsid w:val="004B53D6"/>
    <w:rsid w:val="004B55E0"/>
    <w:rsid w:val="004B5787"/>
    <w:rsid w:val="004B5CA6"/>
    <w:rsid w:val="004B6030"/>
    <w:rsid w:val="004B64F8"/>
    <w:rsid w:val="004B7122"/>
    <w:rsid w:val="004B747E"/>
    <w:rsid w:val="004B7926"/>
    <w:rsid w:val="004B7EC3"/>
    <w:rsid w:val="004C0528"/>
    <w:rsid w:val="004C1556"/>
    <w:rsid w:val="004C1A8F"/>
    <w:rsid w:val="004C1BCA"/>
    <w:rsid w:val="004C1F9D"/>
    <w:rsid w:val="004C2452"/>
    <w:rsid w:val="004C573D"/>
    <w:rsid w:val="004C5F86"/>
    <w:rsid w:val="004C5F9E"/>
    <w:rsid w:val="004C6A0F"/>
    <w:rsid w:val="004C6F4C"/>
    <w:rsid w:val="004C701D"/>
    <w:rsid w:val="004C7057"/>
    <w:rsid w:val="004C77C9"/>
    <w:rsid w:val="004C7F17"/>
    <w:rsid w:val="004D00CF"/>
    <w:rsid w:val="004D106D"/>
    <w:rsid w:val="004D12EF"/>
    <w:rsid w:val="004D140D"/>
    <w:rsid w:val="004D1E56"/>
    <w:rsid w:val="004D2AC8"/>
    <w:rsid w:val="004D30AF"/>
    <w:rsid w:val="004D3400"/>
    <w:rsid w:val="004D349C"/>
    <w:rsid w:val="004D36A1"/>
    <w:rsid w:val="004D3F76"/>
    <w:rsid w:val="004D44F5"/>
    <w:rsid w:val="004D459E"/>
    <w:rsid w:val="004D4AFB"/>
    <w:rsid w:val="004D5E40"/>
    <w:rsid w:val="004D62B7"/>
    <w:rsid w:val="004D6F50"/>
    <w:rsid w:val="004D7198"/>
    <w:rsid w:val="004D7849"/>
    <w:rsid w:val="004D7B81"/>
    <w:rsid w:val="004E07C1"/>
    <w:rsid w:val="004E1098"/>
    <w:rsid w:val="004E1679"/>
    <w:rsid w:val="004E21BF"/>
    <w:rsid w:val="004E23C1"/>
    <w:rsid w:val="004E2E75"/>
    <w:rsid w:val="004E3EF4"/>
    <w:rsid w:val="004E3FB2"/>
    <w:rsid w:val="004E3FF9"/>
    <w:rsid w:val="004E4014"/>
    <w:rsid w:val="004E415B"/>
    <w:rsid w:val="004E5081"/>
    <w:rsid w:val="004E548E"/>
    <w:rsid w:val="004E5C99"/>
    <w:rsid w:val="004E5E91"/>
    <w:rsid w:val="004E61EE"/>
    <w:rsid w:val="004E6850"/>
    <w:rsid w:val="004E6A5B"/>
    <w:rsid w:val="004E7043"/>
    <w:rsid w:val="004F0293"/>
    <w:rsid w:val="004F1076"/>
    <w:rsid w:val="004F138C"/>
    <w:rsid w:val="004F280E"/>
    <w:rsid w:val="004F29C8"/>
    <w:rsid w:val="004F29D4"/>
    <w:rsid w:val="004F3D78"/>
    <w:rsid w:val="004F40A7"/>
    <w:rsid w:val="004F427E"/>
    <w:rsid w:val="004F4682"/>
    <w:rsid w:val="004F55DA"/>
    <w:rsid w:val="004F565F"/>
    <w:rsid w:val="004F58FA"/>
    <w:rsid w:val="004F63BF"/>
    <w:rsid w:val="004F6D04"/>
    <w:rsid w:val="004F71B7"/>
    <w:rsid w:val="004F7401"/>
    <w:rsid w:val="005008DD"/>
    <w:rsid w:val="005009A6"/>
    <w:rsid w:val="00500E78"/>
    <w:rsid w:val="0050103C"/>
    <w:rsid w:val="0050189A"/>
    <w:rsid w:val="00501E58"/>
    <w:rsid w:val="0050212C"/>
    <w:rsid w:val="005025DF"/>
    <w:rsid w:val="00502D22"/>
    <w:rsid w:val="0050358F"/>
    <w:rsid w:val="00503643"/>
    <w:rsid w:val="005039CD"/>
    <w:rsid w:val="00503DAF"/>
    <w:rsid w:val="00504577"/>
    <w:rsid w:val="00504703"/>
    <w:rsid w:val="00505D48"/>
    <w:rsid w:val="005061B4"/>
    <w:rsid w:val="005066AF"/>
    <w:rsid w:val="00507C64"/>
    <w:rsid w:val="00510CB6"/>
    <w:rsid w:val="00511A75"/>
    <w:rsid w:val="0051259C"/>
    <w:rsid w:val="005126DB"/>
    <w:rsid w:val="00513BF0"/>
    <w:rsid w:val="00513F1F"/>
    <w:rsid w:val="00514947"/>
    <w:rsid w:val="00515005"/>
    <w:rsid w:val="005151A3"/>
    <w:rsid w:val="00515F65"/>
    <w:rsid w:val="005166AE"/>
    <w:rsid w:val="00516A45"/>
    <w:rsid w:val="00521117"/>
    <w:rsid w:val="0052137D"/>
    <w:rsid w:val="00521AF6"/>
    <w:rsid w:val="00521DAF"/>
    <w:rsid w:val="00521EA6"/>
    <w:rsid w:val="00522124"/>
    <w:rsid w:val="005224E0"/>
    <w:rsid w:val="005225E2"/>
    <w:rsid w:val="005229B0"/>
    <w:rsid w:val="00522B62"/>
    <w:rsid w:val="00522BEF"/>
    <w:rsid w:val="00522DDF"/>
    <w:rsid w:val="00523244"/>
    <w:rsid w:val="005233BC"/>
    <w:rsid w:val="00524A64"/>
    <w:rsid w:val="005262BF"/>
    <w:rsid w:val="0052679D"/>
    <w:rsid w:val="005267F1"/>
    <w:rsid w:val="005268D5"/>
    <w:rsid w:val="00527299"/>
    <w:rsid w:val="005307D1"/>
    <w:rsid w:val="005308CE"/>
    <w:rsid w:val="00530FD0"/>
    <w:rsid w:val="00531C9D"/>
    <w:rsid w:val="00532834"/>
    <w:rsid w:val="005330C9"/>
    <w:rsid w:val="00533D4E"/>
    <w:rsid w:val="0053446D"/>
    <w:rsid w:val="0053450C"/>
    <w:rsid w:val="0053491F"/>
    <w:rsid w:val="00535AC8"/>
    <w:rsid w:val="0053633A"/>
    <w:rsid w:val="005364C8"/>
    <w:rsid w:val="00537D8B"/>
    <w:rsid w:val="005407BE"/>
    <w:rsid w:val="00540E71"/>
    <w:rsid w:val="0054114E"/>
    <w:rsid w:val="0054137B"/>
    <w:rsid w:val="00541657"/>
    <w:rsid w:val="00542298"/>
    <w:rsid w:val="005425EA"/>
    <w:rsid w:val="005427ED"/>
    <w:rsid w:val="005432F9"/>
    <w:rsid w:val="00544CF4"/>
    <w:rsid w:val="00545113"/>
    <w:rsid w:val="005452ED"/>
    <w:rsid w:val="00545E9D"/>
    <w:rsid w:val="00545F1B"/>
    <w:rsid w:val="0054613D"/>
    <w:rsid w:val="00546B95"/>
    <w:rsid w:val="00547120"/>
    <w:rsid w:val="005477FC"/>
    <w:rsid w:val="00547D59"/>
    <w:rsid w:val="0055021C"/>
    <w:rsid w:val="005519D3"/>
    <w:rsid w:val="00552291"/>
    <w:rsid w:val="00552ACD"/>
    <w:rsid w:val="00552B27"/>
    <w:rsid w:val="0055392E"/>
    <w:rsid w:val="005546EE"/>
    <w:rsid w:val="00554FBD"/>
    <w:rsid w:val="00555602"/>
    <w:rsid w:val="00555CBF"/>
    <w:rsid w:val="00555D1C"/>
    <w:rsid w:val="00555ECE"/>
    <w:rsid w:val="00556451"/>
    <w:rsid w:val="00556948"/>
    <w:rsid w:val="005576D0"/>
    <w:rsid w:val="005600B2"/>
    <w:rsid w:val="00560335"/>
    <w:rsid w:val="0056049F"/>
    <w:rsid w:val="00560C6C"/>
    <w:rsid w:val="00560F65"/>
    <w:rsid w:val="00562B42"/>
    <w:rsid w:val="00562CA1"/>
    <w:rsid w:val="00562E83"/>
    <w:rsid w:val="00563F4A"/>
    <w:rsid w:val="0056447F"/>
    <w:rsid w:val="005661C2"/>
    <w:rsid w:val="005661EE"/>
    <w:rsid w:val="00566D6F"/>
    <w:rsid w:val="005670C7"/>
    <w:rsid w:val="005674E3"/>
    <w:rsid w:val="00570412"/>
    <w:rsid w:val="00570C79"/>
    <w:rsid w:val="00570CF6"/>
    <w:rsid w:val="005721CB"/>
    <w:rsid w:val="00572A5F"/>
    <w:rsid w:val="005730F5"/>
    <w:rsid w:val="005731CC"/>
    <w:rsid w:val="005733D5"/>
    <w:rsid w:val="00573B6A"/>
    <w:rsid w:val="00575162"/>
    <w:rsid w:val="005752D5"/>
    <w:rsid w:val="00575BFE"/>
    <w:rsid w:val="00575FEE"/>
    <w:rsid w:val="00576417"/>
    <w:rsid w:val="00576859"/>
    <w:rsid w:val="00576AB5"/>
    <w:rsid w:val="005773F8"/>
    <w:rsid w:val="00580919"/>
    <w:rsid w:val="00580DA2"/>
    <w:rsid w:val="00581CC2"/>
    <w:rsid w:val="00581E05"/>
    <w:rsid w:val="00582689"/>
    <w:rsid w:val="005826D9"/>
    <w:rsid w:val="00582777"/>
    <w:rsid w:val="0058284B"/>
    <w:rsid w:val="00582FAE"/>
    <w:rsid w:val="00583C17"/>
    <w:rsid w:val="00583E6D"/>
    <w:rsid w:val="00584C62"/>
    <w:rsid w:val="00584FDA"/>
    <w:rsid w:val="00585247"/>
    <w:rsid w:val="005856B9"/>
    <w:rsid w:val="0058628B"/>
    <w:rsid w:val="005862DF"/>
    <w:rsid w:val="005865A5"/>
    <w:rsid w:val="00586FCA"/>
    <w:rsid w:val="005871E9"/>
    <w:rsid w:val="00587EA3"/>
    <w:rsid w:val="00590132"/>
    <w:rsid w:val="0059031C"/>
    <w:rsid w:val="0059040B"/>
    <w:rsid w:val="005914AD"/>
    <w:rsid w:val="005916D8"/>
    <w:rsid w:val="00592374"/>
    <w:rsid w:val="005925D3"/>
    <w:rsid w:val="00592CE0"/>
    <w:rsid w:val="005932AA"/>
    <w:rsid w:val="005946A9"/>
    <w:rsid w:val="00594C75"/>
    <w:rsid w:val="005951F5"/>
    <w:rsid w:val="00595285"/>
    <w:rsid w:val="005972ED"/>
    <w:rsid w:val="00597BF4"/>
    <w:rsid w:val="005A03BA"/>
    <w:rsid w:val="005A1F06"/>
    <w:rsid w:val="005A2EB8"/>
    <w:rsid w:val="005A3FDF"/>
    <w:rsid w:val="005A40D8"/>
    <w:rsid w:val="005A4D9B"/>
    <w:rsid w:val="005A5D4D"/>
    <w:rsid w:val="005A5E63"/>
    <w:rsid w:val="005A66EB"/>
    <w:rsid w:val="005A757F"/>
    <w:rsid w:val="005A7AEC"/>
    <w:rsid w:val="005A7EC6"/>
    <w:rsid w:val="005B06E2"/>
    <w:rsid w:val="005B0AB7"/>
    <w:rsid w:val="005B109A"/>
    <w:rsid w:val="005B1E96"/>
    <w:rsid w:val="005B1F38"/>
    <w:rsid w:val="005B2051"/>
    <w:rsid w:val="005B2A4F"/>
    <w:rsid w:val="005B3510"/>
    <w:rsid w:val="005B36C2"/>
    <w:rsid w:val="005B3DBF"/>
    <w:rsid w:val="005B4424"/>
    <w:rsid w:val="005B47AD"/>
    <w:rsid w:val="005B5CCC"/>
    <w:rsid w:val="005B6484"/>
    <w:rsid w:val="005B6508"/>
    <w:rsid w:val="005B6F51"/>
    <w:rsid w:val="005B6F55"/>
    <w:rsid w:val="005B7009"/>
    <w:rsid w:val="005B72DE"/>
    <w:rsid w:val="005B7D03"/>
    <w:rsid w:val="005C01B2"/>
    <w:rsid w:val="005C0237"/>
    <w:rsid w:val="005C0B65"/>
    <w:rsid w:val="005C0BA3"/>
    <w:rsid w:val="005C1811"/>
    <w:rsid w:val="005C25BD"/>
    <w:rsid w:val="005C2B01"/>
    <w:rsid w:val="005C3287"/>
    <w:rsid w:val="005C3325"/>
    <w:rsid w:val="005C335C"/>
    <w:rsid w:val="005C338E"/>
    <w:rsid w:val="005C3535"/>
    <w:rsid w:val="005C512E"/>
    <w:rsid w:val="005C5C87"/>
    <w:rsid w:val="005C6C77"/>
    <w:rsid w:val="005C7314"/>
    <w:rsid w:val="005C739E"/>
    <w:rsid w:val="005C74F5"/>
    <w:rsid w:val="005C790E"/>
    <w:rsid w:val="005C7BCC"/>
    <w:rsid w:val="005D02FD"/>
    <w:rsid w:val="005D09C3"/>
    <w:rsid w:val="005D1536"/>
    <w:rsid w:val="005D1ECA"/>
    <w:rsid w:val="005D2098"/>
    <w:rsid w:val="005D278D"/>
    <w:rsid w:val="005D2CD0"/>
    <w:rsid w:val="005D2E3D"/>
    <w:rsid w:val="005D2F50"/>
    <w:rsid w:val="005D2FAE"/>
    <w:rsid w:val="005D42FE"/>
    <w:rsid w:val="005D440A"/>
    <w:rsid w:val="005D44FD"/>
    <w:rsid w:val="005D4544"/>
    <w:rsid w:val="005D4795"/>
    <w:rsid w:val="005D493C"/>
    <w:rsid w:val="005D4EE1"/>
    <w:rsid w:val="005D51FD"/>
    <w:rsid w:val="005D5BEB"/>
    <w:rsid w:val="005D62C4"/>
    <w:rsid w:val="005D62E8"/>
    <w:rsid w:val="005D66A8"/>
    <w:rsid w:val="005D6738"/>
    <w:rsid w:val="005D6C37"/>
    <w:rsid w:val="005D72AD"/>
    <w:rsid w:val="005D7792"/>
    <w:rsid w:val="005E0158"/>
    <w:rsid w:val="005E0D0E"/>
    <w:rsid w:val="005E0F29"/>
    <w:rsid w:val="005E0F60"/>
    <w:rsid w:val="005E1089"/>
    <w:rsid w:val="005E14EB"/>
    <w:rsid w:val="005E17D1"/>
    <w:rsid w:val="005E21B1"/>
    <w:rsid w:val="005E23BE"/>
    <w:rsid w:val="005E31ED"/>
    <w:rsid w:val="005E322E"/>
    <w:rsid w:val="005E3364"/>
    <w:rsid w:val="005E3C13"/>
    <w:rsid w:val="005E4BA3"/>
    <w:rsid w:val="005E57A1"/>
    <w:rsid w:val="005E62DE"/>
    <w:rsid w:val="005E69C4"/>
    <w:rsid w:val="005E71B5"/>
    <w:rsid w:val="005E7536"/>
    <w:rsid w:val="005F0444"/>
    <w:rsid w:val="005F06AF"/>
    <w:rsid w:val="005F0791"/>
    <w:rsid w:val="005F08CF"/>
    <w:rsid w:val="005F1006"/>
    <w:rsid w:val="005F1154"/>
    <w:rsid w:val="005F1888"/>
    <w:rsid w:val="005F1D91"/>
    <w:rsid w:val="005F252F"/>
    <w:rsid w:val="005F2F30"/>
    <w:rsid w:val="005F4347"/>
    <w:rsid w:val="005F65FA"/>
    <w:rsid w:val="005F6BE2"/>
    <w:rsid w:val="005F7100"/>
    <w:rsid w:val="005F73AB"/>
    <w:rsid w:val="005F7416"/>
    <w:rsid w:val="00600212"/>
    <w:rsid w:val="00601735"/>
    <w:rsid w:val="00601AF3"/>
    <w:rsid w:val="00602215"/>
    <w:rsid w:val="00602E25"/>
    <w:rsid w:val="006031AD"/>
    <w:rsid w:val="006037EA"/>
    <w:rsid w:val="00603C3D"/>
    <w:rsid w:val="00603D50"/>
    <w:rsid w:val="006044D4"/>
    <w:rsid w:val="0060496D"/>
    <w:rsid w:val="0060592D"/>
    <w:rsid w:val="00605A10"/>
    <w:rsid w:val="00605D04"/>
    <w:rsid w:val="0060612D"/>
    <w:rsid w:val="00606155"/>
    <w:rsid w:val="0060637D"/>
    <w:rsid w:val="0060719B"/>
    <w:rsid w:val="006075D9"/>
    <w:rsid w:val="00610027"/>
    <w:rsid w:val="006103D2"/>
    <w:rsid w:val="006106E8"/>
    <w:rsid w:val="00610F21"/>
    <w:rsid w:val="00611485"/>
    <w:rsid w:val="00611A7E"/>
    <w:rsid w:val="006124AD"/>
    <w:rsid w:val="00612802"/>
    <w:rsid w:val="00613500"/>
    <w:rsid w:val="00613A61"/>
    <w:rsid w:val="0061653D"/>
    <w:rsid w:val="006168DA"/>
    <w:rsid w:val="00617679"/>
    <w:rsid w:val="00617A78"/>
    <w:rsid w:val="006201C3"/>
    <w:rsid w:val="00620329"/>
    <w:rsid w:val="00620C45"/>
    <w:rsid w:val="00620D6A"/>
    <w:rsid w:val="00620D98"/>
    <w:rsid w:val="00621789"/>
    <w:rsid w:val="00621E78"/>
    <w:rsid w:val="00622E10"/>
    <w:rsid w:val="00622FE9"/>
    <w:rsid w:val="00623692"/>
    <w:rsid w:val="0062369F"/>
    <w:rsid w:val="0062413A"/>
    <w:rsid w:val="0062495F"/>
    <w:rsid w:val="00625113"/>
    <w:rsid w:val="00625B63"/>
    <w:rsid w:val="00626121"/>
    <w:rsid w:val="00626238"/>
    <w:rsid w:val="00626597"/>
    <w:rsid w:val="00626608"/>
    <w:rsid w:val="00627A83"/>
    <w:rsid w:val="00630949"/>
    <w:rsid w:val="0063137D"/>
    <w:rsid w:val="00631D3A"/>
    <w:rsid w:val="00631DB5"/>
    <w:rsid w:val="00632139"/>
    <w:rsid w:val="006322D1"/>
    <w:rsid w:val="00632563"/>
    <w:rsid w:val="0063262A"/>
    <w:rsid w:val="00634F0D"/>
    <w:rsid w:val="00635EF0"/>
    <w:rsid w:val="00636277"/>
    <w:rsid w:val="00637694"/>
    <w:rsid w:val="006379F4"/>
    <w:rsid w:val="00637D09"/>
    <w:rsid w:val="00637FD2"/>
    <w:rsid w:val="006402F9"/>
    <w:rsid w:val="006404E0"/>
    <w:rsid w:val="00641D10"/>
    <w:rsid w:val="00641D19"/>
    <w:rsid w:val="0064252F"/>
    <w:rsid w:val="00643253"/>
    <w:rsid w:val="00643D9C"/>
    <w:rsid w:val="0064578D"/>
    <w:rsid w:val="00646296"/>
    <w:rsid w:val="0064691A"/>
    <w:rsid w:val="00646C90"/>
    <w:rsid w:val="00646E88"/>
    <w:rsid w:val="006474A2"/>
    <w:rsid w:val="0064780E"/>
    <w:rsid w:val="0064783C"/>
    <w:rsid w:val="006500B1"/>
    <w:rsid w:val="00651C2C"/>
    <w:rsid w:val="00651E6D"/>
    <w:rsid w:val="00651EB1"/>
    <w:rsid w:val="00652906"/>
    <w:rsid w:val="00652C9D"/>
    <w:rsid w:val="006537C6"/>
    <w:rsid w:val="00654151"/>
    <w:rsid w:val="00654CE7"/>
    <w:rsid w:val="00655336"/>
    <w:rsid w:val="006557A5"/>
    <w:rsid w:val="00655D38"/>
    <w:rsid w:val="00656428"/>
    <w:rsid w:val="006579E3"/>
    <w:rsid w:val="00660B4E"/>
    <w:rsid w:val="006615B1"/>
    <w:rsid w:val="00661D70"/>
    <w:rsid w:val="00661E23"/>
    <w:rsid w:val="0066271A"/>
    <w:rsid w:val="00662CD3"/>
    <w:rsid w:val="0066316B"/>
    <w:rsid w:val="0066379F"/>
    <w:rsid w:val="006644A8"/>
    <w:rsid w:val="00664BCB"/>
    <w:rsid w:val="00664E0C"/>
    <w:rsid w:val="00665292"/>
    <w:rsid w:val="0066603B"/>
    <w:rsid w:val="00666093"/>
    <w:rsid w:val="00666C76"/>
    <w:rsid w:val="00666DF7"/>
    <w:rsid w:val="006679C6"/>
    <w:rsid w:val="00667BDD"/>
    <w:rsid w:val="00670001"/>
    <w:rsid w:val="006702A1"/>
    <w:rsid w:val="00670534"/>
    <w:rsid w:val="00672F15"/>
    <w:rsid w:val="00673750"/>
    <w:rsid w:val="00675549"/>
    <w:rsid w:val="0067554B"/>
    <w:rsid w:val="00676819"/>
    <w:rsid w:val="006769A9"/>
    <w:rsid w:val="00676DEA"/>
    <w:rsid w:val="00676E81"/>
    <w:rsid w:val="0067747A"/>
    <w:rsid w:val="006776A0"/>
    <w:rsid w:val="006802C3"/>
    <w:rsid w:val="00680391"/>
    <w:rsid w:val="006803BD"/>
    <w:rsid w:val="00680B64"/>
    <w:rsid w:val="00680FC3"/>
    <w:rsid w:val="006814C1"/>
    <w:rsid w:val="00681F82"/>
    <w:rsid w:val="00682E10"/>
    <w:rsid w:val="0068314F"/>
    <w:rsid w:val="00683D73"/>
    <w:rsid w:val="00683FDB"/>
    <w:rsid w:val="00684354"/>
    <w:rsid w:val="00684367"/>
    <w:rsid w:val="006849B8"/>
    <w:rsid w:val="00684E0E"/>
    <w:rsid w:val="00684F11"/>
    <w:rsid w:val="006852A9"/>
    <w:rsid w:val="006858E2"/>
    <w:rsid w:val="0068684A"/>
    <w:rsid w:val="00686B48"/>
    <w:rsid w:val="00686F27"/>
    <w:rsid w:val="00686F94"/>
    <w:rsid w:val="00690162"/>
    <w:rsid w:val="0069053A"/>
    <w:rsid w:val="006907BB"/>
    <w:rsid w:val="00690971"/>
    <w:rsid w:val="00691C58"/>
    <w:rsid w:val="00692A57"/>
    <w:rsid w:val="00692AD8"/>
    <w:rsid w:val="00692F2B"/>
    <w:rsid w:val="006938B4"/>
    <w:rsid w:val="00693C71"/>
    <w:rsid w:val="00693DF7"/>
    <w:rsid w:val="006945CB"/>
    <w:rsid w:val="0069464F"/>
    <w:rsid w:val="006946C2"/>
    <w:rsid w:val="00694982"/>
    <w:rsid w:val="00694DDD"/>
    <w:rsid w:val="0069534A"/>
    <w:rsid w:val="0069590A"/>
    <w:rsid w:val="0069734D"/>
    <w:rsid w:val="00697990"/>
    <w:rsid w:val="00697EFF"/>
    <w:rsid w:val="006A023C"/>
    <w:rsid w:val="006A07D8"/>
    <w:rsid w:val="006A0A27"/>
    <w:rsid w:val="006A0F19"/>
    <w:rsid w:val="006A2904"/>
    <w:rsid w:val="006A2C0E"/>
    <w:rsid w:val="006A2F3F"/>
    <w:rsid w:val="006A46BC"/>
    <w:rsid w:val="006A497A"/>
    <w:rsid w:val="006A4AEA"/>
    <w:rsid w:val="006A51CC"/>
    <w:rsid w:val="006A546C"/>
    <w:rsid w:val="006A5581"/>
    <w:rsid w:val="006A5EDB"/>
    <w:rsid w:val="006A75A0"/>
    <w:rsid w:val="006A7D9D"/>
    <w:rsid w:val="006B0252"/>
    <w:rsid w:val="006B0FB3"/>
    <w:rsid w:val="006B218C"/>
    <w:rsid w:val="006B2BE0"/>
    <w:rsid w:val="006B30E8"/>
    <w:rsid w:val="006B3B33"/>
    <w:rsid w:val="006B536B"/>
    <w:rsid w:val="006B5676"/>
    <w:rsid w:val="006B5B24"/>
    <w:rsid w:val="006B6C96"/>
    <w:rsid w:val="006B79D5"/>
    <w:rsid w:val="006C0023"/>
    <w:rsid w:val="006C0169"/>
    <w:rsid w:val="006C1504"/>
    <w:rsid w:val="006C19E9"/>
    <w:rsid w:val="006C1CD4"/>
    <w:rsid w:val="006C2A91"/>
    <w:rsid w:val="006C3204"/>
    <w:rsid w:val="006C47D1"/>
    <w:rsid w:val="006C488B"/>
    <w:rsid w:val="006C5631"/>
    <w:rsid w:val="006C61BE"/>
    <w:rsid w:val="006C62C8"/>
    <w:rsid w:val="006D057C"/>
    <w:rsid w:val="006D0BA7"/>
    <w:rsid w:val="006D12FA"/>
    <w:rsid w:val="006D15EC"/>
    <w:rsid w:val="006D1A9A"/>
    <w:rsid w:val="006D1B64"/>
    <w:rsid w:val="006D1C45"/>
    <w:rsid w:val="006D1FCB"/>
    <w:rsid w:val="006D2026"/>
    <w:rsid w:val="006D25D8"/>
    <w:rsid w:val="006D2FB6"/>
    <w:rsid w:val="006D401E"/>
    <w:rsid w:val="006D43C2"/>
    <w:rsid w:val="006D4C7C"/>
    <w:rsid w:val="006D53AB"/>
    <w:rsid w:val="006D5751"/>
    <w:rsid w:val="006D5F00"/>
    <w:rsid w:val="006D5F41"/>
    <w:rsid w:val="006D6C3E"/>
    <w:rsid w:val="006D7A18"/>
    <w:rsid w:val="006D7DD4"/>
    <w:rsid w:val="006E0456"/>
    <w:rsid w:val="006E18E2"/>
    <w:rsid w:val="006E2EFB"/>
    <w:rsid w:val="006E3953"/>
    <w:rsid w:val="006E3B68"/>
    <w:rsid w:val="006E45CB"/>
    <w:rsid w:val="006E4982"/>
    <w:rsid w:val="006E4B31"/>
    <w:rsid w:val="006E4DE1"/>
    <w:rsid w:val="006E5621"/>
    <w:rsid w:val="006E5FBD"/>
    <w:rsid w:val="006E6114"/>
    <w:rsid w:val="006E696A"/>
    <w:rsid w:val="006E6CC6"/>
    <w:rsid w:val="006E6FFF"/>
    <w:rsid w:val="006F0249"/>
    <w:rsid w:val="006F0829"/>
    <w:rsid w:val="006F0AAE"/>
    <w:rsid w:val="006F0C6E"/>
    <w:rsid w:val="006F0FEF"/>
    <w:rsid w:val="006F1E1C"/>
    <w:rsid w:val="006F2544"/>
    <w:rsid w:val="006F40A2"/>
    <w:rsid w:val="006F498D"/>
    <w:rsid w:val="006F4C32"/>
    <w:rsid w:val="006F54AB"/>
    <w:rsid w:val="006F611E"/>
    <w:rsid w:val="006F724A"/>
    <w:rsid w:val="007001AB"/>
    <w:rsid w:val="007012B7"/>
    <w:rsid w:val="00701F3D"/>
    <w:rsid w:val="007020C0"/>
    <w:rsid w:val="007024F9"/>
    <w:rsid w:val="0070312C"/>
    <w:rsid w:val="00703587"/>
    <w:rsid w:val="00703B98"/>
    <w:rsid w:val="00703D22"/>
    <w:rsid w:val="007040B7"/>
    <w:rsid w:val="00704185"/>
    <w:rsid w:val="00705610"/>
    <w:rsid w:val="00705A6B"/>
    <w:rsid w:val="00705AB8"/>
    <w:rsid w:val="00705B7D"/>
    <w:rsid w:val="00707223"/>
    <w:rsid w:val="00707850"/>
    <w:rsid w:val="0070795B"/>
    <w:rsid w:val="007102D6"/>
    <w:rsid w:val="007112F2"/>
    <w:rsid w:val="00711325"/>
    <w:rsid w:val="00711AF7"/>
    <w:rsid w:val="00711C09"/>
    <w:rsid w:val="00711D01"/>
    <w:rsid w:val="00712863"/>
    <w:rsid w:val="0071316A"/>
    <w:rsid w:val="0071332B"/>
    <w:rsid w:val="00713D62"/>
    <w:rsid w:val="00714966"/>
    <w:rsid w:val="00714FBD"/>
    <w:rsid w:val="00716E00"/>
    <w:rsid w:val="00717186"/>
    <w:rsid w:val="00717714"/>
    <w:rsid w:val="00717A2F"/>
    <w:rsid w:val="00717B6E"/>
    <w:rsid w:val="007204A0"/>
    <w:rsid w:val="007206B9"/>
    <w:rsid w:val="007206C9"/>
    <w:rsid w:val="00720F18"/>
    <w:rsid w:val="0072151C"/>
    <w:rsid w:val="00722092"/>
    <w:rsid w:val="00722E72"/>
    <w:rsid w:val="007237CC"/>
    <w:rsid w:val="00724247"/>
    <w:rsid w:val="007243D9"/>
    <w:rsid w:val="0072601D"/>
    <w:rsid w:val="0072685E"/>
    <w:rsid w:val="00727297"/>
    <w:rsid w:val="0072751F"/>
    <w:rsid w:val="007277F0"/>
    <w:rsid w:val="00730A99"/>
    <w:rsid w:val="00730FA8"/>
    <w:rsid w:val="007318DB"/>
    <w:rsid w:val="007318F6"/>
    <w:rsid w:val="00731A63"/>
    <w:rsid w:val="00732114"/>
    <w:rsid w:val="00732EFC"/>
    <w:rsid w:val="00733149"/>
    <w:rsid w:val="007332BF"/>
    <w:rsid w:val="00733B7B"/>
    <w:rsid w:val="00733F4F"/>
    <w:rsid w:val="00733FAE"/>
    <w:rsid w:val="007344C7"/>
    <w:rsid w:val="00735CAE"/>
    <w:rsid w:val="007360BE"/>
    <w:rsid w:val="0073628A"/>
    <w:rsid w:val="00737D32"/>
    <w:rsid w:val="00740E0B"/>
    <w:rsid w:val="0074218E"/>
    <w:rsid w:val="007428E8"/>
    <w:rsid w:val="00743083"/>
    <w:rsid w:val="007432C8"/>
    <w:rsid w:val="007435C7"/>
    <w:rsid w:val="00743F1B"/>
    <w:rsid w:val="00743F65"/>
    <w:rsid w:val="00744ACA"/>
    <w:rsid w:val="00745111"/>
    <w:rsid w:val="0074549A"/>
    <w:rsid w:val="00746E98"/>
    <w:rsid w:val="00746F0D"/>
    <w:rsid w:val="0074763D"/>
    <w:rsid w:val="00750313"/>
    <w:rsid w:val="0075038E"/>
    <w:rsid w:val="007507AB"/>
    <w:rsid w:val="00751A3D"/>
    <w:rsid w:val="00751B53"/>
    <w:rsid w:val="00751D79"/>
    <w:rsid w:val="00751DC7"/>
    <w:rsid w:val="00752857"/>
    <w:rsid w:val="00752A1E"/>
    <w:rsid w:val="00753019"/>
    <w:rsid w:val="00753325"/>
    <w:rsid w:val="00753489"/>
    <w:rsid w:val="00753753"/>
    <w:rsid w:val="007545F2"/>
    <w:rsid w:val="00754A30"/>
    <w:rsid w:val="00754A71"/>
    <w:rsid w:val="00755A2B"/>
    <w:rsid w:val="00756FDF"/>
    <w:rsid w:val="007601A1"/>
    <w:rsid w:val="00761E0E"/>
    <w:rsid w:val="00762401"/>
    <w:rsid w:val="0076299D"/>
    <w:rsid w:val="00762C0C"/>
    <w:rsid w:val="00762F0B"/>
    <w:rsid w:val="007640EA"/>
    <w:rsid w:val="00765126"/>
    <w:rsid w:val="00765DF6"/>
    <w:rsid w:val="0076736F"/>
    <w:rsid w:val="007673A4"/>
    <w:rsid w:val="00767A5C"/>
    <w:rsid w:val="00767B14"/>
    <w:rsid w:val="00770E06"/>
    <w:rsid w:val="00770ECE"/>
    <w:rsid w:val="00771157"/>
    <w:rsid w:val="007711D7"/>
    <w:rsid w:val="00771499"/>
    <w:rsid w:val="00771558"/>
    <w:rsid w:val="007716E4"/>
    <w:rsid w:val="00772240"/>
    <w:rsid w:val="007726FA"/>
    <w:rsid w:val="00772F58"/>
    <w:rsid w:val="0077314C"/>
    <w:rsid w:val="00773DF3"/>
    <w:rsid w:val="00773F43"/>
    <w:rsid w:val="00773FB2"/>
    <w:rsid w:val="007755B8"/>
    <w:rsid w:val="00775BBF"/>
    <w:rsid w:val="00775C09"/>
    <w:rsid w:val="00775CF3"/>
    <w:rsid w:val="00775EE4"/>
    <w:rsid w:val="00776626"/>
    <w:rsid w:val="00776A0B"/>
    <w:rsid w:val="00777A1D"/>
    <w:rsid w:val="00777C91"/>
    <w:rsid w:val="00777DE2"/>
    <w:rsid w:val="0078003E"/>
    <w:rsid w:val="00780419"/>
    <w:rsid w:val="007809E3"/>
    <w:rsid w:val="00780AEC"/>
    <w:rsid w:val="00780C52"/>
    <w:rsid w:val="00781395"/>
    <w:rsid w:val="00782B42"/>
    <w:rsid w:val="00782EEF"/>
    <w:rsid w:val="00783923"/>
    <w:rsid w:val="00783ADA"/>
    <w:rsid w:val="0078480B"/>
    <w:rsid w:val="00784876"/>
    <w:rsid w:val="00784A20"/>
    <w:rsid w:val="00784A2C"/>
    <w:rsid w:val="007860CB"/>
    <w:rsid w:val="00786B21"/>
    <w:rsid w:val="00787339"/>
    <w:rsid w:val="00787674"/>
    <w:rsid w:val="00790088"/>
    <w:rsid w:val="00790996"/>
    <w:rsid w:val="00790B86"/>
    <w:rsid w:val="007926FD"/>
    <w:rsid w:val="00792A0C"/>
    <w:rsid w:val="007935E9"/>
    <w:rsid w:val="00793AA5"/>
    <w:rsid w:val="00793DE0"/>
    <w:rsid w:val="00794892"/>
    <w:rsid w:val="00796318"/>
    <w:rsid w:val="007A02A3"/>
    <w:rsid w:val="007A073F"/>
    <w:rsid w:val="007A2528"/>
    <w:rsid w:val="007A2EDC"/>
    <w:rsid w:val="007A2FDC"/>
    <w:rsid w:val="007A369E"/>
    <w:rsid w:val="007A4BA5"/>
    <w:rsid w:val="007A6DC2"/>
    <w:rsid w:val="007A7378"/>
    <w:rsid w:val="007A7EC6"/>
    <w:rsid w:val="007B0946"/>
    <w:rsid w:val="007B09F7"/>
    <w:rsid w:val="007B1488"/>
    <w:rsid w:val="007B1990"/>
    <w:rsid w:val="007B19F0"/>
    <w:rsid w:val="007B238C"/>
    <w:rsid w:val="007B3596"/>
    <w:rsid w:val="007B3674"/>
    <w:rsid w:val="007B36AF"/>
    <w:rsid w:val="007B3F5E"/>
    <w:rsid w:val="007B5330"/>
    <w:rsid w:val="007B5E12"/>
    <w:rsid w:val="007B5E39"/>
    <w:rsid w:val="007B6823"/>
    <w:rsid w:val="007B799C"/>
    <w:rsid w:val="007C079D"/>
    <w:rsid w:val="007C0B96"/>
    <w:rsid w:val="007C0E91"/>
    <w:rsid w:val="007C0EE7"/>
    <w:rsid w:val="007C2953"/>
    <w:rsid w:val="007C30B6"/>
    <w:rsid w:val="007C46B7"/>
    <w:rsid w:val="007C4C15"/>
    <w:rsid w:val="007C4D3C"/>
    <w:rsid w:val="007C500A"/>
    <w:rsid w:val="007C621E"/>
    <w:rsid w:val="007C6C4C"/>
    <w:rsid w:val="007C6D49"/>
    <w:rsid w:val="007C752C"/>
    <w:rsid w:val="007D0B77"/>
    <w:rsid w:val="007D1A16"/>
    <w:rsid w:val="007D3FE7"/>
    <w:rsid w:val="007D4637"/>
    <w:rsid w:val="007D478B"/>
    <w:rsid w:val="007D54E2"/>
    <w:rsid w:val="007D5BBA"/>
    <w:rsid w:val="007D5CC0"/>
    <w:rsid w:val="007D5F9D"/>
    <w:rsid w:val="007D7A74"/>
    <w:rsid w:val="007E030C"/>
    <w:rsid w:val="007E0D59"/>
    <w:rsid w:val="007E0E7F"/>
    <w:rsid w:val="007E0EFF"/>
    <w:rsid w:val="007E171C"/>
    <w:rsid w:val="007E1CB1"/>
    <w:rsid w:val="007E1D3F"/>
    <w:rsid w:val="007E259F"/>
    <w:rsid w:val="007E2B39"/>
    <w:rsid w:val="007E3F74"/>
    <w:rsid w:val="007E4F2A"/>
    <w:rsid w:val="007E560A"/>
    <w:rsid w:val="007E592A"/>
    <w:rsid w:val="007E60F4"/>
    <w:rsid w:val="007E7A52"/>
    <w:rsid w:val="007E7A58"/>
    <w:rsid w:val="007F0398"/>
    <w:rsid w:val="007F1CFB"/>
    <w:rsid w:val="007F32C8"/>
    <w:rsid w:val="007F4892"/>
    <w:rsid w:val="007F493E"/>
    <w:rsid w:val="007F75AF"/>
    <w:rsid w:val="007F7A6A"/>
    <w:rsid w:val="00800DB2"/>
    <w:rsid w:val="00801266"/>
    <w:rsid w:val="008025EE"/>
    <w:rsid w:val="00802954"/>
    <w:rsid w:val="0080451D"/>
    <w:rsid w:val="00804662"/>
    <w:rsid w:val="0080553B"/>
    <w:rsid w:val="00805B91"/>
    <w:rsid w:val="00805C9F"/>
    <w:rsid w:val="00806AFC"/>
    <w:rsid w:val="00806F56"/>
    <w:rsid w:val="008100CF"/>
    <w:rsid w:val="0081042D"/>
    <w:rsid w:val="0081123D"/>
    <w:rsid w:val="00811525"/>
    <w:rsid w:val="00811E6D"/>
    <w:rsid w:val="00812C7E"/>
    <w:rsid w:val="008137E5"/>
    <w:rsid w:val="00813D02"/>
    <w:rsid w:val="008141B4"/>
    <w:rsid w:val="008144BD"/>
    <w:rsid w:val="0081497E"/>
    <w:rsid w:val="008152B8"/>
    <w:rsid w:val="00815ABE"/>
    <w:rsid w:val="00815C0B"/>
    <w:rsid w:val="00817DF6"/>
    <w:rsid w:val="0082026A"/>
    <w:rsid w:val="00820E83"/>
    <w:rsid w:val="00821260"/>
    <w:rsid w:val="00822F5D"/>
    <w:rsid w:val="00823642"/>
    <w:rsid w:val="0082392F"/>
    <w:rsid w:val="00823F75"/>
    <w:rsid w:val="0082506F"/>
    <w:rsid w:val="0082512E"/>
    <w:rsid w:val="008253BA"/>
    <w:rsid w:val="00825998"/>
    <w:rsid w:val="00825C07"/>
    <w:rsid w:val="008262B2"/>
    <w:rsid w:val="00826B9F"/>
    <w:rsid w:val="0082782E"/>
    <w:rsid w:val="00827DC4"/>
    <w:rsid w:val="0083002F"/>
    <w:rsid w:val="008307EC"/>
    <w:rsid w:val="008315FE"/>
    <w:rsid w:val="00831B89"/>
    <w:rsid w:val="00832056"/>
    <w:rsid w:val="008322BE"/>
    <w:rsid w:val="00832650"/>
    <w:rsid w:val="008333CA"/>
    <w:rsid w:val="00834023"/>
    <w:rsid w:val="00834E09"/>
    <w:rsid w:val="008356A7"/>
    <w:rsid w:val="00835CFC"/>
    <w:rsid w:val="00836353"/>
    <w:rsid w:val="008367EC"/>
    <w:rsid w:val="008372B4"/>
    <w:rsid w:val="00840578"/>
    <w:rsid w:val="0084067E"/>
    <w:rsid w:val="00842EB8"/>
    <w:rsid w:val="00843298"/>
    <w:rsid w:val="008438FD"/>
    <w:rsid w:val="00843E17"/>
    <w:rsid w:val="0084400C"/>
    <w:rsid w:val="008447FB"/>
    <w:rsid w:val="008448E2"/>
    <w:rsid w:val="0084492F"/>
    <w:rsid w:val="00844BD4"/>
    <w:rsid w:val="00845046"/>
    <w:rsid w:val="00845B64"/>
    <w:rsid w:val="008463DA"/>
    <w:rsid w:val="008471A4"/>
    <w:rsid w:val="00847A26"/>
    <w:rsid w:val="00847AC9"/>
    <w:rsid w:val="00850081"/>
    <w:rsid w:val="0085099F"/>
    <w:rsid w:val="00850B02"/>
    <w:rsid w:val="00850B1C"/>
    <w:rsid w:val="00850C17"/>
    <w:rsid w:val="00850D4A"/>
    <w:rsid w:val="0085139E"/>
    <w:rsid w:val="0085146C"/>
    <w:rsid w:val="00851E44"/>
    <w:rsid w:val="00852222"/>
    <w:rsid w:val="008525C1"/>
    <w:rsid w:val="008527D1"/>
    <w:rsid w:val="0085297E"/>
    <w:rsid w:val="00853079"/>
    <w:rsid w:val="00853C55"/>
    <w:rsid w:val="00855073"/>
    <w:rsid w:val="008558B3"/>
    <w:rsid w:val="00856E96"/>
    <w:rsid w:val="008577D2"/>
    <w:rsid w:val="00857C40"/>
    <w:rsid w:val="00857F00"/>
    <w:rsid w:val="00860FAD"/>
    <w:rsid w:val="00861494"/>
    <w:rsid w:val="00861A46"/>
    <w:rsid w:val="00861B36"/>
    <w:rsid w:val="00861BCB"/>
    <w:rsid w:val="008624C5"/>
    <w:rsid w:val="0086287F"/>
    <w:rsid w:val="00862D9E"/>
    <w:rsid w:val="00863AC9"/>
    <w:rsid w:val="00864857"/>
    <w:rsid w:val="008657A1"/>
    <w:rsid w:val="00865B41"/>
    <w:rsid w:val="00865B5A"/>
    <w:rsid w:val="00866545"/>
    <w:rsid w:val="0086676D"/>
    <w:rsid w:val="008670F2"/>
    <w:rsid w:val="00867835"/>
    <w:rsid w:val="00870609"/>
    <w:rsid w:val="00870DC9"/>
    <w:rsid w:val="008714EE"/>
    <w:rsid w:val="0087167C"/>
    <w:rsid w:val="008717C1"/>
    <w:rsid w:val="00872EEA"/>
    <w:rsid w:val="00873426"/>
    <w:rsid w:val="0087519F"/>
    <w:rsid w:val="00875663"/>
    <w:rsid w:val="008756D4"/>
    <w:rsid w:val="0087647C"/>
    <w:rsid w:val="00876D03"/>
    <w:rsid w:val="00877457"/>
    <w:rsid w:val="0087748E"/>
    <w:rsid w:val="00880364"/>
    <w:rsid w:val="008807DD"/>
    <w:rsid w:val="00880990"/>
    <w:rsid w:val="00880E35"/>
    <w:rsid w:val="008814DE"/>
    <w:rsid w:val="00881D76"/>
    <w:rsid w:val="008822A6"/>
    <w:rsid w:val="008829B4"/>
    <w:rsid w:val="008830C0"/>
    <w:rsid w:val="00883281"/>
    <w:rsid w:val="00883876"/>
    <w:rsid w:val="00884670"/>
    <w:rsid w:val="00885348"/>
    <w:rsid w:val="00885471"/>
    <w:rsid w:val="008854DC"/>
    <w:rsid w:val="008858B6"/>
    <w:rsid w:val="00885B94"/>
    <w:rsid w:val="008861BD"/>
    <w:rsid w:val="00886DBE"/>
    <w:rsid w:val="00887BAD"/>
    <w:rsid w:val="008900B2"/>
    <w:rsid w:val="0089022A"/>
    <w:rsid w:val="00891206"/>
    <w:rsid w:val="00891468"/>
    <w:rsid w:val="00891E75"/>
    <w:rsid w:val="00893531"/>
    <w:rsid w:val="00893B51"/>
    <w:rsid w:val="00893E74"/>
    <w:rsid w:val="00894860"/>
    <w:rsid w:val="008949D5"/>
    <w:rsid w:val="00894BF7"/>
    <w:rsid w:val="00894D6C"/>
    <w:rsid w:val="00894DDB"/>
    <w:rsid w:val="00894F4A"/>
    <w:rsid w:val="0089513E"/>
    <w:rsid w:val="00895465"/>
    <w:rsid w:val="00895506"/>
    <w:rsid w:val="00895DA2"/>
    <w:rsid w:val="00895DDF"/>
    <w:rsid w:val="00896B52"/>
    <w:rsid w:val="00896C9A"/>
    <w:rsid w:val="00897261"/>
    <w:rsid w:val="008A0022"/>
    <w:rsid w:val="008A01AA"/>
    <w:rsid w:val="008A0753"/>
    <w:rsid w:val="008A113F"/>
    <w:rsid w:val="008A1F2A"/>
    <w:rsid w:val="008A22AD"/>
    <w:rsid w:val="008A2418"/>
    <w:rsid w:val="008A29A7"/>
    <w:rsid w:val="008A2C4C"/>
    <w:rsid w:val="008A2F29"/>
    <w:rsid w:val="008A30A9"/>
    <w:rsid w:val="008A32AE"/>
    <w:rsid w:val="008A37A0"/>
    <w:rsid w:val="008A3C27"/>
    <w:rsid w:val="008A471C"/>
    <w:rsid w:val="008A4D0F"/>
    <w:rsid w:val="008A4D19"/>
    <w:rsid w:val="008A5A94"/>
    <w:rsid w:val="008A5C0D"/>
    <w:rsid w:val="008A685B"/>
    <w:rsid w:val="008B0938"/>
    <w:rsid w:val="008B0C0F"/>
    <w:rsid w:val="008B0FF3"/>
    <w:rsid w:val="008B1986"/>
    <w:rsid w:val="008B1FFD"/>
    <w:rsid w:val="008B2003"/>
    <w:rsid w:val="008B2FE9"/>
    <w:rsid w:val="008B33A7"/>
    <w:rsid w:val="008B3963"/>
    <w:rsid w:val="008B3F4A"/>
    <w:rsid w:val="008B45B8"/>
    <w:rsid w:val="008B46CB"/>
    <w:rsid w:val="008B4720"/>
    <w:rsid w:val="008B4AE6"/>
    <w:rsid w:val="008B5AEE"/>
    <w:rsid w:val="008B69ED"/>
    <w:rsid w:val="008B6EBD"/>
    <w:rsid w:val="008B724D"/>
    <w:rsid w:val="008C079E"/>
    <w:rsid w:val="008C08AB"/>
    <w:rsid w:val="008C1481"/>
    <w:rsid w:val="008C22E8"/>
    <w:rsid w:val="008C235C"/>
    <w:rsid w:val="008C2C28"/>
    <w:rsid w:val="008C40D9"/>
    <w:rsid w:val="008C497A"/>
    <w:rsid w:val="008C4D7F"/>
    <w:rsid w:val="008C4F82"/>
    <w:rsid w:val="008C5D04"/>
    <w:rsid w:val="008C6A79"/>
    <w:rsid w:val="008C6B3D"/>
    <w:rsid w:val="008C751D"/>
    <w:rsid w:val="008C7A16"/>
    <w:rsid w:val="008C7B17"/>
    <w:rsid w:val="008C7C7F"/>
    <w:rsid w:val="008C7FAF"/>
    <w:rsid w:val="008D0A03"/>
    <w:rsid w:val="008D0A6F"/>
    <w:rsid w:val="008D2463"/>
    <w:rsid w:val="008D3485"/>
    <w:rsid w:val="008D3883"/>
    <w:rsid w:val="008D3F1D"/>
    <w:rsid w:val="008D3F39"/>
    <w:rsid w:val="008D3F9E"/>
    <w:rsid w:val="008D4105"/>
    <w:rsid w:val="008D471F"/>
    <w:rsid w:val="008D4CDD"/>
    <w:rsid w:val="008D55F8"/>
    <w:rsid w:val="008D611C"/>
    <w:rsid w:val="008D6526"/>
    <w:rsid w:val="008D6991"/>
    <w:rsid w:val="008D7344"/>
    <w:rsid w:val="008D75AC"/>
    <w:rsid w:val="008E02A5"/>
    <w:rsid w:val="008E0E51"/>
    <w:rsid w:val="008E1C05"/>
    <w:rsid w:val="008E1D5C"/>
    <w:rsid w:val="008E2C4E"/>
    <w:rsid w:val="008E2D56"/>
    <w:rsid w:val="008E2DFC"/>
    <w:rsid w:val="008E436A"/>
    <w:rsid w:val="008E4B75"/>
    <w:rsid w:val="008E6D15"/>
    <w:rsid w:val="008E6D30"/>
    <w:rsid w:val="008E7421"/>
    <w:rsid w:val="008E7690"/>
    <w:rsid w:val="008E7B3D"/>
    <w:rsid w:val="008E7C17"/>
    <w:rsid w:val="008E7F08"/>
    <w:rsid w:val="008F0AF4"/>
    <w:rsid w:val="008F0CCD"/>
    <w:rsid w:val="008F0F7B"/>
    <w:rsid w:val="008F290D"/>
    <w:rsid w:val="008F2B27"/>
    <w:rsid w:val="008F2EF5"/>
    <w:rsid w:val="008F2F56"/>
    <w:rsid w:val="008F39D8"/>
    <w:rsid w:val="008F408C"/>
    <w:rsid w:val="008F4954"/>
    <w:rsid w:val="008F4A12"/>
    <w:rsid w:val="008F4DA3"/>
    <w:rsid w:val="008F4DEF"/>
    <w:rsid w:val="008F5320"/>
    <w:rsid w:val="008F54EE"/>
    <w:rsid w:val="008F5E02"/>
    <w:rsid w:val="008F62FC"/>
    <w:rsid w:val="008F6B1B"/>
    <w:rsid w:val="008F7090"/>
    <w:rsid w:val="008F7B42"/>
    <w:rsid w:val="00900812"/>
    <w:rsid w:val="009008D8"/>
    <w:rsid w:val="0090140E"/>
    <w:rsid w:val="009016DB"/>
    <w:rsid w:val="0090186F"/>
    <w:rsid w:val="00901F45"/>
    <w:rsid w:val="00902BA2"/>
    <w:rsid w:val="00903013"/>
    <w:rsid w:val="009035CD"/>
    <w:rsid w:val="00903C13"/>
    <w:rsid w:val="00904B5E"/>
    <w:rsid w:val="00904C68"/>
    <w:rsid w:val="00905122"/>
    <w:rsid w:val="00905BC0"/>
    <w:rsid w:val="00905FE7"/>
    <w:rsid w:val="0090722B"/>
    <w:rsid w:val="00911772"/>
    <w:rsid w:val="00912051"/>
    <w:rsid w:val="00912269"/>
    <w:rsid w:val="00912682"/>
    <w:rsid w:val="009126E5"/>
    <w:rsid w:val="00912DC6"/>
    <w:rsid w:val="0091335A"/>
    <w:rsid w:val="00914282"/>
    <w:rsid w:val="00916060"/>
    <w:rsid w:val="00916455"/>
    <w:rsid w:val="00916FC2"/>
    <w:rsid w:val="0091751F"/>
    <w:rsid w:val="00917EF5"/>
    <w:rsid w:val="009200C2"/>
    <w:rsid w:val="00920101"/>
    <w:rsid w:val="00920F40"/>
    <w:rsid w:val="009211A6"/>
    <w:rsid w:val="009212AD"/>
    <w:rsid w:val="00922F62"/>
    <w:rsid w:val="00924315"/>
    <w:rsid w:val="009248B7"/>
    <w:rsid w:val="00924A3F"/>
    <w:rsid w:val="00925DB2"/>
    <w:rsid w:val="00926E7C"/>
    <w:rsid w:val="0092702E"/>
    <w:rsid w:val="0093059A"/>
    <w:rsid w:val="009310B6"/>
    <w:rsid w:val="009314CA"/>
    <w:rsid w:val="00931E67"/>
    <w:rsid w:val="00933017"/>
    <w:rsid w:val="0093352F"/>
    <w:rsid w:val="009337C1"/>
    <w:rsid w:val="0093463D"/>
    <w:rsid w:val="00935929"/>
    <w:rsid w:val="009361A6"/>
    <w:rsid w:val="00936244"/>
    <w:rsid w:val="00937026"/>
    <w:rsid w:val="00937455"/>
    <w:rsid w:val="00937805"/>
    <w:rsid w:val="00937966"/>
    <w:rsid w:val="00937A3B"/>
    <w:rsid w:val="00940162"/>
    <w:rsid w:val="00940EF3"/>
    <w:rsid w:val="00940F7F"/>
    <w:rsid w:val="00941D25"/>
    <w:rsid w:val="009425A4"/>
    <w:rsid w:val="00942BEA"/>
    <w:rsid w:val="00943F73"/>
    <w:rsid w:val="00944E89"/>
    <w:rsid w:val="00945460"/>
    <w:rsid w:val="0094554F"/>
    <w:rsid w:val="00945EE1"/>
    <w:rsid w:val="00946F8F"/>
    <w:rsid w:val="00947782"/>
    <w:rsid w:val="009479A7"/>
    <w:rsid w:val="0095008A"/>
    <w:rsid w:val="00950481"/>
    <w:rsid w:val="00950ACB"/>
    <w:rsid w:val="00950BFB"/>
    <w:rsid w:val="00951020"/>
    <w:rsid w:val="00953364"/>
    <w:rsid w:val="00953E2B"/>
    <w:rsid w:val="0095425D"/>
    <w:rsid w:val="009552B2"/>
    <w:rsid w:val="00955AF5"/>
    <w:rsid w:val="00955CBD"/>
    <w:rsid w:val="00957F8D"/>
    <w:rsid w:val="0096090A"/>
    <w:rsid w:val="00961220"/>
    <w:rsid w:val="00961829"/>
    <w:rsid w:val="009627D4"/>
    <w:rsid w:val="00963539"/>
    <w:rsid w:val="00963B40"/>
    <w:rsid w:val="00963B50"/>
    <w:rsid w:val="00965059"/>
    <w:rsid w:val="009661CA"/>
    <w:rsid w:val="009662FD"/>
    <w:rsid w:val="00966838"/>
    <w:rsid w:val="00966E9E"/>
    <w:rsid w:val="0096717B"/>
    <w:rsid w:val="00967600"/>
    <w:rsid w:val="009676F4"/>
    <w:rsid w:val="009700FB"/>
    <w:rsid w:val="009703C1"/>
    <w:rsid w:val="0097087C"/>
    <w:rsid w:val="00970CB8"/>
    <w:rsid w:val="00971981"/>
    <w:rsid w:val="00971F31"/>
    <w:rsid w:val="0097232E"/>
    <w:rsid w:val="009728DE"/>
    <w:rsid w:val="00974309"/>
    <w:rsid w:val="009748B4"/>
    <w:rsid w:val="00975186"/>
    <w:rsid w:val="00975D7B"/>
    <w:rsid w:val="009762A2"/>
    <w:rsid w:val="00976507"/>
    <w:rsid w:val="00976774"/>
    <w:rsid w:val="00976ADF"/>
    <w:rsid w:val="00977D5D"/>
    <w:rsid w:val="009801C0"/>
    <w:rsid w:val="00980DE4"/>
    <w:rsid w:val="00980EEC"/>
    <w:rsid w:val="0098130D"/>
    <w:rsid w:val="00982006"/>
    <w:rsid w:val="00982576"/>
    <w:rsid w:val="009828A1"/>
    <w:rsid w:val="00982959"/>
    <w:rsid w:val="00982EA0"/>
    <w:rsid w:val="00983A53"/>
    <w:rsid w:val="009847F4"/>
    <w:rsid w:val="00984E5D"/>
    <w:rsid w:val="0098527A"/>
    <w:rsid w:val="00985625"/>
    <w:rsid w:val="00985E92"/>
    <w:rsid w:val="00986655"/>
    <w:rsid w:val="009868EE"/>
    <w:rsid w:val="00986942"/>
    <w:rsid w:val="00986D07"/>
    <w:rsid w:val="00986D4B"/>
    <w:rsid w:val="00987450"/>
    <w:rsid w:val="00987464"/>
    <w:rsid w:val="0098769D"/>
    <w:rsid w:val="00987E6B"/>
    <w:rsid w:val="0099016B"/>
    <w:rsid w:val="0099054B"/>
    <w:rsid w:val="009909CC"/>
    <w:rsid w:val="00991435"/>
    <w:rsid w:val="00991A08"/>
    <w:rsid w:val="009927F0"/>
    <w:rsid w:val="00992F1A"/>
    <w:rsid w:val="009931B1"/>
    <w:rsid w:val="00993507"/>
    <w:rsid w:val="00993662"/>
    <w:rsid w:val="00993B98"/>
    <w:rsid w:val="00993C86"/>
    <w:rsid w:val="00993FF0"/>
    <w:rsid w:val="0099411A"/>
    <w:rsid w:val="0099495A"/>
    <w:rsid w:val="00994E0E"/>
    <w:rsid w:val="00995651"/>
    <w:rsid w:val="00996A50"/>
    <w:rsid w:val="00996B5A"/>
    <w:rsid w:val="009A0832"/>
    <w:rsid w:val="009A2564"/>
    <w:rsid w:val="009A389A"/>
    <w:rsid w:val="009A39F4"/>
    <w:rsid w:val="009A3EE3"/>
    <w:rsid w:val="009A4392"/>
    <w:rsid w:val="009A4F52"/>
    <w:rsid w:val="009A50A0"/>
    <w:rsid w:val="009A5192"/>
    <w:rsid w:val="009A57F9"/>
    <w:rsid w:val="009A6546"/>
    <w:rsid w:val="009A7607"/>
    <w:rsid w:val="009B16D0"/>
    <w:rsid w:val="009B24CA"/>
    <w:rsid w:val="009B299A"/>
    <w:rsid w:val="009B2D6F"/>
    <w:rsid w:val="009B2EF8"/>
    <w:rsid w:val="009B30FE"/>
    <w:rsid w:val="009B3658"/>
    <w:rsid w:val="009B3A32"/>
    <w:rsid w:val="009B3DA1"/>
    <w:rsid w:val="009B4309"/>
    <w:rsid w:val="009B4822"/>
    <w:rsid w:val="009B5E15"/>
    <w:rsid w:val="009B6AD2"/>
    <w:rsid w:val="009B6EFA"/>
    <w:rsid w:val="009B71DB"/>
    <w:rsid w:val="009B7930"/>
    <w:rsid w:val="009B79E7"/>
    <w:rsid w:val="009C03A3"/>
    <w:rsid w:val="009C0E9C"/>
    <w:rsid w:val="009C1300"/>
    <w:rsid w:val="009C1CE4"/>
    <w:rsid w:val="009C1FA4"/>
    <w:rsid w:val="009C28B2"/>
    <w:rsid w:val="009C2A8B"/>
    <w:rsid w:val="009C311D"/>
    <w:rsid w:val="009C323D"/>
    <w:rsid w:val="009C352E"/>
    <w:rsid w:val="009C3D42"/>
    <w:rsid w:val="009C3D75"/>
    <w:rsid w:val="009C3E91"/>
    <w:rsid w:val="009C4164"/>
    <w:rsid w:val="009C4813"/>
    <w:rsid w:val="009C4ABC"/>
    <w:rsid w:val="009C557B"/>
    <w:rsid w:val="009C5CF1"/>
    <w:rsid w:val="009C5E5A"/>
    <w:rsid w:val="009C66A3"/>
    <w:rsid w:val="009C6A2C"/>
    <w:rsid w:val="009C6F4C"/>
    <w:rsid w:val="009C7687"/>
    <w:rsid w:val="009C7723"/>
    <w:rsid w:val="009C7EDC"/>
    <w:rsid w:val="009C7F2E"/>
    <w:rsid w:val="009D0200"/>
    <w:rsid w:val="009D15D8"/>
    <w:rsid w:val="009D1EE6"/>
    <w:rsid w:val="009D224A"/>
    <w:rsid w:val="009D267E"/>
    <w:rsid w:val="009D2ADF"/>
    <w:rsid w:val="009D3FB8"/>
    <w:rsid w:val="009D4567"/>
    <w:rsid w:val="009D49C3"/>
    <w:rsid w:val="009D4B3A"/>
    <w:rsid w:val="009D6128"/>
    <w:rsid w:val="009D6215"/>
    <w:rsid w:val="009D6651"/>
    <w:rsid w:val="009D66FA"/>
    <w:rsid w:val="009D67B6"/>
    <w:rsid w:val="009D70B5"/>
    <w:rsid w:val="009E0026"/>
    <w:rsid w:val="009E0103"/>
    <w:rsid w:val="009E045C"/>
    <w:rsid w:val="009E1AC8"/>
    <w:rsid w:val="009E1BCA"/>
    <w:rsid w:val="009E43B2"/>
    <w:rsid w:val="009E43CC"/>
    <w:rsid w:val="009E4959"/>
    <w:rsid w:val="009E5129"/>
    <w:rsid w:val="009E5613"/>
    <w:rsid w:val="009E5A68"/>
    <w:rsid w:val="009E5A76"/>
    <w:rsid w:val="009E651F"/>
    <w:rsid w:val="009E6861"/>
    <w:rsid w:val="009E68AC"/>
    <w:rsid w:val="009E6EDF"/>
    <w:rsid w:val="009E7EF9"/>
    <w:rsid w:val="009F09B4"/>
    <w:rsid w:val="009F1185"/>
    <w:rsid w:val="009F152C"/>
    <w:rsid w:val="009F1D41"/>
    <w:rsid w:val="009F1D6F"/>
    <w:rsid w:val="009F1E08"/>
    <w:rsid w:val="009F2494"/>
    <w:rsid w:val="009F3792"/>
    <w:rsid w:val="009F3C6C"/>
    <w:rsid w:val="009F411D"/>
    <w:rsid w:val="009F433C"/>
    <w:rsid w:val="009F44D4"/>
    <w:rsid w:val="009F57AE"/>
    <w:rsid w:val="009F5A92"/>
    <w:rsid w:val="009F6098"/>
    <w:rsid w:val="009F6BD6"/>
    <w:rsid w:val="009F75E9"/>
    <w:rsid w:val="009F79F0"/>
    <w:rsid w:val="009F7B08"/>
    <w:rsid w:val="009F7B32"/>
    <w:rsid w:val="009F7CAB"/>
    <w:rsid w:val="009F7F14"/>
    <w:rsid w:val="00A00165"/>
    <w:rsid w:val="00A00355"/>
    <w:rsid w:val="00A006F8"/>
    <w:rsid w:val="00A00B0F"/>
    <w:rsid w:val="00A01C2C"/>
    <w:rsid w:val="00A01CD1"/>
    <w:rsid w:val="00A01ECD"/>
    <w:rsid w:val="00A0260A"/>
    <w:rsid w:val="00A02783"/>
    <w:rsid w:val="00A031A2"/>
    <w:rsid w:val="00A0320B"/>
    <w:rsid w:val="00A038F6"/>
    <w:rsid w:val="00A041A4"/>
    <w:rsid w:val="00A04212"/>
    <w:rsid w:val="00A0453A"/>
    <w:rsid w:val="00A054A2"/>
    <w:rsid w:val="00A07AB0"/>
    <w:rsid w:val="00A1097E"/>
    <w:rsid w:val="00A10A17"/>
    <w:rsid w:val="00A11F30"/>
    <w:rsid w:val="00A126BB"/>
    <w:rsid w:val="00A12B06"/>
    <w:rsid w:val="00A12B6D"/>
    <w:rsid w:val="00A12FF1"/>
    <w:rsid w:val="00A13E7A"/>
    <w:rsid w:val="00A1423B"/>
    <w:rsid w:val="00A1461F"/>
    <w:rsid w:val="00A14DE0"/>
    <w:rsid w:val="00A14FE4"/>
    <w:rsid w:val="00A159E1"/>
    <w:rsid w:val="00A15D10"/>
    <w:rsid w:val="00A15EBA"/>
    <w:rsid w:val="00A1684E"/>
    <w:rsid w:val="00A16AC4"/>
    <w:rsid w:val="00A17112"/>
    <w:rsid w:val="00A17269"/>
    <w:rsid w:val="00A2024A"/>
    <w:rsid w:val="00A21536"/>
    <w:rsid w:val="00A21769"/>
    <w:rsid w:val="00A22198"/>
    <w:rsid w:val="00A22418"/>
    <w:rsid w:val="00A2323E"/>
    <w:rsid w:val="00A234E8"/>
    <w:rsid w:val="00A238A0"/>
    <w:rsid w:val="00A23BD2"/>
    <w:rsid w:val="00A242CC"/>
    <w:rsid w:val="00A25B2B"/>
    <w:rsid w:val="00A25D86"/>
    <w:rsid w:val="00A26750"/>
    <w:rsid w:val="00A26B31"/>
    <w:rsid w:val="00A316C8"/>
    <w:rsid w:val="00A31D24"/>
    <w:rsid w:val="00A32272"/>
    <w:rsid w:val="00A32617"/>
    <w:rsid w:val="00A32760"/>
    <w:rsid w:val="00A33117"/>
    <w:rsid w:val="00A331A4"/>
    <w:rsid w:val="00A34619"/>
    <w:rsid w:val="00A34DB7"/>
    <w:rsid w:val="00A351C3"/>
    <w:rsid w:val="00A36187"/>
    <w:rsid w:val="00A361ED"/>
    <w:rsid w:val="00A36416"/>
    <w:rsid w:val="00A3725E"/>
    <w:rsid w:val="00A37C6D"/>
    <w:rsid w:val="00A403C5"/>
    <w:rsid w:val="00A40A45"/>
    <w:rsid w:val="00A40B9E"/>
    <w:rsid w:val="00A40BA6"/>
    <w:rsid w:val="00A40F7B"/>
    <w:rsid w:val="00A41ACE"/>
    <w:rsid w:val="00A41D49"/>
    <w:rsid w:val="00A41F50"/>
    <w:rsid w:val="00A423C6"/>
    <w:rsid w:val="00A42D5B"/>
    <w:rsid w:val="00A44BAD"/>
    <w:rsid w:val="00A45B35"/>
    <w:rsid w:val="00A4765C"/>
    <w:rsid w:val="00A50655"/>
    <w:rsid w:val="00A51110"/>
    <w:rsid w:val="00A514B1"/>
    <w:rsid w:val="00A51813"/>
    <w:rsid w:val="00A519BE"/>
    <w:rsid w:val="00A52722"/>
    <w:rsid w:val="00A537A4"/>
    <w:rsid w:val="00A53CD8"/>
    <w:rsid w:val="00A53D33"/>
    <w:rsid w:val="00A53DEF"/>
    <w:rsid w:val="00A540B1"/>
    <w:rsid w:val="00A5453A"/>
    <w:rsid w:val="00A54E10"/>
    <w:rsid w:val="00A5509D"/>
    <w:rsid w:val="00A55EE4"/>
    <w:rsid w:val="00A55FE7"/>
    <w:rsid w:val="00A564D5"/>
    <w:rsid w:val="00A56C10"/>
    <w:rsid w:val="00A57E57"/>
    <w:rsid w:val="00A60BD3"/>
    <w:rsid w:val="00A60D3C"/>
    <w:rsid w:val="00A60EE2"/>
    <w:rsid w:val="00A61066"/>
    <w:rsid w:val="00A61DF6"/>
    <w:rsid w:val="00A6268C"/>
    <w:rsid w:val="00A63591"/>
    <w:rsid w:val="00A63AC5"/>
    <w:rsid w:val="00A63D86"/>
    <w:rsid w:val="00A63DB0"/>
    <w:rsid w:val="00A648B8"/>
    <w:rsid w:val="00A65280"/>
    <w:rsid w:val="00A653B0"/>
    <w:rsid w:val="00A653BF"/>
    <w:rsid w:val="00A65562"/>
    <w:rsid w:val="00A65799"/>
    <w:rsid w:val="00A65F81"/>
    <w:rsid w:val="00A672F3"/>
    <w:rsid w:val="00A6794F"/>
    <w:rsid w:val="00A67E43"/>
    <w:rsid w:val="00A70818"/>
    <w:rsid w:val="00A71ACF"/>
    <w:rsid w:val="00A71E72"/>
    <w:rsid w:val="00A7240B"/>
    <w:rsid w:val="00A72659"/>
    <w:rsid w:val="00A7338E"/>
    <w:rsid w:val="00A738AB"/>
    <w:rsid w:val="00A740A5"/>
    <w:rsid w:val="00A7470D"/>
    <w:rsid w:val="00A7597B"/>
    <w:rsid w:val="00A7613B"/>
    <w:rsid w:val="00A77836"/>
    <w:rsid w:val="00A778C4"/>
    <w:rsid w:val="00A77B4A"/>
    <w:rsid w:val="00A80D69"/>
    <w:rsid w:val="00A8148E"/>
    <w:rsid w:val="00A81BB4"/>
    <w:rsid w:val="00A84202"/>
    <w:rsid w:val="00A8476E"/>
    <w:rsid w:val="00A84812"/>
    <w:rsid w:val="00A84AC4"/>
    <w:rsid w:val="00A84C43"/>
    <w:rsid w:val="00A86F95"/>
    <w:rsid w:val="00A87D80"/>
    <w:rsid w:val="00A906B9"/>
    <w:rsid w:val="00A92A74"/>
    <w:rsid w:val="00A931BB"/>
    <w:rsid w:val="00A93422"/>
    <w:rsid w:val="00A9571D"/>
    <w:rsid w:val="00A96769"/>
    <w:rsid w:val="00A970F3"/>
    <w:rsid w:val="00A97EB2"/>
    <w:rsid w:val="00A97FF0"/>
    <w:rsid w:val="00AA052F"/>
    <w:rsid w:val="00AA0D3C"/>
    <w:rsid w:val="00AA11E4"/>
    <w:rsid w:val="00AA2718"/>
    <w:rsid w:val="00AA3C9E"/>
    <w:rsid w:val="00AA3D46"/>
    <w:rsid w:val="00AA44C0"/>
    <w:rsid w:val="00AA4DE7"/>
    <w:rsid w:val="00AA504E"/>
    <w:rsid w:val="00AA520A"/>
    <w:rsid w:val="00AA5BD9"/>
    <w:rsid w:val="00AA5CE2"/>
    <w:rsid w:val="00AA6302"/>
    <w:rsid w:val="00AA63D4"/>
    <w:rsid w:val="00AA6DDF"/>
    <w:rsid w:val="00AA7325"/>
    <w:rsid w:val="00AA7897"/>
    <w:rsid w:val="00AA78D3"/>
    <w:rsid w:val="00AB0C78"/>
    <w:rsid w:val="00AB0E34"/>
    <w:rsid w:val="00AB204E"/>
    <w:rsid w:val="00AB3C80"/>
    <w:rsid w:val="00AB3DAE"/>
    <w:rsid w:val="00AB3E0A"/>
    <w:rsid w:val="00AB4034"/>
    <w:rsid w:val="00AB5719"/>
    <w:rsid w:val="00AB6C18"/>
    <w:rsid w:val="00AB7D16"/>
    <w:rsid w:val="00AC04D4"/>
    <w:rsid w:val="00AC0F9B"/>
    <w:rsid w:val="00AC1E1C"/>
    <w:rsid w:val="00AC1F1E"/>
    <w:rsid w:val="00AC21BB"/>
    <w:rsid w:val="00AC350F"/>
    <w:rsid w:val="00AC4C04"/>
    <w:rsid w:val="00AC5056"/>
    <w:rsid w:val="00AC55E8"/>
    <w:rsid w:val="00AC6A66"/>
    <w:rsid w:val="00AC6F7E"/>
    <w:rsid w:val="00AC7408"/>
    <w:rsid w:val="00AC75D6"/>
    <w:rsid w:val="00AD0024"/>
    <w:rsid w:val="00AD00A8"/>
    <w:rsid w:val="00AD07BE"/>
    <w:rsid w:val="00AD0C02"/>
    <w:rsid w:val="00AD0D44"/>
    <w:rsid w:val="00AD12EB"/>
    <w:rsid w:val="00AD16C3"/>
    <w:rsid w:val="00AD1D4E"/>
    <w:rsid w:val="00AD1F0A"/>
    <w:rsid w:val="00AD21AD"/>
    <w:rsid w:val="00AD2C28"/>
    <w:rsid w:val="00AD326B"/>
    <w:rsid w:val="00AD4C8F"/>
    <w:rsid w:val="00AD5262"/>
    <w:rsid w:val="00AD5920"/>
    <w:rsid w:val="00AD627D"/>
    <w:rsid w:val="00AD6537"/>
    <w:rsid w:val="00AD68B0"/>
    <w:rsid w:val="00AD6D6F"/>
    <w:rsid w:val="00AE0488"/>
    <w:rsid w:val="00AE0E45"/>
    <w:rsid w:val="00AE2279"/>
    <w:rsid w:val="00AE2E8B"/>
    <w:rsid w:val="00AE47AB"/>
    <w:rsid w:val="00AE58C7"/>
    <w:rsid w:val="00AE5A83"/>
    <w:rsid w:val="00AE688B"/>
    <w:rsid w:val="00AE69EB"/>
    <w:rsid w:val="00AE7294"/>
    <w:rsid w:val="00AF0408"/>
    <w:rsid w:val="00AF0EC8"/>
    <w:rsid w:val="00AF20CF"/>
    <w:rsid w:val="00AF21BC"/>
    <w:rsid w:val="00AF38A9"/>
    <w:rsid w:val="00AF42FA"/>
    <w:rsid w:val="00AF46E1"/>
    <w:rsid w:val="00AF476F"/>
    <w:rsid w:val="00AF490B"/>
    <w:rsid w:val="00AF4B22"/>
    <w:rsid w:val="00AF4BC1"/>
    <w:rsid w:val="00AF617C"/>
    <w:rsid w:val="00AF76CA"/>
    <w:rsid w:val="00B01407"/>
    <w:rsid w:val="00B01B39"/>
    <w:rsid w:val="00B01BE9"/>
    <w:rsid w:val="00B03296"/>
    <w:rsid w:val="00B0406A"/>
    <w:rsid w:val="00B04F34"/>
    <w:rsid w:val="00B0501F"/>
    <w:rsid w:val="00B07204"/>
    <w:rsid w:val="00B0722F"/>
    <w:rsid w:val="00B07F32"/>
    <w:rsid w:val="00B11ECB"/>
    <w:rsid w:val="00B120BA"/>
    <w:rsid w:val="00B12583"/>
    <w:rsid w:val="00B127B6"/>
    <w:rsid w:val="00B133EB"/>
    <w:rsid w:val="00B13498"/>
    <w:rsid w:val="00B154CA"/>
    <w:rsid w:val="00B156F6"/>
    <w:rsid w:val="00B15D3C"/>
    <w:rsid w:val="00B160D7"/>
    <w:rsid w:val="00B163F5"/>
    <w:rsid w:val="00B16649"/>
    <w:rsid w:val="00B17A84"/>
    <w:rsid w:val="00B17FA4"/>
    <w:rsid w:val="00B20C9E"/>
    <w:rsid w:val="00B2115F"/>
    <w:rsid w:val="00B223F9"/>
    <w:rsid w:val="00B22A51"/>
    <w:rsid w:val="00B22A62"/>
    <w:rsid w:val="00B22EB9"/>
    <w:rsid w:val="00B23342"/>
    <w:rsid w:val="00B23534"/>
    <w:rsid w:val="00B239A0"/>
    <w:rsid w:val="00B23D9F"/>
    <w:rsid w:val="00B24816"/>
    <w:rsid w:val="00B2557C"/>
    <w:rsid w:val="00B25732"/>
    <w:rsid w:val="00B25A3C"/>
    <w:rsid w:val="00B25B3B"/>
    <w:rsid w:val="00B264EC"/>
    <w:rsid w:val="00B27C94"/>
    <w:rsid w:val="00B27F3F"/>
    <w:rsid w:val="00B3038C"/>
    <w:rsid w:val="00B3072C"/>
    <w:rsid w:val="00B309B7"/>
    <w:rsid w:val="00B30B8F"/>
    <w:rsid w:val="00B30DE4"/>
    <w:rsid w:val="00B30E64"/>
    <w:rsid w:val="00B31293"/>
    <w:rsid w:val="00B32C25"/>
    <w:rsid w:val="00B3416D"/>
    <w:rsid w:val="00B34246"/>
    <w:rsid w:val="00B34554"/>
    <w:rsid w:val="00B3474D"/>
    <w:rsid w:val="00B34AA9"/>
    <w:rsid w:val="00B34D31"/>
    <w:rsid w:val="00B3550E"/>
    <w:rsid w:val="00B35594"/>
    <w:rsid w:val="00B358FC"/>
    <w:rsid w:val="00B361DC"/>
    <w:rsid w:val="00B36DD9"/>
    <w:rsid w:val="00B36F9C"/>
    <w:rsid w:val="00B37BE8"/>
    <w:rsid w:val="00B37DE8"/>
    <w:rsid w:val="00B40135"/>
    <w:rsid w:val="00B41169"/>
    <w:rsid w:val="00B412BF"/>
    <w:rsid w:val="00B4131E"/>
    <w:rsid w:val="00B41B66"/>
    <w:rsid w:val="00B41EF8"/>
    <w:rsid w:val="00B428DB"/>
    <w:rsid w:val="00B42A63"/>
    <w:rsid w:val="00B42B4A"/>
    <w:rsid w:val="00B42D91"/>
    <w:rsid w:val="00B431BD"/>
    <w:rsid w:val="00B4371A"/>
    <w:rsid w:val="00B4574E"/>
    <w:rsid w:val="00B46325"/>
    <w:rsid w:val="00B46522"/>
    <w:rsid w:val="00B466A5"/>
    <w:rsid w:val="00B46F9D"/>
    <w:rsid w:val="00B4764A"/>
    <w:rsid w:val="00B5036E"/>
    <w:rsid w:val="00B50561"/>
    <w:rsid w:val="00B519E4"/>
    <w:rsid w:val="00B52358"/>
    <w:rsid w:val="00B52A73"/>
    <w:rsid w:val="00B538D7"/>
    <w:rsid w:val="00B540D9"/>
    <w:rsid w:val="00B543AE"/>
    <w:rsid w:val="00B54568"/>
    <w:rsid w:val="00B555C9"/>
    <w:rsid w:val="00B556FF"/>
    <w:rsid w:val="00B56122"/>
    <w:rsid w:val="00B56312"/>
    <w:rsid w:val="00B56CC7"/>
    <w:rsid w:val="00B5751A"/>
    <w:rsid w:val="00B57622"/>
    <w:rsid w:val="00B611C7"/>
    <w:rsid w:val="00B61267"/>
    <w:rsid w:val="00B61F88"/>
    <w:rsid w:val="00B62636"/>
    <w:rsid w:val="00B631B3"/>
    <w:rsid w:val="00B63C97"/>
    <w:rsid w:val="00B63E8A"/>
    <w:rsid w:val="00B64D65"/>
    <w:rsid w:val="00B654B1"/>
    <w:rsid w:val="00B65B24"/>
    <w:rsid w:val="00B65D70"/>
    <w:rsid w:val="00B65EC4"/>
    <w:rsid w:val="00B662C7"/>
    <w:rsid w:val="00B663C2"/>
    <w:rsid w:val="00B664A3"/>
    <w:rsid w:val="00B66517"/>
    <w:rsid w:val="00B676C2"/>
    <w:rsid w:val="00B677E6"/>
    <w:rsid w:val="00B704CF"/>
    <w:rsid w:val="00B704DF"/>
    <w:rsid w:val="00B7065D"/>
    <w:rsid w:val="00B70AA1"/>
    <w:rsid w:val="00B70C26"/>
    <w:rsid w:val="00B71EE0"/>
    <w:rsid w:val="00B71FE6"/>
    <w:rsid w:val="00B72126"/>
    <w:rsid w:val="00B725A2"/>
    <w:rsid w:val="00B7341A"/>
    <w:rsid w:val="00B7345C"/>
    <w:rsid w:val="00B73711"/>
    <w:rsid w:val="00B74F2D"/>
    <w:rsid w:val="00B75B4F"/>
    <w:rsid w:val="00B7607F"/>
    <w:rsid w:val="00B7644A"/>
    <w:rsid w:val="00B7735C"/>
    <w:rsid w:val="00B77E14"/>
    <w:rsid w:val="00B801E6"/>
    <w:rsid w:val="00B80CB1"/>
    <w:rsid w:val="00B816E4"/>
    <w:rsid w:val="00B81DA1"/>
    <w:rsid w:val="00B82031"/>
    <w:rsid w:val="00B8347A"/>
    <w:rsid w:val="00B834E1"/>
    <w:rsid w:val="00B83BD9"/>
    <w:rsid w:val="00B85819"/>
    <w:rsid w:val="00B867F2"/>
    <w:rsid w:val="00B90442"/>
    <w:rsid w:val="00B906C8"/>
    <w:rsid w:val="00B915C4"/>
    <w:rsid w:val="00B91737"/>
    <w:rsid w:val="00B918C8"/>
    <w:rsid w:val="00B92090"/>
    <w:rsid w:val="00B92BCD"/>
    <w:rsid w:val="00B93683"/>
    <w:rsid w:val="00B938F3"/>
    <w:rsid w:val="00B93E58"/>
    <w:rsid w:val="00B95801"/>
    <w:rsid w:val="00B95C72"/>
    <w:rsid w:val="00B95D50"/>
    <w:rsid w:val="00B9628A"/>
    <w:rsid w:val="00B966B9"/>
    <w:rsid w:val="00B96C34"/>
    <w:rsid w:val="00B97136"/>
    <w:rsid w:val="00B97885"/>
    <w:rsid w:val="00B97B8C"/>
    <w:rsid w:val="00B97D6B"/>
    <w:rsid w:val="00BA04C4"/>
    <w:rsid w:val="00BA0977"/>
    <w:rsid w:val="00BA17CB"/>
    <w:rsid w:val="00BA23CA"/>
    <w:rsid w:val="00BA2F79"/>
    <w:rsid w:val="00BA340D"/>
    <w:rsid w:val="00BA36EA"/>
    <w:rsid w:val="00BA3B73"/>
    <w:rsid w:val="00BA3C9D"/>
    <w:rsid w:val="00BA4826"/>
    <w:rsid w:val="00BA5366"/>
    <w:rsid w:val="00BA5390"/>
    <w:rsid w:val="00BA540C"/>
    <w:rsid w:val="00BA5549"/>
    <w:rsid w:val="00BA678C"/>
    <w:rsid w:val="00BA7133"/>
    <w:rsid w:val="00BA7B62"/>
    <w:rsid w:val="00BB0147"/>
    <w:rsid w:val="00BB1812"/>
    <w:rsid w:val="00BB1C6F"/>
    <w:rsid w:val="00BB1F5E"/>
    <w:rsid w:val="00BB2141"/>
    <w:rsid w:val="00BB23EB"/>
    <w:rsid w:val="00BB266F"/>
    <w:rsid w:val="00BB28F4"/>
    <w:rsid w:val="00BB30C9"/>
    <w:rsid w:val="00BB32FA"/>
    <w:rsid w:val="00BB3902"/>
    <w:rsid w:val="00BB3966"/>
    <w:rsid w:val="00BB3AE6"/>
    <w:rsid w:val="00BB47AB"/>
    <w:rsid w:val="00BB4E0A"/>
    <w:rsid w:val="00BB54AD"/>
    <w:rsid w:val="00BB6225"/>
    <w:rsid w:val="00BB6E14"/>
    <w:rsid w:val="00BB7795"/>
    <w:rsid w:val="00BB7796"/>
    <w:rsid w:val="00BB7FEF"/>
    <w:rsid w:val="00BC0002"/>
    <w:rsid w:val="00BC030E"/>
    <w:rsid w:val="00BC09D8"/>
    <w:rsid w:val="00BC0FD9"/>
    <w:rsid w:val="00BC109D"/>
    <w:rsid w:val="00BC19E0"/>
    <w:rsid w:val="00BC21C1"/>
    <w:rsid w:val="00BC3904"/>
    <w:rsid w:val="00BC3909"/>
    <w:rsid w:val="00BC3D0A"/>
    <w:rsid w:val="00BC466B"/>
    <w:rsid w:val="00BC4EE4"/>
    <w:rsid w:val="00BC541D"/>
    <w:rsid w:val="00BC5ED8"/>
    <w:rsid w:val="00BC6BDF"/>
    <w:rsid w:val="00BC6D1A"/>
    <w:rsid w:val="00BC6D29"/>
    <w:rsid w:val="00BC6EE6"/>
    <w:rsid w:val="00BC7C55"/>
    <w:rsid w:val="00BD11F3"/>
    <w:rsid w:val="00BD13A9"/>
    <w:rsid w:val="00BD1445"/>
    <w:rsid w:val="00BD179B"/>
    <w:rsid w:val="00BD1C8A"/>
    <w:rsid w:val="00BD2277"/>
    <w:rsid w:val="00BD2825"/>
    <w:rsid w:val="00BD2A5A"/>
    <w:rsid w:val="00BD3134"/>
    <w:rsid w:val="00BD343B"/>
    <w:rsid w:val="00BD35FC"/>
    <w:rsid w:val="00BD396B"/>
    <w:rsid w:val="00BD3C14"/>
    <w:rsid w:val="00BD4783"/>
    <w:rsid w:val="00BD498E"/>
    <w:rsid w:val="00BD4A75"/>
    <w:rsid w:val="00BD4E5E"/>
    <w:rsid w:val="00BD69F2"/>
    <w:rsid w:val="00BD6B8D"/>
    <w:rsid w:val="00BD6CBC"/>
    <w:rsid w:val="00BD6D27"/>
    <w:rsid w:val="00BD6E83"/>
    <w:rsid w:val="00BD6FB2"/>
    <w:rsid w:val="00BD73CC"/>
    <w:rsid w:val="00BD76BB"/>
    <w:rsid w:val="00BD7B24"/>
    <w:rsid w:val="00BE1708"/>
    <w:rsid w:val="00BE1A4B"/>
    <w:rsid w:val="00BE2B59"/>
    <w:rsid w:val="00BE2D5F"/>
    <w:rsid w:val="00BE3058"/>
    <w:rsid w:val="00BE30D3"/>
    <w:rsid w:val="00BE39AA"/>
    <w:rsid w:val="00BE3B3D"/>
    <w:rsid w:val="00BE3CD6"/>
    <w:rsid w:val="00BE4033"/>
    <w:rsid w:val="00BE4524"/>
    <w:rsid w:val="00BE482E"/>
    <w:rsid w:val="00BE5AD1"/>
    <w:rsid w:val="00BE5B99"/>
    <w:rsid w:val="00BE5D6D"/>
    <w:rsid w:val="00BE5EA5"/>
    <w:rsid w:val="00BE6078"/>
    <w:rsid w:val="00BE6639"/>
    <w:rsid w:val="00BE6E0A"/>
    <w:rsid w:val="00BE6EB6"/>
    <w:rsid w:val="00BE75D6"/>
    <w:rsid w:val="00BF0093"/>
    <w:rsid w:val="00BF019B"/>
    <w:rsid w:val="00BF1509"/>
    <w:rsid w:val="00BF1582"/>
    <w:rsid w:val="00BF26CF"/>
    <w:rsid w:val="00BF28C8"/>
    <w:rsid w:val="00BF2A33"/>
    <w:rsid w:val="00BF35AB"/>
    <w:rsid w:val="00BF3785"/>
    <w:rsid w:val="00BF3D33"/>
    <w:rsid w:val="00BF445F"/>
    <w:rsid w:val="00BF4860"/>
    <w:rsid w:val="00BF4B9D"/>
    <w:rsid w:val="00BF53D3"/>
    <w:rsid w:val="00BF5EDA"/>
    <w:rsid w:val="00BF5F4B"/>
    <w:rsid w:val="00BF5F8D"/>
    <w:rsid w:val="00BF66B9"/>
    <w:rsid w:val="00C001BF"/>
    <w:rsid w:val="00C003FC"/>
    <w:rsid w:val="00C00BDF"/>
    <w:rsid w:val="00C01B42"/>
    <w:rsid w:val="00C02D0E"/>
    <w:rsid w:val="00C03262"/>
    <w:rsid w:val="00C034F1"/>
    <w:rsid w:val="00C043F6"/>
    <w:rsid w:val="00C04D0D"/>
    <w:rsid w:val="00C05B76"/>
    <w:rsid w:val="00C05C16"/>
    <w:rsid w:val="00C05E34"/>
    <w:rsid w:val="00C061BD"/>
    <w:rsid w:val="00C065D2"/>
    <w:rsid w:val="00C0668E"/>
    <w:rsid w:val="00C104DB"/>
    <w:rsid w:val="00C1098A"/>
    <w:rsid w:val="00C10FDF"/>
    <w:rsid w:val="00C11593"/>
    <w:rsid w:val="00C11CF5"/>
    <w:rsid w:val="00C122BC"/>
    <w:rsid w:val="00C12489"/>
    <w:rsid w:val="00C12AFF"/>
    <w:rsid w:val="00C140F2"/>
    <w:rsid w:val="00C140F9"/>
    <w:rsid w:val="00C1482D"/>
    <w:rsid w:val="00C14EC7"/>
    <w:rsid w:val="00C1667E"/>
    <w:rsid w:val="00C176E0"/>
    <w:rsid w:val="00C2005C"/>
    <w:rsid w:val="00C20263"/>
    <w:rsid w:val="00C2111B"/>
    <w:rsid w:val="00C21A1F"/>
    <w:rsid w:val="00C21FC1"/>
    <w:rsid w:val="00C22F5C"/>
    <w:rsid w:val="00C232EC"/>
    <w:rsid w:val="00C23727"/>
    <w:rsid w:val="00C24250"/>
    <w:rsid w:val="00C24A88"/>
    <w:rsid w:val="00C24AE5"/>
    <w:rsid w:val="00C24F7A"/>
    <w:rsid w:val="00C2557D"/>
    <w:rsid w:val="00C26A41"/>
    <w:rsid w:val="00C270CC"/>
    <w:rsid w:val="00C2764E"/>
    <w:rsid w:val="00C308B4"/>
    <w:rsid w:val="00C30BD4"/>
    <w:rsid w:val="00C31545"/>
    <w:rsid w:val="00C325C9"/>
    <w:rsid w:val="00C32763"/>
    <w:rsid w:val="00C32CDE"/>
    <w:rsid w:val="00C32D52"/>
    <w:rsid w:val="00C3359E"/>
    <w:rsid w:val="00C339F3"/>
    <w:rsid w:val="00C340E4"/>
    <w:rsid w:val="00C34D3E"/>
    <w:rsid w:val="00C34D81"/>
    <w:rsid w:val="00C34E50"/>
    <w:rsid w:val="00C3537D"/>
    <w:rsid w:val="00C3553F"/>
    <w:rsid w:val="00C35D4D"/>
    <w:rsid w:val="00C3628F"/>
    <w:rsid w:val="00C36ACD"/>
    <w:rsid w:val="00C36E8D"/>
    <w:rsid w:val="00C372D6"/>
    <w:rsid w:val="00C375A3"/>
    <w:rsid w:val="00C37E38"/>
    <w:rsid w:val="00C404C4"/>
    <w:rsid w:val="00C40B10"/>
    <w:rsid w:val="00C40F71"/>
    <w:rsid w:val="00C412C2"/>
    <w:rsid w:val="00C41688"/>
    <w:rsid w:val="00C422FA"/>
    <w:rsid w:val="00C43AD0"/>
    <w:rsid w:val="00C44F20"/>
    <w:rsid w:val="00C451D1"/>
    <w:rsid w:val="00C4562C"/>
    <w:rsid w:val="00C45779"/>
    <w:rsid w:val="00C45DE0"/>
    <w:rsid w:val="00C466AD"/>
    <w:rsid w:val="00C46AA5"/>
    <w:rsid w:val="00C4702C"/>
    <w:rsid w:val="00C47540"/>
    <w:rsid w:val="00C4781D"/>
    <w:rsid w:val="00C50DAD"/>
    <w:rsid w:val="00C51C37"/>
    <w:rsid w:val="00C5244D"/>
    <w:rsid w:val="00C534BB"/>
    <w:rsid w:val="00C5491F"/>
    <w:rsid w:val="00C57B66"/>
    <w:rsid w:val="00C60079"/>
    <w:rsid w:val="00C61C8A"/>
    <w:rsid w:val="00C62257"/>
    <w:rsid w:val="00C62C22"/>
    <w:rsid w:val="00C63A84"/>
    <w:rsid w:val="00C63C54"/>
    <w:rsid w:val="00C63E57"/>
    <w:rsid w:val="00C6451B"/>
    <w:rsid w:val="00C646A1"/>
    <w:rsid w:val="00C64E93"/>
    <w:rsid w:val="00C64FAB"/>
    <w:rsid w:val="00C66061"/>
    <w:rsid w:val="00C66C80"/>
    <w:rsid w:val="00C677BF"/>
    <w:rsid w:val="00C70052"/>
    <w:rsid w:val="00C70849"/>
    <w:rsid w:val="00C7108C"/>
    <w:rsid w:val="00C7198E"/>
    <w:rsid w:val="00C71F6A"/>
    <w:rsid w:val="00C7240F"/>
    <w:rsid w:val="00C7288F"/>
    <w:rsid w:val="00C72A33"/>
    <w:rsid w:val="00C73B53"/>
    <w:rsid w:val="00C74355"/>
    <w:rsid w:val="00C74EFA"/>
    <w:rsid w:val="00C752F1"/>
    <w:rsid w:val="00C764E6"/>
    <w:rsid w:val="00C7690E"/>
    <w:rsid w:val="00C76B9C"/>
    <w:rsid w:val="00C77073"/>
    <w:rsid w:val="00C77103"/>
    <w:rsid w:val="00C7710D"/>
    <w:rsid w:val="00C7769B"/>
    <w:rsid w:val="00C77D56"/>
    <w:rsid w:val="00C80D2B"/>
    <w:rsid w:val="00C8142E"/>
    <w:rsid w:val="00C81CA9"/>
    <w:rsid w:val="00C81CE5"/>
    <w:rsid w:val="00C82210"/>
    <w:rsid w:val="00C822A7"/>
    <w:rsid w:val="00C82533"/>
    <w:rsid w:val="00C8288D"/>
    <w:rsid w:val="00C82978"/>
    <w:rsid w:val="00C82C5E"/>
    <w:rsid w:val="00C83330"/>
    <w:rsid w:val="00C836AE"/>
    <w:rsid w:val="00C83956"/>
    <w:rsid w:val="00C83997"/>
    <w:rsid w:val="00C83D91"/>
    <w:rsid w:val="00C83DB5"/>
    <w:rsid w:val="00C84053"/>
    <w:rsid w:val="00C84695"/>
    <w:rsid w:val="00C855EA"/>
    <w:rsid w:val="00C85D71"/>
    <w:rsid w:val="00C85EDF"/>
    <w:rsid w:val="00C8621B"/>
    <w:rsid w:val="00C863CA"/>
    <w:rsid w:val="00C868C8"/>
    <w:rsid w:val="00C876BA"/>
    <w:rsid w:val="00C879D6"/>
    <w:rsid w:val="00C90C7A"/>
    <w:rsid w:val="00C90DA0"/>
    <w:rsid w:val="00C91329"/>
    <w:rsid w:val="00C91A5D"/>
    <w:rsid w:val="00C921DB"/>
    <w:rsid w:val="00C93986"/>
    <w:rsid w:val="00C946FB"/>
    <w:rsid w:val="00C950EF"/>
    <w:rsid w:val="00C95754"/>
    <w:rsid w:val="00C957E5"/>
    <w:rsid w:val="00C957EE"/>
    <w:rsid w:val="00C96C20"/>
    <w:rsid w:val="00C96F1C"/>
    <w:rsid w:val="00C97B39"/>
    <w:rsid w:val="00CA01FE"/>
    <w:rsid w:val="00CA0691"/>
    <w:rsid w:val="00CA0F84"/>
    <w:rsid w:val="00CA133A"/>
    <w:rsid w:val="00CA1467"/>
    <w:rsid w:val="00CA19CC"/>
    <w:rsid w:val="00CA2670"/>
    <w:rsid w:val="00CA27E7"/>
    <w:rsid w:val="00CA2A98"/>
    <w:rsid w:val="00CA45E8"/>
    <w:rsid w:val="00CA4643"/>
    <w:rsid w:val="00CA55BA"/>
    <w:rsid w:val="00CA63C5"/>
    <w:rsid w:val="00CA63D2"/>
    <w:rsid w:val="00CA656E"/>
    <w:rsid w:val="00CA6F25"/>
    <w:rsid w:val="00CB0585"/>
    <w:rsid w:val="00CB0860"/>
    <w:rsid w:val="00CB086E"/>
    <w:rsid w:val="00CB0CB8"/>
    <w:rsid w:val="00CB1257"/>
    <w:rsid w:val="00CB1C98"/>
    <w:rsid w:val="00CB23AD"/>
    <w:rsid w:val="00CB2630"/>
    <w:rsid w:val="00CB2ACE"/>
    <w:rsid w:val="00CB42E8"/>
    <w:rsid w:val="00CB477F"/>
    <w:rsid w:val="00CB526E"/>
    <w:rsid w:val="00CB633A"/>
    <w:rsid w:val="00CB6CF8"/>
    <w:rsid w:val="00CB6D79"/>
    <w:rsid w:val="00CB7309"/>
    <w:rsid w:val="00CB76B7"/>
    <w:rsid w:val="00CC0DDC"/>
    <w:rsid w:val="00CC191C"/>
    <w:rsid w:val="00CC2301"/>
    <w:rsid w:val="00CC2BF9"/>
    <w:rsid w:val="00CC2E16"/>
    <w:rsid w:val="00CC2E78"/>
    <w:rsid w:val="00CC3D20"/>
    <w:rsid w:val="00CC3E0A"/>
    <w:rsid w:val="00CC434A"/>
    <w:rsid w:val="00CC4E0E"/>
    <w:rsid w:val="00CC6186"/>
    <w:rsid w:val="00CC6486"/>
    <w:rsid w:val="00CC6E88"/>
    <w:rsid w:val="00CD02E1"/>
    <w:rsid w:val="00CD20D1"/>
    <w:rsid w:val="00CD2117"/>
    <w:rsid w:val="00CD21E4"/>
    <w:rsid w:val="00CD2F1A"/>
    <w:rsid w:val="00CD4642"/>
    <w:rsid w:val="00CD4D44"/>
    <w:rsid w:val="00CD5190"/>
    <w:rsid w:val="00CD52E8"/>
    <w:rsid w:val="00CD5BC7"/>
    <w:rsid w:val="00CD62AC"/>
    <w:rsid w:val="00CD6B16"/>
    <w:rsid w:val="00CD7141"/>
    <w:rsid w:val="00CD76B9"/>
    <w:rsid w:val="00CD7A5B"/>
    <w:rsid w:val="00CE0479"/>
    <w:rsid w:val="00CE0642"/>
    <w:rsid w:val="00CE0D3D"/>
    <w:rsid w:val="00CE0E07"/>
    <w:rsid w:val="00CE2627"/>
    <w:rsid w:val="00CE27FD"/>
    <w:rsid w:val="00CE372C"/>
    <w:rsid w:val="00CE3934"/>
    <w:rsid w:val="00CE3B56"/>
    <w:rsid w:val="00CE3B73"/>
    <w:rsid w:val="00CE4700"/>
    <w:rsid w:val="00CE5677"/>
    <w:rsid w:val="00CE577A"/>
    <w:rsid w:val="00CE6065"/>
    <w:rsid w:val="00CF0423"/>
    <w:rsid w:val="00CF0EE0"/>
    <w:rsid w:val="00CF1C26"/>
    <w:rsid w:val="00CF1CDE"/>
    <w:rsid w:val="00CF1EB0"/>
    <w:rsid w:val="00CF2049"/>
    <w:rsid w:val="00CF4479"/>
    <w:rsid w:val="00CF524B"/>
    <w:rsid w:val="00CF5FD4"/>
    <w:rsid w:val="00CF6164"/>
    <w:rsid w:val="00CF7C38"/>
    <w:rsid w:val="00D00422"/>
    <w:rsid w:val="00D005B9"/>
    <w:rsid w:val="00D00924"/>
    <w:rsid w:val="00D00DAA"/>
    <w:rsid w:val="00D00F32"/>
    <w:rsid w:val="00D01668"/>
    <w:rsid w:val="00D01BB3"/>
    <w:rsid w:val="00D024BD"/>
    <w:rsid w:val="00D03C2B"/>
    <w:rsid w:val="00D03E8E"/>
    <w:rsid w:val="00D040F8"/>
    <w:rsid w:val="00D042B4"/>
    <w:rsid w:val="00D043CD"/>
    <w:rsid w:val="00D04916"/>
    <w:rsid w:val="00D05528"/>
    <w:rsid w:val="00D0674D"/>
    <w:rsid w:val="00D0734C"/>
    <w:rsid w:val="00D0787C"/>
    <w:rsid w:val="00D1012A"/>
    <w:rsid w:val="00D10A77"/>
    <w:rsid w:val="00D11395"/>
    <w:rsid w:val="00D11BDE"/>
    <w:rsid w:val="00D12638"/>
    <w:rsid w:val="00D12C7F"/>
    <w:rsid w:val="00D131DD"/>
    <w:rsid w:val="00D13966"/>
    <w:rsid w:val="00D1512C"/>
    <w:rsid w:val="00D15851"/>
    <w:rsid w:val="00D158D0"/>
    <w:rsid w:val="00D1618F"/>
    <w:rsid w:val="00D16ED4"/>
    <w:rsid w:val="00D17531"/>
    <w:rsid w:val="00D17567"/>
    <w:rsid w:val="00D1758D"/>
    <w:rsid w:val="00D20B86"/>
    <w:rsid w:val="00D20EEF"/>
    <w:rsid w:val="00D214CE"/>
    <w:rsid w:val="00D21580"/>
    <w:rsid w:val="00D21928"/>
    <w:rsid w:val="00D21B1B"/>
    <w:rsid w:val="00D21DE9"/>
    <w:rsid w:val="00D21EA4"/>
    <w:rsid w:val="00D2229B"/>
    <w:rsid w:val="00D2254A"/>
    <w:rsid w:val="00D23D13"/>
    <w:rsid w:val="00D242E8"/>
    <w:rsid w:val="00D24C77"/>
    <w:rsid w:val="00D24E12"/>
    <w:rsid w:val="00D255EA"/>
    <w:rsid w:val="00D2612B"/>
    <w:rsid w:val="00D27461"/>
    <w:rsid w:val="00D27DAD"/>
    <w:rsid w:val="00D30824"/>
    <w:rsid w:val="00D30908"/>
    <w:rsid w:val="00D30AC2"/>
    <w:rsid w:val="00D3129A"/>
    <w:rsid w:val="00D33AAA"/>
    <w:rsid w:val="00D346A2"/>
    <w:rsid w:val="00D34FC8"/>
    <w:rsid w:val="00D35503"/>
    <w:rsid w:val="00D35557"/>
    <w:rsid w:val="00D35C6B"/>
    <w:rsid w:val="00D36957"/>
    <w:rsid w:val="00D37BDC"/>
    <w:rsid w:val="00D403D7"/>
    <w:rsid w:val="00D404FD"/>
    <w:rsid w:val="00D415B4"/>
    <w:rsid w:val="00D41EFD"/>
    <w:rsid w:val="00D42058"/>
    <w:rsid w:val="00D4387A"/>
    <w:rsid w:val="00D43DC6"/>
    <w:rsid w:val="00D44023"/>
    <w:rsid w:val="00D448E6"/>
    <w:rsid w:val="00D4496A"/>
    <w:rsid w:val="00D46254"/>
    <w:rsid w:val="00D4637F"/>
    <w:rsid w:val="00D46533"/>
    <w:rsid w:val="00D473FF"/>
    <w:rsid w:val="00D47616"/>
    <w:rsid w:val="00D50BD2"/>
    <w:rsid w:val="00D51156"/>
    <w:rsid w:val="00D5178D"/>
    <w:rsid w:val="00D51A20"/>
    <w:rsid w:val="00D5260E"/>
    <w:rsid w:val="00D529BF"/>
    <w:rsid w:val="00D52A14"/>
    <w:rsid w:val="00D52E21"/>
    <w:rsid w:val="00D535B1"/>
    <w:rsid w:val="00D5538E"/>
    <w:rsid w:val="00D56F9E"/>
    <w:rsid w:val="00D60E14"/>
    <w:rsid w:val="00D62F7F"/>
    <w:rsid w:val="00D637AD"/>
    <w:rsid w:val="00D63A28"/>
    <w:rsid w:val="00D63D30"/>
    <w:rsid w:val="00D641EB"/>
    <w:rsid w:val="00D642D3"/>
    <w:rsid w:val="00D6449C"/>
    <w:rsid w:val="00D65208"/>
    <w:rsid w:val="00D65B91"/>
    <w:rsid w:val="00D66D79"/>
    <w:rsid w:val="00D66D7B"/>
    <w:rsid w:val="00D670C7"/>
    <w:rsid w:val="00D671C2"/>
    <w:rsid w:val="00D6755A"/>
    <w:rsid w:val="00D67702"/>
    <w:rsid w:val="00D67ED7"/>
    <w:rsid w:val="00D702AB"/>
    <w:rsid w:val="00D70F23"/>
    <w:rsid w:val="00D71355"/>
    <w:rsid w:val="00D71765"/>
    <w:rsid w:val="00D719A2"/>
    <w:rsid w:val="00D71B7D"/>
    <w:rsid w:val="00D723D8"/>
    <w:rsid w:val="00D729D0"/>
    <w:rsid w:val="00D72CB4"/>
    <w:rsid w:val="00D734CF"/>
    <w:rsid w:val="00D73709"/>
    <w:rsid w:val="00D73B01"/>
    <w:rsid w:val="00D75654"/>
    <w:rsid w:val="00D75CC3"/>
    <w:rsid w:val="00D75E0F"/>
    <w:rsid w:val="00D7650F"/>
    <w:rsid w:val="00D7698F"/>
    <w:rsid w:val="00D76F4B"/>
    <w:rsid w:val="00D7780D"/>
    <w:rsid w:val="00D800AD"/>
    <w:rsid w:val="00D8053D"/>
    <w:rsid w:val="00D80DB2"/>
    <w:rsid w:val="00D833FF"/>
    <w:rsid w:val="00D834DD"/>
    <w:rsid w:val="00D84A55"/>
    <w:rsid w:val="00D84B8B"/>
    <w:rsid w:val="00D85541"/>
    <w:rsid w:val="00D8617F"/>
    <w:rsid w:val="00D863F2"/>
    <w:rsid w:val="00D869FC"/>
    <w:rsid w:val="00D87645"/>
    <w:rsid w:val="00D90012"/>
    <w:rsid w:val="00D901C9"/>
    <w:rsid w:val="00D90571"/>
    <w:rsid w:val="00D9077E"/>
    <w:rsid w:val="00D927A8"/>
    <w:rsid w:val="00D92EC6"/>
    <w:rsid w:val="00D93556"/>
    <w:rsid w:val="00D93AF4"/>
    <w:rsid w:val="00D93E24"/>
    <w:rsid w:val="00D94411"/>
    <w:rsid w:val="00D946C9"/>
    <w:rsid w:val="00D9605C"/>
    <w:rsid w:val="00D96223"/>
    <w:rsid w:val="00D96393"/>
    <w:rsid w:val="00D97095"/>
    <w:rsid w:val="00D973E0"/>
    <w:rsid w:val="00DA0070"/>
    <w:rsid w:val="00DA0282"/>
    <w:rsid w:val="00DA06F7"/>
    <w:rsid w:val="00DA0B62"/>
    <w:rsid w:val="00DA0C50"/>
    <w:rsid w:val="00DA0EE3"/>
    <w:rsid w:val="00DA0FED"/>
    <w:rsid w:val="00DA148B"/>
    <w:rsid w:val="00DA2AC6"/>
    <w:rsid w:val="00DA2C1D"/>
    <w:rsid w:val="00DA2C99"/>
    <w:rsid w:val="00DA30D4"/>
    <w:rsid w:val="00DA577E"/>
    <w:rsid w:val="00DA610B"/>
    <w:rsid w:val="00DA76CB"/>
    <w:rsid w:val="00DA7F7D"/>
    <w:rsid w:val="00DB098C"/>
    <w:rsid w:val="00DB0CB9"/>
    <w:rsid w:val="00DB2529"/>
    <w:rsid w:val="00DB2E81"/>
    <w:rsid w:val="00DB3C24"/>
    <w:rsid w:val="00DB3EF0"/>
    <w:rsid w:val="00DB3F9B"/>
    <w:rsid w:val="00DB436A"/>
    <w:rsid w:val="00DB4491"/>
    <w:rsid w:val="00DB56C8"/>
    <w:rsid w:val="00DB6E67"/>
    <w:rsid w:val="00DB761F"/>
    <w:rsid w:val="00DB77D4"/>
    <w:rsid w:val="00DC0A41"/>
    <w:rsid w:val="00DC0C6B"/>
    <w:rsid w:val="00DC15F4"/>
    <w:rsid w:val="00DC1C46"/>
    <w:rsid w:val="00DC248F"/>
    <w:rsid w:val="00DC2BB8"/>
    <w:rsid w:val="00DC2D69"/>
    <w:rsid w:val="00DC3F7B"/>
    <w:rsid w:val="00DC3FEE"/>
    <w:rsid w:val="00DC4817"/>
    <w:rsid w:val="00DC78AD"/>
    <w:rsid w:val="00DC7D0A"/>
    <w:rsid w:val="00DD0244"/>
    <w:rsid w:val="00DD16B4"/>
    <w:rsid w:val="00DD238C"/>
    <w:rsid w:val="00DD275D"/>
    <w:rsid w:val="00DD31D0"/>
    <w:rsid w:val="00DD3DDC"/>
    <w:rsid w:val="00DD4309"/>
    <w:rsid w:val="00DD519B"/>
    <w:rsid w:val="00DD5B3F"/>
    <w:rsid w:val="00DD659D"/>
    <w:rsid w:val="00DD6A1B"/>
    <w:rsid w:val="00DD6C9D"/>
    <w:rsid w:val="00DD6EC2"/>
    <w:rsid w:val="00DD6F07"/>
    <w:rsid w:val="00DD7157"/>
    <w:rsid w:val="00DE05AF"/>
    <w:rsid w:val="00DE0D1D"/>
    <w:rsid w:val="00DE1D75"/>
    <w:rsid w:val="00DE3CAF"/>
    <w:rsid w:val="00DE40CC"/>
    <w:rsid w:val="00DE4906"/>
    <w:rsid w:val="00DE4F51"/>
    <w:rsid w:val="00DE5513"/>
    <w:rsid w:val="00DE5E74"/>
    <w:rsid w:val="00DE67D6"/>
    <w:rsid w:val="00DE7DA6"/>
    <w:rsid w:val="00DF1559"/>
    <w:rsid w:val="00DF1EE0"/>
    <w:rsid w:val="00DF2158"/>
    <w:rsid w:val="00DF294E"/>
    <w:rsid w:val="00DF2DEA"/>
    <w:rsid w:val="00DF35C8"/>
    <w:rsid w:val="00DF3A76"/>
    <w:rsid w:val="00DF5E57"/>
    <w:rsid w:val="00DF5EBF"/>
    <w:rsid w:val="00DF5FD6"/>
    <w:rsid w:val="00DF6AEB"/>
    <w:rsid w:val="00DF6F6A"/>
    <w:rsid w:val="00DF7015"/>
    <w:rsid w:val="00DF726C"/>
    <w:rsid w:val="00DF73DD"/>
    <w:rsid w:val="00DF7A98"/>
    <w:rsid w:val="00E0004E"/>
    <w:rsid w:val="00E006AA"/>
    <w:rsid w:val="00E00975"/>
    <w:rsid w:val="00E00AAB"/>
    <w:rsid w:val="00E00EF2"/>
    <w:rsid w:val="00E01C39"/>
    <w:rsid w:val="00E01EC1"/>
    <w:rsid w:val="00E01EE3"/>
    <w:rsid w:val="00E02DED"/>
    <w:rsid w:val="00E03EF6"/>
    <w:rsid w:val="00E03FF7"/>
    <w:rsid w:val="00E049FF"/>
    <w:rsid w:val="00E05254"/>
    <w:rsid w:val="00E0543E"/>
    <w:rsid w:val="00E0587B"/>
    <w:rsid w:val="00E0738F"/>
    <w:rsid w:val="00E074FA"/>
    <w:rsid w:val="00E07596"/>
    <w:rsid w:val="00E07A1D"/>
    <w:rsid w:val="00E07F74"/>
    <w:rsid w:val="00E10890"/>
    <w:rsid w:val="00E10F9E"/>
    <w:rsid w:val="00E147AD"/>
    <w:rsid w:val="00E14D18"/>
    <w:rsid w:val="00E1536D"/>
    <w:rsid w:val="00E154B5"/>
    <w:rsid w:val="00E168D9"/>
    <w:rsid w:val="00E17C30"/>
    <w:rsid w:val="00E203A0"/>
    <w:rsid w:val="00E20B4F"/>
    <w:rsid w:val="00E21637"/>
    <w:rsid w:val="00E21F4C"/>
    <w:rsid w:val="00E2200F"/>
    <w:rsid w:val="00E22530"/>
    <w:rsid w:val="00E22A8B"/>
    <w:rsid w:val="00E22E71"/>
    <w:rsid w:val="00E2388B"/>
    <w:rsid w:val="00E2397A"/>
    <w:rsid w:val="00E24AE5"/>
    <w:rsid w:val="00E2550D"/>
    <w:rsid w:val="00E25924"/>
    <w:rsid w:val="00E26A1C"/>
    <w:rsid w:val="00E307AA"/>
    <w:rsid w:val="00E313CA"/>
    <w:rsid w:val="00E31AB5"/>
    <w:rsid w:val="00E327CE"/>
    <w:rsid w:val="00E32A33"/>
    <w:rsid w:val="00E33CE8"/>
    <w:rsid w:val="00E33DE8"/>
    <w:rsid w:val="00E34A47"/>
    <w:rsid w:val="00E34FF5"/>
    <w:rsid w:val="00E35052"/>
    <w:rsid w:val="00E3534A"/>
    <w:rsid w:val="00E37215"/>
    <w:rsid w:val="00E374DA"/>
    <w:rsid w:val="00E37847"/>
    <w:rsid w:val="00E40104"/>
    <w:rsid w:val="00E40882"/>
    <w:rsid w:val="00E41EA2"/>
    <w:rsid w:val="00E4210C"/>
    <w:rsid w:val="00E42337"/>
    <w:rsid w:val="00E42899"/>
    <w:rsid w:val="00E4400B"/>
    <w:rsid w:val="00E443A5"/>
    <w:rsid w:val="00E45986"/>
    <w:rsid w:val="00E45A6C"/>
    <w:rsid w:val="00E45DBD"/>
    <w:rsid w:val="00E46029"/>
    <w:rsid w:val="00E46401"/>
    <w:rsid w:val="00E479AF"/>
    <w:rsid w:val="00E509C4"/>
    <w:rsid w:val="00E50E73"/>
    <w:rsid w:val="00E51AA0"/>
    <w:rsid w:val="00E51D30"/>
    <w:rsid w:val="00E51D99"/>
    <w:rsid w:val="00E52B82"/>
    <w:rsid w:val="00E52FC2"/>
    <w:rsid w:val="00E5440C"/>
    <w:rsid w:val="00E544A6"/>
    <w:rsid w:val="00E546CA"/>
    <w:rsid w:val="00E5531D"/>
    <w:rsid w:val="00E554F4"/>
    <w:rsid w:val="00E55582"/>
    <w:rsid w:val="00E559F5"/>
    <w:rsid w:val="00E5635E"/>
    <w:rsid w:val="00E56D0E"/>
    <w:rsid w:val="00E577B6"/>
    <w:rsid w:val="00E57C1F"/>
    <w:rsid w:val="00E603B3"/>
    <w:rsid w:val="00E60E0E"/>
    <w:rsid w:val="00E61569"/>
    <w:rsid w:val="00E61DF5"/>
    <w:rsid w:val="00E62A14"/>
    <w:rsid w:val="00E62E54"/>
    <w:rsid w:val="00E63866"/>
    <w:rsid w:val="00E63F53"/>
    <w:rsid w:val="00E64D80"/>
    <w:rsid w:val="00E64ED2"/>
    <w:rsid w:val="00E65F0E"/>
    <w:rsid w:val="00E66060"/>
    <w:rsid w:val="00E663E9"/>
    <w:rsid w:val="00E66963"/>
    <w:rsid w:val="00E6747E"/>
    <w:rsid w:val="00E677A3"/>
    <w:rsid w:val="00E70ABD"/>
    <w:rsid w:val="00E715CB"/>
    <w:rsid w:val="00E723EF"/>
    <w:rsid w:val="00E72481"/>
    <w:rsid w:val="00E7284F"/>
    <w:rsid w:val="00E7347D"/>
    <w:rsid w:val="00E73985"/>
    <w:rsid w:val="00E74195"/>
    <w:rsid w:val="00E74372"/>
    <w:rsid w:val="00E74BC3"/>
    <w:rsid w:val="00E74DD5"/>
    <w:rsid w:val="00E74EF8"/>
    <w:rsid w:val="00E7510C"/>
    <w:rsid w:val="00E75175"/>
    <w:rsid w:val="00E7523C"/>
    <w:rsid w:val="00E75979"/>
    <w:rsid w:val="00E75B76"/>
    <w:rsid w:val="00E760DD"/>
    <w:rsid w:val="00E767F9"/>
    <w:rsid w:val="00E76880"/>
    <w:rsid w:val="00E770B4"/>
    <w:rsid w:val="00E7748B"/>
    <w:rsid w:val="00E7797C"/>
    <w:rsid w:val="00E77DC0"/>
    <w:rsid w:val="00E803DB"/>
    <w:rsid w:val="00E818CF"/>
    <w:rsid w:val="00E81A51"/>
    <w:rsid w:val="00E8218C"/>
    <w:rsid w:val="00E82733"/>
    <w:rsid w:val="00E82E50"/>
    <w:rsid w:val="00E834E2"/>
    <w:rsid w:val="00E83C69"/>
    <w:rsid w:val="00E83DCE"/>
    <w:rsid w:val="00E83F0F"/>
    <w:rsid w:val="00E84835"/>
    <w:rsid w:val="00E8490B"/>
    <w:rsid w:val="00E84B28"/>
    <w:rsid w:val="00E86547"/>
    <w:rsid w:val="00E86A0E"/>
    <w:rsid w:val="00E86CFC"/>
    <w:rsid w:val="00E86FB8"/>
    <w:rsid w:val="00E87F00"/>
    <w:rsid w:val="00E902D1"/>
    <w:rsid w:val="00E90940"/>
    <w:rsid w:val="00E93017"/>
    <w:rsid w:val="00E934D1"/>
    <w:rsid w:val="00E9411F"/>
    <w:rsid w:val="00E94478"/>
    <w:rsid w:val="00E94A0E"/>
    <w:rsid w:val="00E94C4C"/>
    <w:rsid w:val="00E9545B"/>
    <w:rsid w:val="00E9573A"/>
    <w:rsid w:val="00E95F7A"/>
    <w:rsid w:val="00E96539"/>
    <w:rsid w:val="00E96E7E"/>
    <w:rsid w:val="00E971A4"/>
    <w:rsid w:val="00E97EEB"/>
    <w:rsid w:val="00EA0780"/>
    <w:rsid w:val="00EA0EDE"/>
    <w:rsid w:val="00EA1208"/>
    <w:rsid w:val="00EA1BF6"/>
    <w:rsid w:val="00EA2BEC"/>
    <w:rsid w:val="00EA3545"/>
    <w:rsid w:val="00EA4639"/>
    <w:rsid w:val="00EA4BC1"/>
    <w:rsid w:val="00EA52FC"/>
    <w:rsid w:val="00EA55D2"/>
    <w:rsid w:val="00EA5BC7"/>
    <w:rsid w:val="00EA5DF0"/>
    <w:rsid w:val="00EA5F6F"/>
    <w:rsid w:val="00EA6278"/>
    <w:rsid w:val="00EA7AB2"/>
    <w:rsid w:val="00EA7F6E"/>
    <w:rsid w:val="00EB0DDA"/>
    <w:rsid w:val="00EB1594"/>
    <w:rsid w:val="00EB1653"/>
    <w:rsid w:val="00EB25DD"/>
    <w:rsid w:val="00EB2AC5"/>
    <w:rsid w:val="00EB2C58"/>
    <w:rsid w:val="00EB2DE8"/>
    <w:rsid w:val="00EB3174"/>
    <w:rsid w:val="00EB34D0"/>
    <w:rsid w:val="00EB357A"/>
    <w:rsid w:val="00EB35CA"/>
    <w:rsid w:val="00EB37E9"/>
    <w:rsid w:val="00EB391D"/>
    <w:rsid w:val="00EB430D"/>
    <w:rsid w:val="00EB4767"/>
    <w:rsid w:val="00EB6384"/>
    <w:rsid w:val="00EB78D8"/>
    <w:rsid w:val="00EB7DDD"/>
    <w:rsid w:val="00EC00F4"/>
    <w:rsid w:val="00EC1838"/>
    <w:rsid w:val="00EC47D9"/>
    <w:rsid w:val="00EC4B35"/>
    <w:rsid w:val="00EC5292"/>
    <w:rsid w:val="00EC534E"/>
    <w:rsid w:val="00EC5AEA"/>
    <w:rsid w:val="00EC5F30"/>
    <w:rsid w:val="00EC6162"/>
    <w:rsid w:val="00EC7550"/>
    <w:rsid w:val="00EC769E"/>
    <w:rsid w:val="00EC7F6D"/>
    <w:rsid w:val="00ED02FF"/>
    <w:rsid w:val="00ED1328"/>
    <w:rsid w:val="00ED137D"/>
    <w:rsid w:val="00ED145F"/>
    <w:rsid w:val="00ED1604"/>
    <w:rsid w:val="00ED19BE"/>
    <w:rsid w:val="00ED1F06"/>
    <w:rsid w:val="00ED20C0"/>
    <w:rsid w:val="00ED2348"/>
    <w:rsid w:val="00ED2B8A"/>
    <w:rsid w:val="00ED2C57"/>
    <w:rsid w:val="00ED2EB6"/>
    <w:rsid w:val="00ED3090"/>
    <w:rsid w:val="00ED34AF"/>
    <w:rsid w:val="00ED3ED3"/>
    <w:rsid w:val="00ED444C"/>
    <w:rsid w:val="00ED6090"/>
    <w:rsid w:val="00ED7EB5"/>
    <w:rsid w:val="00EE0B25"/>
    <w:rsid w:val="00EE0BD8"/>
    <w:rsid w:val="00EE0D1D"/>
    <w:rsid w:val="00EE0F90"/>
    <w:rsid w:val="00EE26E5"/>
    <w:rsid w:val="00EE2E4E"/>
    <w:rsid w:val="00EE4A3A"/>
    <w:rsid w:val="00EE576C"/>
    <w:rsid w:val="00EE59F2"/>
    <w:rsid w:val="00EE6156"/>
    <w:rsid w:val="00EE6AA4"/>
    <w:rsid w:val="00EE6FA7"/>
    <w:rsid w:val="00EE7060"/>
    <w:rsid w:val="00EE77E8"/>
    <w:rsid w:val="00EE7A78"/>
    <w:rsid w:val="00EF0615"/>
    <w:rsid w:val="00EF0617"/>
    <w:rsid w:val="00EF08E0"/>
    <w:rsid w:val="00EF1C9B"/>
    <w:rsid w:val="00EF26CF"/>
    <w:rsid w:val="00EF42F8"/>
    <w:rsid w:val="00EF4CC0"/>
    <w:rsid w:val="00EF4F9D"/>
    <w:rsid w:val="00EF5630"/>
    <w:rsid w:val="00EF56D8"/>
    <w:rsid w:val="00EF5864"/>
    <w:rsid w:val="00EF5A9C"/>
    <w:rsid w:val="00EF6EE4"/>
    <w:rsid w:val="00EF7B1B"/>
    <w:rsid w:val="00F00448"/>
    <w:rsid w:val="00F008D9"/>
    <w:rsid w:val="00F00A0F"/>
    <w:rsid w:val="00F014E1"/>
    <w:rsid w:val="00F01B55"/>
    <w:rsid w:val="00F01C7E"/>
    <w:rsid w:val="00F0224E"/>
    <w:rsid w:val="00F05291"/>
    <w:rsid w:val="00F05635"/>
    <w:rsid w:val="00F05DBE"/>
    <w:rsid w:val="00F06457"/>
    <w:rsid w:val="00F064DD"/>
    <w:rsid w:val="00F06C7F"/>
    <w:rsid w:val="00F06CA5"/>
    <w:rsid w:val="00F070B1"/>
    <w:rsid w:val="00F07259"/>
    <w:rsid w:val="00F076C5"/>
    <w:rsid w:val="00F10114"/>
    <w:rsid w:val="00F10678"/>
    <w:rsid w:val="00F10AE9"/>
    <w:rsid w:val="00F11523"/>
    <w:rsid w:val="00F120CD"/>
    <w:rsid w:val="00F125CC"/>
    <w:rsid w:val="00F138FF"/>
    <w:rsid w:val="00F13B21"/>
    <w:rsid w:val="00F13FB8"/>
    <w:rsid w:val="00F140AD"/>
    <w:rsid w:val="00F141CE"/>
    <w:rsid w:val="00F14428"/>
    <w:rsid w:val="00F1463F"/>
    <w:rsid w:val="00F148FB"/>
    <w:rsid w:val="00F15616"/>
    <w:rsid w:val="00F16362"/>
    <w:rsid w:val="00F16706"/>
    <w:rsid w:val="00F16A51"/>
    <w:rsid w:val="00F16CD2"/>
    <w:rsid w:val="00F16DC9"/>
    <w:rsid w:val="00F2175A"/>
    <w:rsid w:val="00F21EF5"/>
    <w:rsid w:val="00F220DE"/>
    <w:rsid w:val="00F2282F"/>
    <w:rsid w:val="00F22FDF"/>
    <w:rsid w:val="00F23A08"/>
    <w:rsid w:val="00F23F35"/>
    <w:rsid w:val="00F24925"/>
    <w:rsid w:val="00F25494"/>
    <w:rsid w:val="00F255AD"/>
    <w:rsid w:val="00F26F05"/>
    <w:rsid w:val="00F27215"/>
    <w:rsid w:val="00F275D5"/>
    <w:rsid w:val="00F27736"/>
    <w:rsid w:val="00F27DB1"/>
    <w:rsid w:val="00F318ED"/>
    <w:rsid w:val="00F32095"/>
    <w:rsid w:val="00F32149"/>
    <w:rsid w:val="00F326D7"/>
    <w:rsid w:val="00F32737"/>
    <w:rsid w:val="00F32939"/>
    <w:rsid w:val="00F331BC"/>
    <w:rsid w:val="00F33652"/>
    <w:rsid w:val="00F3478D"/>
    <w:rsid w:val="00F34A93"/>
    <w:rsid w:val="00F350D2"/>
    <w:rsid w:val="00F36942"/>
    <w:rsid w:val="00F36AB4"/>
    <w:rsid w:val="00F37453"/>
    <w:rsid w:val="00F41340"/>
    <w:rsid w:val="00F4166E"/>
    <w:rsid w:val="00F42A5F"/>
    <w:rsid w:val="00F42B63"/>
    <w:rsid w:val="00F433E2"/>
    <w:rsid w:val="00F44C80"/>
    <w:rsid w:val="00F45954"/>
    <w:rsid w:val="00F45D78"/>
    <w:rsid w:val="00F46D5C"/>
    <w:rsid w:val="00F502F5"/>
    <w:rsid w:val="00F51DA3"/>
    <w:rsid w:val="00F51DC3"/>
    <w:rsid w:val="00F524BA"/>
    <w:rsid w:val="00F533B6"/>
    <w:rsid w:val="00F53602"/>
    <w:rsid w:val="00F537EA"/>
    <w:rsid w:val="00F53E15"/>
    <w:rsid w:val="00F54184"/>
    <w:rsid w:val="00F54A47"/>
    <w:rsid w:val="00F54ED9"/>
    <w:rsid w:val="00F55161"/>
    <w:rsid w:val="00F55A2F"/>
    <w:rsid w:val="00F55F85"/>
    <w:rsid w:val="00F5650E"/>
    <w:rsid w:val="00F571C4"/>
    <w:rsid w:val="00F600CC"/>
    <w:rsid w:val="00F6018C"/>
    <w:rsid w:val="00F603BC"/>
    <w:rsid w:val="00F607C0"/>
    <w:rsid w:val="00F618CF"/>
    <w:rsid w:val="00F61B57"/>
    <w:rsid w:val="00F61E14"/>
    <w:rsid w:val="00F62720"/>
    <w:rsid w:val="00F6365E"/>
    <w:rsid w:val="00F644D6"/>
    <w:rsid w:val="00F64901"/>
    <w:rsid w:val="00F6549B"/>
    <w:rsid w:val="00F6597C"/>
    <w:rsid w:val="00F65BE0"/>
    <w:rsid w:val="00F66275"/>
    <w:rsid w:val="00F6636E"/>
    <w:rsid w:val="00F66619"/>
    <w:rsid w:val="00F6689A"/>
    <w:rsid w:val="00F66997"/>
    <w:rsid w:val="00F669FF"/>
    <w:rsid w:val="00F66AD7"/>
    <w:rsid w:val="00F66DAE"/>
    <w:rsid w:val="00F66E29"/>
    <w:rsid w:val="00F67370"/>
    <w:rsid w:val="00F70090"/>
    <w:rsid w:val="00F70E45"/>
    <w:rsid w:val="00F719F5"/>
    <w:rsid w:val="00F724BD"/>
    <w:rsid w:val="00F73904"/>
    <w:rsid w:val="00F744C4"/>
    <w:rsid w:val="00F745C4"/>
    <w:rsid w:val="00F74DD9"/>
    <w:rsid w:val="00F751C1"/>
    <w:rsid w:val="00F7618F"/>
    <w:rsid w:val="00F762B2"/>
    <w:rsid w:val="00F764A6"/>
    <w:rsid w:val="00F76D38"/>
    <w:rsid w:val="00F77972"/>
    <w:rsid w:val="00F805F8"/>
    <w:rsid w:val="00F8081F"/>
    <w:rsid w:val="00F80B77"/>
    <w:rsid w:val="00F813B5"/>
    <w:rsid w:val="00F81AB2"/>
    <w:rsid w:val="00F81E81"/>
    <w:rsid w:val="00F835D2"/>
    <w:rsid w:val="00F83CBA"/>
    <w:rsid w:val="00F847C6"/>
    <w:rsid w:val="00F84E98"/>
    <w:rsid w:val="00F8542B"/>
    <w:rsid w:val="00F854F8"/>
    <w:rsid w:val="00F85763"/>
    <w:rsid w:val="00F85997"/>
    <w:rsid w:val="00F85B86"/>
    <w:rsid w:val="00F8600A"/>
    <w:rsid w:val="00F860D6"/>
    <w:rsid w:val="00F86987"/>
    <w:rsid w:val="00F87B58"/>
    <w:rsid w:val="00F87CBA"/>
    <w:rsid w:val="00F87EBB"/>
    <w:rsid w:val="00F90037"/>
    <w:rsid w:val="00F90A2B"/>
    <w:rsid w:val="00F90DCE"/>
    <w:rsid w:val="00F90DD5"/>
    <w:rsid w:val="00F919BF"/>
    <w:rsid w:val="00F925F0"/>
    <w:rsid w:val="00F92A1C"/>
    <w:rsid w:val="00F92ABB"/>
    <w:rsid w:val="00F92AED"/>
    <w:rsid w:val="00F93EBC"/>
    <w:rsid w:val="00F94473"/>
    <w:rsid w:val="00F948DA"/>
    <w:rsid w:val="00F9499E"/>
    <w:rsid w:val="00F96448"/>
    <w:rsid w:val="00F96B4B"/>
    <w:rsid w:val="00F97221"/>
    <w:rsid w:val="00F973E3"/>
    <w:rsid w:val="00F97992"/>
    <w:rsid w:val="00FA051A"/>
    <w:rsid w:val="00FA084A"/>
    <w:rsid w:val="00FA0D3B"/>
    <w:rsid w:val="00FA0D92"/>
    <w:rsid w:val="00FA0E4D"/>
    <w:rsid w:val="00FA3DF7"/>
    <w:rsid w:val="00FA4838"/>
    <w:rsid w:val="00FA5682"/>
    <w:rsid w:val="00FA5B22"/>
    <w:rsid w:val="00FA65AF"/>
    <w:rsid w:val="00FA7196"/>
    <w:rsid w:val="00FA755B"/>
    <w:rsid w:val="00FA7F8B"/>
    <w:rsid w:val="00FB014A"/>
    <w:rsid w:val="00FB07DC"/>
    <w:rsid w:val="00FB1426"/>
    <w:rsid w:val="00FB1ABD"/>
    <w:rsid w:val="00FB2678"/>
    <w:rsid w:val="00FB3448"/>
    <w:rsid w:val="00FB4D29"/>
    <w:rsid w:val="00FB5706"/>
    <w:rsid w:val="00FB577C"/>
    <w:rsid w:val="00FB6EB6"/>
    <w:rsid w:val="00FB720A"/>
    <w:rsid w:val="00FB7D9E"/>
    <w:rsid w:val="00FC0BCF"/>
    <w:rsid w:val="00FC1779"/>
    <w:rsid w:val="00FC1BF1"/>
    <w:rsid w:val="00FC1F49"/>
    <w:rsid w:val="00FC2A98"/>
    <w:rsid w:val="00FC334F"/>
    <w:rsid w:val="00FC34A3"/>
    <w:rsid w:val="00FC4A76"/>
    <w:rsid w:val="00FC4D21"/>
    <w:rsid w:val="00FC5237"/>
    <w:rsid w:val="00FC53E8"/>
    <w:rsid w:val="00FC53F5"/>
    <w:rsid w:val="00FC58BD"/>
    <w:rsid w:val="00FC5E20"/>
    <w:rsid w:val="00FC64F6"/>
    <w:rsid w:val="00FC746C"/>
    <w:rsid w:val="00FD04CE"/>
    <w:rsid w:val="00FD08C1"/>
    <w:rsid w:val="00FD0964"/>
    <w:rsid w:val="00FD1DF9"/>
    <w:rsid w:val="00FD2BAB"/>
    <w:rsid w:val="00FD4623"/>
    <w:rsid w:val="00FD4695"/>
    <w:rsid w:val="00FD4ED0"/>
    <w:rsid w:val="00FD52E2"/>
    <w:rsid w:val="00FD5706"/>
    <w:rsid w:val="00FD5D5D"/>
    <w:rsid w:val="00FD65C6"/>
    <w:rsid w:val="00FD6AC8"/>
    <w:rsid w:val="00FD6C2B"/>
    <w:rsid w:val="00FE0A07"/>
    <w:rsid w:val="00FE0D5D"/>
    <w:rsid w:val="00FE2673"/>
    <w:rsid w:val="00FE34AE"/>
    <w:rsid w:val="00FE47FE"/>
    <w:rsid w:val="00FE54FD"/>
    <w:rsid w:val="00FE5E14"/>
    <w:rsid w:val="00FE7974"/>
    <w:rsid w:val="00FE7A23"/>
    <w:rsid w:val="00FE7BEC"/>
    <w:rsid w:val="00FF1168"/>
    <w:rsid w:val="00FF1CCC"/>
    <w:rsid w:val="00FF27E1"/>
    <w:rsid w:val="00FF2A50"/>
    <w:rsid w:val="00FF2A98"/>
    <w:rsid w:val="00FF3E50"/>
    <w:rsid w:val="00FF4CB0"/>
    <w:rsid w:val="00FF5784"/>
    <w:rsid w:val="00FF6405"/>
    <w:rsid w:val="00FF66CA"/>
    <w:rsid w:val="00FF69AD"/>
    <w:rsid w:val="00FF767C"/>
    <w:rsid w:val="01527000"/>
    <w:rsid w:val="01ED275C"/>
    <w:rsid w:val="02495022"/>
    <w:rsid w:val="029A3591"/>
    <w:rsid w:val="03B754C4"/>
    <w:rsid w:val="07F44901"/>
    <w:rsid w:val="09944D0F"/>
    <w:rsid w:val="0A1B665C"/>
    <w:rsid w:val="0E4A1258"/>
    <w:rsid w:val="119627DA"/>
    <w:rsid w:val="11D04020"/>
    <w:rsid w:val="13337B3A"/>
    <w:rsid w:val="1A905842"/>
    <w:rsid w:val="1CDF6FDF"/>
    <w:rsid w:val="1D946102"/>
    <w:rsid w:val="1E716890"/>
    <w:rsid w:val="1FEC6843"/>
    <w:rsid w:val="21E537F8"/>
    <w:rsid w:val="23B83165"/>
    <w:rsid w:val="24802CB1"/>
    <w:rsid w:val="27A30416"/>
    <w:rsid w:val="2B1D2B77"/>
    <w:rsid w:val="2B7B2485"/>
    <w:rsid w:val="2DA9021B"/>
    <w:rsid w:val="316D303D"/>
    <w:rsid w:val="32FA28DC"/>
    <w:rsid w:val="33AB2219"/>
    <w:rsid w:val="37386952"/>
    <w:rsid w:val="3A8B1A96"/>
    <w:rsid w:val="3AD3758B"/>
    <w:rsid w:val="3B3F2611"/>
    <w:rsid w:val="3B890E76"/>
    <w:rsid w:val="3CA01ACD"/>
    <w:rsid w:val="3E280EFD"/>
    <w:rsid w:val="3F464372"/>
    <w:rsid w:val="402B290F"/>
    <w:rsid w:val="435232AA"/>
    <w:rsid w:val="4448123E"/>
    <w:rsid w:val="498448CF"/>
    <w:rsid w:val="4F3C4144"/>
    <w:rsid w:val="518A3B6F"/>
    <w:rsid w:val="537122AF"/>
    <w:rsid w:val="578070D5"/>
    <w:rsid w:val="58B70BDB"/>
    <w:rsid w:val="58C85E0A"/>
    <w:rsid w:val="58F84E7B"/>
    <w:rsid w:val="5A750B50"/>
    <w:rsid w:val="5CE966EE"/>
    <w:rsid w:val="60DE4F61"/>
    <w:rsid w:val="629032C2"/>
    <w:rsid w:val="63375518"/>
    <w:rsid w:val="63D938CF"/>
    <w:rsid w:val="64A31F30"/>
    <w:rsid w:val="65967EC3"/>
    <w:rsid w:val="659B302E"/>
    <w:rsid w:val="69190D78"/>
    <w:rsid w:val="69CD15F9"/>
    <w:rsid w:val="6A4265B2"/>
    <w:rsid w:val="6B9A61B4"/>
    <w:rsid w:val="6B9E0818"/>
    <w:rsid w:val="6BA63295"/>
    <w:rsid w:val="6C816D1A"/>
    <w:rsid w:val="6F912422"/>
    <w:rsid w:val="6FAA7FE5"/>
    <w:rsid w:val="75730B41"/>
    <w:rsid w:val="77094029"/>
    <w:rsid w:val="78307BBE"/>
    <w:rsid w:val="792E3BE7"/>
    <w:rsid w:val="7AB33B97"/>
    <w:rsid w:val="7AED656B"/>
    <w:rsid w:val="7AFC62A1"/>
    <w:rsid w:val="7B4D48FD"/>
    <w:rsid w:val="7C753CAB"/>
    <w:rsid w:val="7E5D5570"/>
    <w:rsid w:val="7EFB5C4C"/>
    <w:rsid w:val="7FEF4C8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endarrow="block"/>
    </o:shapedefaults>
    <o:shapelayout v:ext="edit">
      <o:idmap v:ext="edit" data="2"/>
      <o:rules v:ext="edit">
        <o:r id="V:Rule1" type="connector" idref="#直接箭头连接符 17">
          <o:proxy start="" idref="#矩形 20" connectloc="1"/>
        </o:r>
        <o:r id="V:Rule2" type="connector" idref="#直接箭头连接符 21">
          <o:proxy start="" idref="#矩形 20" connectloc="3"/>
        </o:r>
        <o:r id="V:Rule3" type="connector" idref="#直接箭头连接符 16">
          <o:proxy start="" idref="#矩形 20" connectloc="0"/>
          <o:proxy end="" idref="#任意多边形 23" connectloc="8"/>
        </o:r>
        <o:r id="V:Rule4" type="connector" idref="#直接箭头连接符 18">
          <o:proxy start="" idref="#矩形 20" connectloc="2"/>
        </o:r>
      </o:rules>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Calibri" w:hAnsi="Calibri" w:eastAsia="Calibri" w:cs="Arial"/>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nhideWhenUsed="0"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qFormat="1" w:unhideWhenUsed="0" w:uiPriority="99"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qFormat="1" w:unhideWhenUsed="0" w:uiPriority="0" w:semiHidden="0" w:name="Block Text"/>
    <w:lsdException w:qFormat="1" w:unhideWhenUsed="0" w:uiPriority="0"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34"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qFormat="1" w:unhideWhenUsed="0" w:uiPriority="0" w:semiHidden="0" w:name="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4">
    <w:name w:val="heading 1"/>
    <w:basedOn w:val="1"/>
    <w:next w:val="1"/>
    <w:qFormat/>
    <w:uiPriority w:val="0"/>
    <w:pPr>
      <w:keepNext/>
      <w:keepLines/>
      <w:tabs>
        <w:tab w:val="left" w:pos="1230"/>
      </w:tabs>
      <w:spacing w:before="240" w:after="120"/>
      <w:ind w:left="1230" w:hanging="1230"/>
      <w:jc w:val="center"/>
      <w:outlineLvl w:val="0"/>
    </w:pPr>
    <w:rPr>
      <w:rFonts w:ascii="Times New Roman" w:hAnsi="Times New Roman" w:eastAsia="黑体" w:cs="Times New Roman"/>
      <w:b/>
      <w:kern w:val="44"/>
      <w:sz w:val="42"/>
      <w:szCs w:val="20"/>
    </w:rPr>
  </w:style>
  <w:style w:type="paragraph" w:styleId="5">
    <w:name w:val="heading 3"/>
    <w:basedOn w:val="1"/>
    <w:next w:val="1"/>
    <w:qFormat/>
    <w:uiPriority w:val="0"/>
    <w:pPr>
      <w:keepNext/>
      <w:keepLines/>
      <w:spacing w:before="260" w:after="260" w:line="416" w:lineRule="auto"/>
      <w:outlineLvl w:val="2"/>
    </w:pPr>
    <w:rPr>
      <w:b/>
      <w:bCs/>
      <w:sz w:val="32"/>
      <w:szCs w:val="32"/>
    </w:rPr>
  </w:style>
  <w:style w:type="paragraph" w:styleId="6">
    <w:name w:val="heading 4"/>
    <w:basedOn w:val="1"/>
    <w:next w:val="1"/>
    <w:qFormat/>
    <w:uiPriority w:val="0"/>
    <w:pPr>
      <w:numPr>
        <w:ilvl w:val="3"/>
        <w:numId w:val="1"/>
      </w:numPr>
      <w:tabs>
        <w:tab w:val="left" w:pos="910"/>
      </w:tabs>
      <w:adjustRightInd w:val="0"/>
      <w:snapToGrid w:val="0"/>
      <w:spacing w:line="460" w:lineRule="exact"/>
      <w:jc w:val="left"/>
      <w:outlineLvl w:val="3"/>
    </w:pPr>
    <w:rPr>
      <w:bCs/>
      <w:snapToGrid w:val="0"/>
      <w:kern w:val="0"/>
      <w:sz w:val="26"/>
      <w:szCs w:val="26"/>
    </w:rPr>
  </w:style>
  <w:style w:type="character" w:default="1" w:styleId="25">
    <w:name w:val="Default Paragraph Font"/>
    <w:semiHidden/>
    <w:unhideWhenUsed/>
    <w:qFormat/>
    <w:uiPriority w:val="1"/>
  </w:style>
  <w:style w:type="table" w:default="1" w:styleId="23">
    <w:name w:val="Normal Table"/>
    <w:semiHidden/>
    <w:unhideWhenUsed/>
    <w:qFormat/>
    <w:uiPriority w:val="99"/>
    <w:tblPr>
      <w:tblCellMar>
        <w:top w:w="0" w:type="dxa"/>
        <w:left w:w="108" w:type="dxa"/>
        <w:bottom w:w="0" w:type="dxa"/>
        <w:right w:w="108" w:type="dxa"/>
      </w:tblCellMar>
    </w:tblPr>
  </w:style>
  <w:style w:type="paragraph" w:styleId="2">
    <w:name w:val="Block Text"/>
    <w:basedOn w:val="1"/>
    <w:qFormat/>
    <w:uiPriority w:val="0"/>
    <w:pPr>
      <w:widowControl w:val="0"/>
      <w:autoSpaceDE w:val="0"/>
      <w:autoSpaceDN w:val="0"/>
      <w:adjustRightInd w:val="0"/>
      <w:spacing w:before="1" w:line="537" w:lineRule="exact"/>
      <w:ind w:left="88" w:right="6"/>
      <w:jc w:val="both"/>
    </w:pPr>
    <w:rPr>
      <w:rFonts w:ascii="Times New Roman" w:hAnsi="Times New Roman" w:eastAsia="宋体" w:cs="Times New Roman"/>
      <w:kern w:val="0"/>
      <w:sz w:val="28"/>
      <w:szCs w:val="20"/>
      <w:lang w:val="en-US" w:eastAsia="zh-CN" w:bidi="ar-SA"/>
    </w:rPr>
  </w:style>
  <w:style w:type="paragraph" w:styleId="3">
    <w:name w:val="macro"/>
    <w:basedOn w:val="1"/>
    <w:qFormat/>
    <w:uiPriority w:val="99"/>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eastAsia="宋体" w:cs="Times New Roman"/>
      <w:sz w:val="24"/>
      <w:lang w:val="en-US" w:eastAsia="zh-CN" w:bidi="ar-SA"/>
    </w:rPr>
  </w:style>
  <w:style w:type="paragraph" w:styleId="7">
    <w:name w:val="Normal Indent"/>
    <w:basedOn w:val="1"/>
    <w:next w:val="1"/>
    <w:link w:val="68"/>
    <w:qFormat/>
    <w:uiPriority w:val="0"/>
    <w:rPr>
      <w:sz w:val="28"/>
      <w:szCs w:val="20"/>
    </w:rPr>
  </w:style>
  <w:style w:type="paragraph" w:styleId="8">
    <w:name w:val="annotation text"/>
    <w:basedOn w:val="1"/>
    <w:link w:val="44"/>
    <w:qFormat/>
    <w:uiPriority w:val="0"/>
    <w:pPr>
      <w:jc w:val="left"/>
    </w:pPr>
  </w:style>
  <w:style w:type="paragraph" w:styleId="9">
    <w:name w:val="Body Text"/>
    <w:basedOn w:val="1"/>
    <w:link w:val="77"/>
    <w:qFormat/>
    <w:uiPriority w:val="0"/>
    <w:pPr>
      <w:spacing w:after="120"/>
    </w:pPr>
  </w:style>
  <w:style w:type="paragraph" w:styleId="10">
    <w:name w:val="Body Text Indent"/>
    <w:basedOn w:val="1"/>
    <w:link w:val="62"/>
    <w:qFormat/>
    <w:uiPriority w:val="0"/>
    <w:pPr>
      <w:spacing w:after="120"/>
      <w:ind w:left="420" w:leftChars="200"/>
    </w:pPr>
  </w:style>
  <w:style w:type="paragraph" w:styleId="11">
    <w:name w:val="Plain Text"/>
    <w:basedOn w:val="1"/>
    <w:link w:val="52"/>
    <w:qFormat/>
    <w:uiPriority w:val="0"/>
    <w:rPr>
      <w:rFonts w:hint="eastAsia" w:ascii="宋体" w:hAnsi="Courier New"/>
      <w:szCs w:val="20"/>
    </w:rPr>
  </w:style>
  <w:style w:type="paragraph" w:styleId="12">
    <w:name w:val="Date"/>
    <w:basedOn w:val="1"/>
    <w:next w:val="1"/>
    <w:link w:val="34"/>
    <w:qFormat/>
    <w:uiPriority w:val="0"/>
    <w:pPr>
      <w:adjustRightInd w:val="0"/>
      <w:textAlignment w:val="baseline"/>
    </w:pPr>
    <w:rPr>
      <w:sz w:val="24"/>
      <w:szCs w:val="20"/>
    </w:rPr>
  </w:style>
  <w:style w:type="paragraph" w:styleId="13">
    <w:name w:val="Body Text Indent 2"/>
    <w:basedOn w:val="1"/>
    <w:qFormat/>
    <w:uiPriority w:val="0"/>
    <w:pPr>
      <w:spacing w:after="120" w:line="480" w:lineRule="auto"/>
      <w:ind w:left="420" w:leftChars="200"/>
    </w:pPr>
  </w:style>
  <w:style w:type="paragraph" w:styleId="14">
    <w:name w:val="Balloon Text"/>
    <w:basedOn w:val="1"/>
    <w:link w:val="46"/>
    <w:qFormat/>
    <w:uiPriority w:val="0"/>
    <w:rPr>
      <w:sz w:val="18"/>
      <w:szCs w:val="18"/>
    </w:rPr>
  </w:style>
  <w:style w:type="paragraph" w:styleId="15">
    <w:name w:val="footer"/>
    <w:basedOn w:val="1"/>
    <w:link w:val="60"/>
    <w:qFormat/>
    <w:uiPriority w:val="99"/>
    <w:pPr>
      <w:tabs>
        <w:tab w:val="center" w:pos="4153"/>
        <w:tab w:val="right" w:pos="8306"/>
      </w:tabs>
      <w:snapToGrid w:val="0"/>
      <w:jc w:val="left"/>
    </w:pPr>
    <w:rPr>
      <w:sz w:val="18"/>
      <w:szCs w:val="18"/>
    </w:rPr>
  </w:style>
  <w:style w:type="paragraph" w:styleId="16">
    <w:name w:val="header"/>
    <w:basedOn w:val="1"/>
    <w:link w:val="59"/>
    <w:qFormat/>
    <w:uiPriority w:val="99"/>
    <w:pPr>
      <w:pBdr>
        <w:bottom w:val="single" w:color="auto" w:sz="6" w:space="1"/>
      </w:pBdr>
      <w:tabs>
        <w:tab w:val="center" w:pos="4153"/>
        <w:tab w:val="right" w:pos="8306"/>
      </w:tabs>
      <w:snapToGrid w:val="0"/>
      <w:jc w:val="center"/>
    </w:pPr>
    <w:rPr>
      <w:sz w:val="18"/>
      <w:szCs w:val="18"/>
    </w:rPr>
  </w:style>
  <w:style w:type="paragraph" w:styleId="17">
    <w:name w:val="toc 1"/>
    <w:basedOn w:val="1"/>
    <w:next w:val="1"/>
    <w:semiHidden/>
    <w:qFormat/>
    <w:uiPriority w:val="0"/>
    <w:pPr>
      <w:tabs>
        <w:tab w:val="left" w:pos="5760"/>
      </w:tabs>
      <w:adjustRightInd w:val="0"/>
      <w:snapToGrid w:val="0"/>
      <w:jc w:val="center"/>
    </w:pPr>
    <w:rPr>
      <w:rFonts w:ascii="宋体" w:hAnsi="宋体"/>
      <w:sz w:val="24"/>
    </w:rPr>
  </w:style>
  <w:style w:type="paragraph" w:styleId="18">
    <w:name w:val="Body Text 2"/>
    <w:basedOn w:val="1"/>
    <w:qFormat/>
    <w:uiPriority w:val="0"/>
    <w:pPr>
      <w:spacing w:line="312" w:lineRule="auto"/>
    </w:pPr>
    <w:rPr>
      <w:rFonts w:ascii="宋体"/>
      <w:sz w:val="28"/>
      <w:szCs w:val="20"/>
    </w:rPr>
  </w:style>
  <w:style w:type="paragraph" w:styleId="19">
    <w:name w:val="HTML Preformatted"/>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 w:val="24"/>
    </w:rPr>
  </w:style>
  <w:style w:type="paragraph" w:styleId="20">
    <w:name w:val="Normal (Web)"/>
    <w:basedOn w:val="1"/>
    <w:qFormat/>
    <w:uiPriority w:val="34"/>
    <w:pPr>
      <w:widowControl/>
      <w:spacing w:before="100" w:beforeAutospacing="1" w:after="100" w:afterAutospacing="1"/>
      <w:jc w:val="left"/>
    </w:pPr>
    <w:rPr>
      <w:rFonts w:ascii="宋体" w:hAnsi="宋体" w:eastAsia="宋体" w:cs="Times New Roman"/>
      <w:kern w:val="0"/>
      <w:sz w:val="24"/>
      <w:szCs w:val="20"/>
    </w:rPr>
  </w:style>
  <w:style w:type="paragraph" w:styleId="21">
    <w:name w:val="annotation subject"/>
    <w:basedOn w:val="8"/>
    <w:next w:val="8"/>
    <w:link w:val="45"/>
    <w:qFormat/>
    <w:uiPriority w:val="0"/>
    <w:rPr>
      <w:b/>
      <w:bCs/>
    </w:rPr>
  </w:style>
  <w:style w:type="paragraph" w:styleId="22">
    <w:name w:val="Body Text First Indent 2"/>
    <w:basedOn w:val="1"/>
    <w:next w:val="1"/>
    <w:qFormat/>
    <w:uiPriority w:val="0"/>
    <w:pPr>
      <w:widowControl w:val="0"/>
      <w:spacing w:line="360" w:lineRule="auto"/>
      <w:ind w:firstLine="420" w:firstLineChars="200"/>
      <w:jc w:val="both"/>
    </w:pPr>
    <w:rPr>
      <w:rFonts w:ascii="宋体" w:hAnsi="宋体" w:eastAsia="宋体" w:cs="Times New Roman"/>
      <w:kern w:val="2"/>
      <w:sz w:val="28"/>
      <w:lang w:val="en-US" w:eastAsia="zh-CN" w:bidi="ar-SA"/>
    </w:rPr>
  </w:style>
  <w:style w:type="table" w:styleId="24">
    <w:name w:val="Table Grid"/>
    <w:basedOn w:val="2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6">
    <w:name w:val="Strong"/>
    <w:basedOn w:val="25"/>
    <w:qFormat/>
    <w:uiPriority w:val="22"/>
    <w:rPr>
      <w:b/>
      <w:bCs/>
    </w:rPr>
  </w:style>
  <w:style w:type="character" w:styleId="27">
    <w:name w:val="page number"/>
    <w:basedOn w:val="25"/>
    <w:qFormat/>
    <w:uiPriority w:val="0"/>
  </w:style>
  <w:style w:type="character" w:styleId="28">
    <w:name w:val="Hyperlink"/>
    <w:basedOn w:val="25"/>
    <w:qFormat/>
    <w:uiPriority w:val="0"/>
    <w:rPr>
      <w:color w:val="3366CC"/>
      <w:u w:val="single"/>
    </w:rPr>
  </w:style>
  <w:style w:type="character" w:styleId="29">
    <w:name w:val="annotation reference"/>
    <w:basedOn w:val="25"/>
    <w:qFormat/>
    <w:uiPriority w:val="0"/>
    <w:rPr>
      <w:sz w:val="21"/>
      <w:szCs w:val="21"/>
    </w:rPr>
  </w:style>
  <w:style w:type="paragraph" w:styleId="30">
    <w:name w:val="List Paragraph"/>
    <w:basedOn w:val="1"/>
    <w:unhideWhenUsed/>
    <w:qFormat/>
    <w:uiPriority w:val="99"/>
    <w:pPr>
      <w:ind w:firstLine="420" w:firstLineChars="200"/>
    </w:pPr>
  </w:style>
  <w:style w:type="paragraph" w:customStyle="1" w:styleId="31">
    <w:name w:val="Default"/>
    <w:qFormat/>
    <w:uiPriority w:val="0"/>
    <w:pPr>
      <w:widowControl w:val="0"/>
      <w:autoSpaceDE w:val="0"/>
      <w:autoSpaceDN w:val="0"/>
      <w:adjustRightInd w:val="0"/>
    </w:pPr>
    <w:rPr>
      <w:rFonts w:ascii="仿宋_GB2312" w:hAnsi="Times New Roman" w:eastAsia="仿宋_GB2312" w:cs="仿宋_GB2312"/>
      <w:color w:val="000000"/>
      <w:sz w:val="24"/>
      <w:szCs w:val="24"/>
      <w:lang w:val="en-US" w:eastAsia="zh-CN" w:bidi="ar-SA"/>
    </w:rPr>
  </w:style>
  <w:style w:type="paragraph" w:customStyle="1" w:styleId="32">
    <w:name w:val="Char"/>
    <w:basedOn w:val="1"/>
    <w:qFormat/>
    <w:uiPriority w:val="0"/>
    <w:rPr>
      <w:sz w:val="24"/>
    </w:rPr>
  </w:style>
  <w:style w:type="paragraph" w:customStyle="1" w:styleId="33">
    <w:name w:val="正文五"/>
    <w:basedOn w:val="1"/>
    <w:qFormat/>
    <w:uiPriority w:val="0"/>
    <w:pPr>
      <w:snapToGrid w:val="0"/>
      <w:jc w:val="center"/>
    </w:pPr>
    <w:rPr>
      <w:sz w:val="24"/>
      <w:szCs w:val="20"/>
    </w:rPr>
  </w:style>
  <w:style w:type="character" w:customStyle="1" w:styleId="34">
    <w:name w:val="日期 Char"/>
    <w:basedOn w:val="25"/>
    <w:link w:val="12"/>
    <w:qFormat/>
    <w:uiPriority w:val="0"/>
    <w:rPr>
      <w:rFonts w:eastAsia="宋体"/>
      <w:kern w:val="2"/>
      <w:sz w:val="24"/>
      <w:lang w:val="en-US" w:eastAsia="zh-CN" w:bidi="ar-SA"/>
    </w:rPr>
  </w:style>
  <w:style w:type="paragraph" w:customStyle="1" w:styleId="35">
    <w:name w:val="00"/>
    <w:basedOn w:val="1"/>
    <w:link w:val="36"/>
    <w:qFormat/>
    <w:uiPriority w:val="0"/>
    <w:pPr>
      <w:spacing w:line="520" w:lineRule="exact"/>
      <w:ind w:firstLine="200" w:firstLineChars="200"/>
    </w:pPr>
    <w:rPr>
      <w:rFonts w:ascii="宋体" w:hAnsi="宋体" w:cs="宋体"/>
      <w:sz w:val="24"/>
      <w:szCs w:val="20"/>
    </w:rPr>
  </w:style>
  <w:style w:type="character" w:customStyle="1" w:styleId="36">
    <w:name w:val="00 Char"/>
    <w:basedOn w:val="25"/>
    <w:link w:val="35"/>
    <w:qFormat/>
    <w:uiPriority w:val="0"/>
    <w:rPr>
      <w:rFonts w:ascii="宋体" w:hAnsi="宋体" w:eastAsia="宋体" w:cs="宋体"/>
      <w:kern w:val="2"/>
      <w:sz w:val="24"/>
      <w:lang w:val="en-US" w:eastAsia="zh-CN" w:bidi="ar-SA"/>
    </w:rPr>
  </w:style>
  <w:style w:type="paragraph" w:customStyle="1" w:styleId="37">
    <w:name w:val="00000"/>
    <w:basedOn w:val="1"/>
    <w:link w:val="38"/>
    <w:qFormat/>
    <w:uiPriority w:val="0"/>
    <w:pPr>
      <w:spacing w:line="520" w:lineRule="exact"/>
      <w:ind w:firstLine="200" w:firstLineChars="200"/>
    </w:pPr>
    <w:rPr>
      <w:rFonts w:ascii="宋体" w:hAnsi="宋体"/>
      <w:sz w:val="24"/>
    </w:rPr>
  </w:style>
  <w:style w:type="character" w:customStyle="1" w:styleId="38">
    <w:name w:val="00000 Char"/>
    <w:basedOn w:val="25"/>
    <w:link w:val="37"/>
    <w:qFormat/>
    <w:uiPriority w:val="0"/>
    <w:rPr>
      <w:rFonts w:ascii="宋体" w:hAnsi="宋体" w:eastAsia="宋体"/>
      <w:kern w:val="2"/>
      <w:sz w:val="24"/>
      <w:szCs w:val="24"/>
      <w:lang w:val="en-US" w:eastAsia="zh-CN" w:bidi="ar-SA"/>
    </w:rPr>
  </w:style>
  <w:style w:type="paragraph" w:customStyle="1" w:styleId="39">
    <w:name w:val="1正文段落"/>
    <w:basedOn w:val="1"/>
    <w:qFormat/>
    <w:uiPriority w:val="0"/>
    <w:pPr>
      <w:spacing w:line="360" w:lineRule="auto"/>
      <w:ind w:firstLine="480" w:firstLineChars="200"/>
      <w:jc w:val="left"/>
    </w:pPr>
    <w:rPr>
      <w:snapToGrid w:val="0"/>
      <w:kern w:val="0"/>
      <w:sz w:val="24"/>
    </w:rPr>
  </w:style>
  <w:style w:type="paragraph" w:customStyle="1" w:styleId="40">
    <w:name w:val="正文1"/>
    <w:basedOn w:val="1"/>
    <w:link w:val="41"/>
    <w:qFormat/>
    <w:uiPriority w:val="0"/>
    <w:pPr>
      <w:spacing w:line="360" w:lineRule="auto"/>
      <w:ind w:firstLine="480" w:firstLineChars="200"/>
    </w:pPr>
    <w:rPr>
      <w:sz w:val="24"/>
    </w:rPr>
  </w:style>
  <w:style w:type="character" w:customStyle="1" w:styleId="41">
    <w:name w:val="正文1 Char"/>
    <w:basedOn w:val="25"/>
    <w:link w:val="40"/>
    <w:qFormat/>
    <w:uiPriority w:val="0"/>
    <w:rPr>
      <w:rFonts w:eastAsia="宋体"/>
      <w:kern w:val="2"/>
      <w:sz w:val="24"/>
      <w:szCs w:val="24"/>
      <w:lang w:val="en-US" w:eastAsia="zh-CN" w:bidi="ar-SA"/>
    </w:rPr>
  </w:style>
  <w:style w:type="paragraph" w:customStyle="1" w:styleId="42">
    <w:name w:val="中文报告书样式"/>
    <w:basedOn w:val="1"/>
    <w:qFormat/>
    <w:uiPriority w:val="0"/>
    <w:pPr>
      <w:adjustRightInd w:val="0"/>
      <w:snapToGrid w:val="0"/>
      <w:spacing w:line="360" w:lineRule="auto"/>
      <w:ind w:firstLine="480" w:firstLineChars="200"/>
      <w:textAlignment w:val="baseline"/>
    </w:pPr>
    <w:rPr>
      <w:kern w:val="24"/>
      <w:sz w:val="24"/>
      <w:szCs w:val="20"/>
    </w:rPr>
  </w:style>
  <w:style w:type="paragraph" w:customStyle="1" w:styleId="43">
    <w:name w:val="Char Char Char Char Char1 Char Char Char Char Char Char Char"/>
    <w:basedOn w:val="1"/>
    <w:qFormat/>
    <w:uiPriority w:val="0"/>
    <w:rPr>
      <w:szCs w:val="20"/>
    </w:rPr>
  </w:style>
  <w:style w:type="character" w:customStyle="1" w:styleId="44">
    <w:name w:val="批注文字 Char"/>
    <w:basedOn w:val="25"/>
    <w:link w:val="8"/>
    <w:qFormat/>
    <w:uiPriority w:val="0"/>
    <w:rPr>
      <w:kern w:val="2"/>
      <w:sz w:val="21"/>
      <w:szCs w:val="24"/>
    </w:rPr>
  </w:style>
  <w:style w:type="character" w:customStyle="1" w:styleId="45">
    <w:name w:val="批注主题 Char"/>
    <w:basedOn w:val="44"/>
    <w:link w:val="21"/>
    <w:qFormat/>
    <w:uiPriority w:val="0"/>
    <w:rPr>
      <w:b/>
      <w:bCs/>
    </w:rPr>
  </w:style>
  <w:style w:type="character" w:customStyle="1" w:styleId="46">
    <w:name w:val="批注框文本 Char"/>
    <w:basedOn w:val="25"/>
    <w:link w:val="14"/>
    <w:qFormat/>
    <w:uiPriority w:val="0"/>
    <w:rPr>
      <w:kern w:val="2"/>
      <w:sz w:val="18"/>
      <w:szCs w:val="18"/>
    </w:rPr>
  </w:style>
  <w:style w:type="character" w:customStyle="1" w:styleId="47">
    <w:name w:val="unnamed11"/>
    <w:basedOn w:val="25"/>
    <w:qFormat/>
    <w:uiPriority w:val="0"/>
    <w:rPr>
      <w:sz w:val="20"/>
      <w:szCs w:val="20"/>
    </w:rPr>
  </w:style>
  <w:style w:type="paragraph" w:customStyle="1" w:styleId="48">
    <w:name w:val="Char1"/>
    <w:basedOn w:val="1"/>
    <w:qFormat/>
    <w:uiPriority w:val="0"/>
    <w:pPr>
      <w:snapToGrid w:val="0"/>
      <w:spacing w:line="360" w:lineRule="auto"/>
      <w:ind w:firstLine="529" w:firstLineChars="200"/>
    </w:pPr>
    <w:rPr>
      <w:rFonts w:ascii="宋体" w:hAnsi="宋体"/>
      <w:b/>
    </w:rPr>
  </w:style>
  <w:style w:type="paragraph" w:customStyle="1" w:styleId="49">
    <w:name w:val="Char Char Char Char Char Char Char"/>
    <w:basedOn w:val="1"/>
    <w:qFormat/>
    <w:uiPriority w:val="0"/>
  </w:style>
  <w:style w:type="paragraph" w:customStyle="1" w:styleId="50">
    <w:name w:val="表格文字"/>
    <w:basedOn w:val="1"/>
    <w:next w:val="1"/>
    <w:qFormat/>
    <w:uiPriority w:val="0"/>
    <w:pPr>
      <w:snapToGrid w:val="0"/>
      <w:spacing w:line="240" w:lineRule="atLeast"/>
      <w:ind w:left="307" w:right="-94" w:rightChars="-45" w:hanging="307" w:hangingChars="128"/>
      <w:jc w:val="center"/>
    </w:pPr>
    <w:rPr>
      <w:rFonts w:ascii="宋体" w:hAnsi="宋体"/>
      <w:color w:val="000000"/>
      <w:sz w:val="24"/>
    </w:rPr>
  </w:style>
  <w:style w:type="paragraph" w:customStyle="1" w:styleId="51">
    <w:name w:val="居中正文"/>
    <w:basedOn w:val="1"/>
    <w:next w:val="1"/>
    <w:qFormat/>
    <w:uiPriority w:val="0"/>
    <w:pPr>
      <w:adjustRightInd w:val="0"/>
      <w:spacing w:before="120" w:line="360" w:lineRule="auto"/>
      <w:jc w:val="center"/>
      <w:textAlignment w:val="baseline"/>
    </w:pPr>
    <w:rPr>
      <w:rFonts w:ascii="宋体"/>
      <w:kern w:val="28"/>
      <w:sz w:val="24"/>
      <w:szCs w:val="20"/>
    </w:rPr>
  </w:style>
  <w:style w:type="character" w:customStyle="1" w:styleId="52">
    <w:name w:val="纯文本 Char"/>
    <w:basedOn w:val="25"/>
    <w:link w:val="11"/>
    <w:qFormat/>
    <w:uiPriority w:val="0"/>
    <w:rPr>
      <w:rFonts w:ascii="宋体" w:hAnsi="Courier New" w:eastAsia="宋体"/>
      <w:kern w:val="2"/>
      <w:sz w:val="21"/>
      <w:lang w:val="en-US" w:eastAsia="zh-CN" w:bidi="ar-SA"/>
    </w:rPr>
  </w:style>
  <w:style w:type="character" w:customStyle="1" w:styleId="53">
    <w:name w:val="纯文本 Char1"/>
    <w:qFormat/>
    <w:uiPriority w:val="0"/>
    <w:rPr>
      <w:rFonts w:ascii="宋体" w:hAnsi="Courier New"/>
      <w:kern w:val="2"/>
      <w:sz w:val="21"/>
    </w:rPr>
  </w:style>
  <w:style w:type="paragraph" w:customStyle="1" w:styleId="54">
    <w:name w:val="p0"/>
    <w:basedOn w:val="1"/>
    <w:qFormat/>
    <w:uiPriority w:val="0"/>
    <w:pPr>
      <w:widowControl/>
    </w:pPr>
    <w:rPr>
      <w:kern w:val="0"/>
      <w:szCs w:val="21"/>
    </w:rPr>
  </w:style>
  <w:style w:type="character" w:customStyle="1" w:styleId="55">
    <w:name w:val="15"/>
    <w:basedOn w:val="25"/>
    <w:qFormat/>
    <w:uiPriority w:val="0"/>
    <w:rPr>
      <w:rFonts w:hint="eastAsia" w:ascii="宋体" w:hAnsi="宋体" w:eastAsia="宋体"/>
      <w:sz w:val="24"/>
      <w:szCs w:val="24"/>
    </w:rPr>
  </w:style>
  <w:style w:type="paragraph" w:customStyle="1" w:styleId="56">
    <w:name w:val="000"/>
    <w:basedOn w:val="1"/>
    <w:link w:val="57"/>
    <w:qFormat/>
    <w:uiPriority w:val="0"/>
    <w:pPr>
      <w:snapToGrid w:val="0"/>
      <w:spacing w:line="520" w:lineRule="exact"/>
      <w:ind w:firstLine="200" w:firstLineChars="200"/>
    </w:pPr>
    <w:rPr>
      <w:sz w:val="24"/>
    </w:rPr>
  </w:style>
  <w:style w:type="character" w:customStyle="1" w:styleId="57">
    <w:name w:val="000 Char"/>
    <w:basedOn w:val="36"/>
    <w:link w:val="56"/>
    <w:qFormat/>
    <w:uiPriority w:val="0"/>
    <w:rPr>
      <w:szCs w:val="24"/>
    </w:rPr>
  </w:style>
  <w:style w:type="paragraph" w:customStyle="1" w:styleId="58">
    <w:name w:val="中文报告书"/>
    <w:basedOn w:val="1"/>
    <w:qFormat/>
    <w:uiPriority w:val="0"/>
    <w:pPr>
      <w:adjustRightInd w:val="0"/>
      <w:spacing w:after="80" w:line="420" w:lineRule="atLeast"/>
      <w:jc w:val="left"/>
      <w:textAlignment w:val="baseline"/>
    </w:pPr>
    <w:rPr>
      <w:kern w:val="0"/>
      <w:sz w:val="24"/>
      <w:szCs w:val="20"/>
    </w:rPr>
  </w:style>
  <w:style w:type="character" w:customStyle="1" w:styleId="59">
    <w:name w:val="页眉 Char"/>
    <w:basedOn w:val="25"/>
    <w:link w:val="16"/>
    <w:qFormat/>
    <w:uiPriority w:val="99"/>
    <w:rPr>
      <w:kern w:val="2"/>
      <w:sz w:val="18"/>
      <w:szCs w:val="18"/>
    </w:rPr>
  </w:style>
  <w:style w:type="character" w:customStyle="1" w:styleId="60">
    <w:name w:val="页脚 Char"/>
    <w:basedOn w:val="25"/>
    <w:link w:val="15"/>
    <w:qFormat/>
    <w:uiPriority w:val="99"/>
    <w:rPr>
      <w:kern w:val="2"/>
      <w:sz w:val="18"/>
      <w:szCs w:val="18"/>
    </w:rPr>
  </w:style>
  <w:style w:type="paragraph" w:customStyle="1" w:styleId="61">
    <w:name w:val="样式4"/>
    <w:basedOn w:val="1"/>
    <w:link w:val="69"/>
    <w:qFormat/>
    <w:uiPriority w:val="0"/>
    <w:pPr>
      <w:spacing w:line="360" w:lineRule="auto"/>
    </w:pPr>
    <w:rPr>
      <w:rFonts w:ascii="楷体_GB2312" w:hAnsi="楷体" w:eastAsia="楷体_GB2312"/>
      <w:b/>
      <w:sz w:val="28"/>
      <w:szCs w:val="28"/>
    </w:rPr>
  </w:style>
  <w:style w:type="character" w:customStyle="1" w:styleId="62">
    <w:name w:val="正文文本缩进 Char"/>
    <w:basedOn w:val="25"/>
    <w:link w:val="10"/>
    <w:qFormat/>
    <w:uiPriority w:val="0"/>
    <w:rPr>
      <w:kern w:val="2"/>
      <w:sz w:val="21"/>
      <w:szCs w:val="24"/>
    </w:rPr>
  </w:style>
  <w:style w:type="paragraph" w:customStyle="1" w:styleId="63">
    <w:name w:val="表格文字2"/>
    <w:basedOn w:val="1"/>
    <w:link w:val="64"/>
    <w:qFormat/>
    <w:uiPriority w:val="0"/>
    <w:pPr>
      <w:tabs>
        <w:tab w:val="left" w:pos="277"/>
        <w:tab w:val="left" w:pos="600"/>
        <w:tab w:val="left" w:pos="780"/>
        <w:tab w:val="left" w:pos="2517"/>
      </w:tabs>
      <w:adjustRightInd w:val="0"/>
      <w:spacing w:before="60"/>
      <w:jc w:val="center"/>
      <w:textAlignment w:val="baseline"/>
    </w:pPr>
    <w:rPr>
      <w:kern w:val="0"/>
      <w:szCs w:val="21"/>
    </w:rPr>
  </w:style>
  <w:style w:type="character" w:customStyle="1" w:styleId="64">
    <w:name w:val="表格文字2 Char"/>
    <w:link w:val="63"/>
    <w:qFormat/>
    <w:uiPriority w:val="0"/>
    <w:rPr>
      <w:rFonts w:cs="宋体"/>
      <w:sz w:val="21"/>
      <w:szCs w:val="21"/>
    </w:rPr>
  </w:style>
  <w:style w:type="paragraph" w:customStyle="1" w:styleId="65">
    <w:name w:val="612表头"/>
    <w:basedOn w:val="1"/>
    <w:link w:val="66"/>
    <w:qFormat/>
    <w:uiPriority w:val="0"/>
    <w:pPr>
      <w:tabs>
        <w:tab w:val="left" w:pos="4320"/>
        <w:tab w:val="left" w:pos="4980"/>
        <w:tab w:val="center" w:pos="6980"/>
      </w:tabs>
      <w:adjustRightInd w:val="0"/>
      <w:snapToGrid w:val="0"/>
      <w:spacing w:line="360" w:lineRule="auto"/>
      <w:jc w:val="center"/>
    </w:pPr>
    <w:rPr>
      <w:rFonts w:hAnsi="宋体"/>
      <w:b/>
      <w:sz w:val="24"/>
    </w:rPr>
  </w:style>
  <w:style w:type="character" w:customStyle="1" w:styleId="66">
    <w:name w:val="612表头 Char"/>
    <w:link w:val="65"/>
    <w:qFormat/>
    <w:uiPriority w:val="0"/>
    <w:rPr>
      <w:rFonts w:hAnsi="宋体"/>
      <w:b/>
      <w:kern w:val="2"/>
      <w:sz w:val="24"/>
      <w:szCs w:val="24"/>
    </w:rPr>
  </w:style>
  <w:style w:type="paragraph" w:customStyle="1" w:styleId="67">
    <w:name w:val="p15"/>
    <w:basedOn w:val="1"/>
    <w:qFormat/>
    <w:uiPriority w:val="0"/>
    <w:pPr>
      <w:widowControl/>
    </w:pPr>
    <w:rPr>
      <w:kern w:val="0"/>
      <w:szCs w:val="21"/>
    </w:rPr>
  </w:style>
  <w:style w:type="character" w:customStyle="1" w:styleId="68">
    <w:name w:val="正文缩进 Char1"/>
    <w:basedOn w:val="25"/>
    <w:link w:val="7"/>
    <w:qFormat/>
    <w:uiPriority w:val="0"/>
    <w:rPr>
      <w:kern w:val="2"/>
      <w:sz w:val="28"/>
    </w:rPr>
  </w:style>
  <w:style w:type="character" w:customStyle="1" w:styleId="69">
    <w:name w:val="样式4 Char"/>
    <w:basedOn w:val="25"/>
    <w:link w:val="61"/>
    <w:qFormat/>
    <w:uiPriority w:val="0"/>
    <w:rPr>
      <w:rFonts w:ascii="楷体_GB2312" w:hAnsi="楷体" w:eastAsia="楷体_GB2312"/>
      <w:b/>
      <w:kern w:val="2"/>
      <w:sz w:val="28"/>
      <w:szCs w:val="28"/>
    </w:rPr>
  </w:style>
  <w:style w:type="paragraph" w:customStyle="1" w:styleId="70">
    <w:name w:val="书"/>
    <w:basedOn w:val="35"/>
    <w:qFormat/>
    <w:uiPriority w:val="0"/>
    <w:pPr>
      <w:ind w:firstLine="0" w:firstLineChars="0"/>
    </w:pPr>
    <w:rPr>
      <w:rFonts w:ascii="楷体_GB2312" w:eastAsia="楷体_GB2312" w:cs="Calibri"/>
      <w:b/>
      <w:color w:val="000000"/>
      <w:sz w:val="28"/>
      <w:szCs w:val="24"/>
    </w:rPr>
  </w:style>
  <w:style w:type="paragraph" w:customStyle="1" w:styleId="71">
    <w:name w:val="列出段落1"/>
    <w:basedOn w:val="1"/>
    <w:link w:val="72"/>
    <w:qFormat/>
    <w:uiPriority w:val="0"/>
    <w:pPr>
      <w:spacing w:line="360" w:lineRule="exact"/>
      <w:jc w:val="center"/>
    </w:pPr>
  </w:style>
  <w:style w:type="character" w:customStyle="1" w:styleId="72">
    <w:name w:val="表格内容 Char"/>
    <w:basedOn w:val="25"/>
    <w:link w:val="71"/>
    <w:qFormat/>
    <w:uiPriority w:val="0"/>
    <w:rPr>
      <w:kern w:val="2"/>
      <w:sz w:val="21"/>
      <w:szCs w:val="24"/>
    </w:rPr>
  </w:style>
  <w:style w:type="character" w:customStyle="1" w:styleId="73">
    <w:name w:val="00 Char Char"/>
    <w:qFormat/>
    <w:locked/>
    <w:uiPriority w:val="0"/>
    <w:rPr>
      <w:rFonts w:ascii="宋体" w:hAnsi="宋体" w:cs="宋体"/>
      <w:sz w:val="24"/>
    </w:rPr>
  </w:style>
  <w:style w:type="character" w:customStyle="1" w:styleId="74">
    <w:name w:val="引用 Char"/>
    <w:basedOn w:val="25"/>
    <w:qFormat/>
    <w:locked/>
    <w:uiPriority w:val="0"/>
    <w:rPr>
      <w:iCs/>
      <w:color w:val="000000"/>
      <w:kern w:val="2"/>
      <w:sz w:val="21"/>
      <w:szCs w:val="22"/>
    </w:rPr>
  </w:style>
  <w:style w:type="paragraph" w:styleId="75">
    <w:name w:val="Quote"/>
    <w:basedOn w:val="1"/>
    <w:next w:val="1"/>
    <w:link w:val="76"/>
    <w:qFormat/>
    <w:uiPriority w:val="0"/>
    <w:pPr>
      <w:spacing w:line="360" w:lineRule="exact"/>
      <w:jc w:val="center"/>
    </w:pPr>
    <w:rPr>
      <w:iCs/>
      <w:color w:val="000000"/>
      <w:szCs w:val="22"/>
    </w:rPr>
  </w:style>
  <w:style w:type="character" w:customStyle="1" w:styleId="76">
    <w:name w:val="引用 Char1"/>
    <w:basedOn w:val="25"/>
    <w:link w:val="75"/>
    <w:qFormat/>
    <w:uiPriority w:val="29"/>
    <w:rPr>
      <w:i/>
      <w:iCs/>
      <w:color w:val="000000" w:themeColor="text1"/>
      <w:kern w:val="2"/>
      <w:sz w:val="21"/>
      <w:szCs w:val="24"/>
    </w:rPr>
  </w:style>
  <w:style w:type="character" w:customStyle="1" w:styleId="77">
    <w:name w:val="正文文本 Char"/>
    <w:basedOn w:val="25"/>
    <w:link w:val="9"/>
    <w:qFormat/>
    <w:uiPriority w:val="0"/>
    <w:rPr>
      <w:kern w:val="2"/>
      <w:sz w:val="21"/>
      <w:szCs w:val="24"/>
    </w:rPr>
  </w:style>
  <w:style w:type="paragraph" w:customStyle="1" w:styleId="78">
    <w:name w:val="段落1"/>
    <w:basedOn w:val="1"/>
    <w:qFormat/>
    <w:uiPriority w:val="0"/>
    <w:pPr>
      <w:spacing w:line="480" w:lineRule="exact"/>
      <w:ind w:firstLine="200" w:firstLineChars="200"/>
    </w:pPr>
    <w:rPr>
      <w:rFonts w:ascii="Times New Roman" w:hAnsi="Times New Roman" w:eastAsia="楷体_GB2312" w:cs="Times New Roman"/>
      <w:spacing w:val="6"/>
      <w:sz w:val="28"/>
    </w:rPr>
  </w:style>
  <w:style w:type="paragraph" w:customStyle="1" w:styleId="79">
    <w:name w:val="常用正文样式"/>
    <w:basedOn w:val="1"/>
    <w:qFormat/>
    <w:uiPriority w:val="0"/>
    <w:pPr>
      <w:spacing w:line="360" w:lineRule="auto"/>
      <w:ind w:firstLine="480" w:firstLineChars="200"/>
    </w:pPr>
    <w:rPr>
      <w:rFonts w:ascii="宋体" w:hAnsi="宋体" w:cs="宋体"/>
      <w:bCs/>
      <w:kern w:val="28"/>
      <w:sz w:val="24"/>
      <w:szCs w:val="22"/>
    </w:rPr>
  </w:style>
  <w:style w:type="paragraph" w:customStyle="1" w:styleId="80">
    <w:name w:val="赵正文"/>
    <w:basedOn w:val="1"/>
    <w:qFormat/>
    <w:uiPriority w:val="0"/>
    <w:pPr>
      <w:spacing w:line="520" w:lineRule="exact"/>
      <w:ind w:firstLine="640" w:firstLineChars="200"/>
    </w:pPr>
    <w:rPr>
      <w:rFonts w:ascii="Times New Roman" w:hAnsi="Times New Roman" w:eastAsia="宋体" w:cs="Times New Roman"/>
      <w:kern w:val="0"/>
      <w:sz w:val="24"/>
      <w:szCs w:val="24"/>
    </w:rPr>
  </w:style>
  <w:style w:type="paragraph" w:customStyle="1" w:styleId="81">
    <w:name w:val="报告正文111"/>
    <w:qFormat/>
    <w:uiPriority w:val="0"/>
    <w:pPr>
      <w:adjustRightInd w:val="0"/>
      <w:snapToGrid w:val="0"/>
      <w:spacing w:before="60" w:line="440" w:lineRule="exact"/>
      <w:ind w:firstLine="480" w:firstLineChars="200"/>
      <w:jc w:val="both"/>
    </w:pPr>
    <w:rPr>
      <w:rFonts w:ascii="Times New Roman" w:hAnsi="Times New Roman" w:eastAsia="宋体" w:cs="Times New Roman"/>
      <w:kern w:val="2"/>
      <w:sz w:val="24"/>
      <w:szCs w:val="24"/>
      <w:lang w:val="en-US" w:eastAsia="zh-CN" w:bidi="ar-SA"/>
    </w:rPr>
  </w:style>
  <w:style w:type="paragraph" w:customStyle="1" w:styleId="82">
    <w:name w:val="_Style 49"/>
    <w:basedOn w:val="1"/>
    <w:next w:val="1"/>
    <w:qFormat/>
    <w:uiPriority w:val="0"/>
    <w:pPr>
      <w:adjustRightInd w:val="0"/>
      <w:snapToGrid w:val="0"/>
      <w:spacing w:line="500" w:lineRule="exact"/>
      <w:ind w:firstLine="200" w:firstLineChars="200"/>
    </w:pPr>
    <w:rPr>
      <w:sz w:val="24"/>
      <w:szCs w:val="24"/>
    </w:rPr>
  </w:style>
  <w:style w:type="paragraph" w:customStyle="1" w:styleId="83">
    <w:name w:val="5正文"/>
    <w:qFormat/>
    <w:uiPriority w:val="0"/>
    <w:pPr>
      <w:widowControl w:val="0"/>
      <w:spacing w:line="520" w:lineRule="exact"/>
      <w:ind w:firstLine="200" w:firstLineChars="200"/>
      <w:jc w:val="both"/>
    </w:pPr>
    <w:rPr>
      <w:rFonts w:ascii="Times New Roman" w:hAnsi="Times New Roman" w:eastAsia="宋体" w:cs="Times New Roman"/>
      <w:kern w:val="2"/>
      <w:sz w:val="24"/>
      <w:lang w:val="en-US" w:eastAsia="zh-CN" w:bidi="ar-SA"/>
    </w:rPr>
  </w:style>
  <w:style w:type="paragraph" w:customStyle="1" w:styleId="84">
    <w:name w:val="表格内容格式"/>
    <w:basedOn w:val="1"/>
    <w:qFormat/>
    <w:uiPriority w:val="0"/>
    <w:pPr>
      <w:adjustRightInd w:val="0"/>
      <w:snapToGrid w:val="0"/>
      <w:spacing w:line="240" w:lineRule="auto"/>
      <w:jc w:val="center"/>
    </w:pPr>
    <w:rPr>
      <w:sz w:val="20"/>
      <w:szCs w:val="20"/>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4.xml"/><Relationship Id="rId7" Type="http://schemas.openxmlformats.org/officeDocument/2006/relationships/footer" Target="footer3.xml"/><Relationship Id="rId65" Type="http://schemas.openxmlformats.org/officeDocument/2006/relationships/fontTable" Target="fontTable.xml"/><Relationship Id="rId64" Type="http://schemas.openxmlformats.org/officeDocument/2006/relationships/customXml" Target="../customXml/item2.xml"/><Relationship Id="rId63" Type="http://schemas.openxmlformats.org/officeDocument/2006/relationships/numbering" Target="numbering.xml"/><Relationship Id="rId62" Type="http://schemas.openxmlformats.org/officeDocument/2006/relationships/customXml" Target="../customXml/item1.xml"/><Relationship Id="rId61" Type="http://schemas.openxmlformats.org/officeDocument/2006/relationships/image" Target="media/image52.jpeg"/><Relationship Id="rId60" Type="http://schemas.openxmlformats.org/officeDocument/2006/relationships/image" Target="media/image51.jpeg"/><Relationship Id="rId6" Type="http://schemas.openxmlformats.org/officeDocument/2006/relationships/footer" Target="footer2.xml"/><Relationship Id="rId59" Type="http://schemas.openxmlformats.org/officeDocument/2006/relationships/image" Target="media/image50.jpeg"/><Relationship Id="rId58" Type="http://schemas.openxmlformats.org/officeDocument/2006/relationships/image" Target="media/image49.jpeg"/><Relationship Id="rId57" Type="http://schemas.openxmlformats.org/officeDocument/2006/relationships/image" Target="media/image48.jpeg"/><Relationship Id="rId56" Type="http://schemas.openxmlformats.org/officeDocument/2006/relationships/image" Target="media/image47.jpeg"/><Relationship Id="rId55" Type="http://schemas.openxmlformats.org/officeDocument/2006/relationships/image" Target="media/image46.jpeg"/><Relationship Id="rId54" Type="http://schemas.openxmlformats.org/officeDocument/2006/relationships/image" Target="media/image45.jpeg"/><Relationship Id="rId53" Type="http://schemas.openxmlformats.org/officeDocument/2006/relationships/image" Target="media/image44.jpeg"/><Relationship Id="rId52" Type="http://schemas.openxmlformats.org/officeDocument/2006/relationships/image" Target="media/image43.jpeg"/><Relationship Id="rId51" Type="http://schemas.openxmlformats.org/officeDocument/2006/relationships/image" Target="media/image42.jpeg"/><Relationship Id="rId50" Type="http://schemas.openxmlformats.org/officeDocument/2006/relationships/image" Target="media/image41.jpeg"/><Relationship Id="rId5" Type="http://schemas.openxmlformats.org/officeDocument/2006/relationships/footer" Target="footer1.xml"/><Relationship Id="rId49" Type="http://schemas.openxmlformats.org/officeDocument/2006/relationships/image" Target="media/image40.jpeg"/><Relationship Id="rId48" Type="http://schemas.openxmlformats.org/officeDocument/2006/relationships/image" Target="media/image39.jpeg"/><Relationship Id="rId47" Type="http://schemas.openxmlformats.org/officeDocument/2006/relationships/image" Target="media/image38.jpeg"/><Relationship Id="rId46" Type="http://schemas.openxmlformats.org/officeDocument/2006/relationships/image" Target="media/image37.jpeg"/><Relationship Id="rId45" Type="http://schemas.openxmlformats.org/officeDocument/2006/relationships/image" Target="media/image36.jpeg"/><Relationship Id="rId44" Type="http://schemas.openxmlformats.org/officeDocument/2006/relationships/image" Target="media/image35.jpeg"/><Relationship Id="rId43" Type="http://schemas.openxmlformats.org/officeDocument/2006/relationships/image" Target="media/image34.jpeg"/><Relationship Id="rId42" Type="http://schemas.openxmlformats.org/officeDocument/2006/relationships/image" Target="media/image33.png"/><Relationship Id="rId41" Type="http://schemas.openxmlformats.org/officeDocument/2006/relationships/image" Target="media/image32.png"/><Relationship Id="rId40" Type="http://schemas.openxmlformats.org/officeDocument/2006/relationships/image" Target="media/image31.png"/><Relationship Id="rId4" Type="http://schemas.openxmlformats.org/officeDocument/2006/relationships/header" Target="header2.xml"/><Relationship Id="rId39" Type="http://schemas.openxmlformats.org/officeDocument/2006/relationships/image" Target="media/image30.png"/><Relationship Id="rId38" Type="http://schemas.openxmlformats.org/officeDocument/2006/relationships/image" Target="media/image29.png"/><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image" Target="media/image24.jpeg"/><Relationship Id="rId32" Type="http://schemas.openxmlformats.org/officeDocument/2006/relationships/image" Target="media/image23.jpeg"/><Relationship Id="rId31" Type="http://schemas.openxmlformats.org/officeDocument/2006/relationships/image" Target="media/image22.jpeg"/><Relationship Id="rId30" Type="http://schemas.openxmlformats.org/officeDocument/2006/relationships/image" Target="media/image21.png"/><Relationship Id="rId3" Type="http://schemas.openxmlformats.org/officeDocument/2006/relationships/header" Target="header1.xml"/><Relationship Id="rId29" Type="http://schemas.openxmlformats.org/officeDocument/2006/relationships/image" Target="media/image20.jpeg"/><Relationship Id="rId28" Type="http://schemas.openxmlformats.org/officeDocument/2006/relationships/image" Target="media/image19.png"/><Relationship Id="rId27" Type="http://schemas.openxmlformats.org/officeDocument/2006/relationships/image" Target="media/image18.jpeg"/><Relationship Id="rId26" Type="http://schemas.openxmlformats.org/officeDocument/2006/relationships/image" Target="media/image17.jpeg"/><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pn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jpeg"/><Relationship Id="rId16" Type="http://schemas.openxmlformats.org/officeDocument/2006/relationships/image" Target="media/image7.jpeg"/><Relationship Id="rId15" Type="http://schemas.openxmlformats.org/officeDocument/2006/relationships/image" Target="media/image6.jpeg"/><Relationship Id="rId14" Type="http://schemas.openxmlformats.org/officeDocument/2006/relationships/image" Target="media/image5.jpeg"/><Relationship Id="rId13" Type="http://schemas.openxmlformats.org/officeDocument/2006/relationships/image" Target="media/image4.jpeg"/><Relationship Id="rId12" Type="http://schemas.openxmlformats.org/officeDocument/2006/relationships/image" Target="media/image3.jpeg"/><Relationship Id="rId11" Type="http://schemas.openxmlformats.org/officeDocument/2006/relationships/image" Target="media/image2.jpeg"/><Relationship Id="rId10" Type="http://schemas.openxmlformats.org/officeDocument/2006/relationships/image" Target="media/image1.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3073" textRotate="1"/>
    <customShpInfo spid="_x0000_s3077" textRotate="1"/>
    <customShpInfo spid="_x0000_s3078" textRotate="1"/>
    <customShpInfo spid="_x0000_s2050"/>
    <customShpInfo spid="_x0000_s2051"/>
    <customShpInfo spid="_x0000_s2070"/>
    <customShpInfo spid="_x0000_s2053"/>
    <customShpInfo spid="_x0000_s2064"/>
    <customShpInfo spid="_x0000_s2061"/>
    <customShpInfo spid="_x0000_s2056"/>
    <customShpInfo spid="_x0000_s2063"/>
    <customShpInfo spid="_x0000_s2068"/>
    <customShpInfo spid="_x0000_s2057"/>
    <customShpInfo spid="_x0000_s2060"/>
    <customShpInfo spid="_x0000_s2069"/>
    <customShpInfo spid="_x0000_s2062"/>
    <customShpInfo spid="_x0000_s2067"/>
    <customShpInfo spid="_x0000_s2065"/>
    <customShpInfo spid="_x0000_s2066"/>
    <customShpInfo spid="_x0000_s2055"/>
    <customShpInfo spid="_x0000_s2058"/>
    <customShpInfo spid="_x0000_s2059"/>
    <customShpInfo spid="_x0000_s2054"/>
    <customShpInfo spid="_x0000_s2052"/>
  </customShpExt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1B28CA3-7502-411E-8415-3F36E563BE48}">
  <ds:schemaRefs/>
</ds:datastoreItem>
</file>

<file path=docProps/app.xml><?xml version="1.0" encoding="utf-8"?>
<Properties xmlns="http://schemas.openxmlformats.org/officeDocument/2006/extended-properties" xmlns:vt="http://schemas.openxmlformats.org/officeDocument/2006/docPropsVTypes">
  <Template>Normal</Template>
  <Company>平顶山市润青环保科技有限公司</Company>
  <Pages>99</Pages>
  <Words>7390</Words>
  <Characters>42126</Characters>
  <Lines>351</Lines>
  <Paragraphs>98</Paragraphs>
  <TotalTime>1</TotalTime>
  <ScaleCrop>false</ScaleCrop>
  <LinksUpToDate>false</LinksUpToDate>
  <CharactersWithSpaces>49418</CharactersWithSpaces>
  <Application>WPS Office_11.1.0.10132_F1E327BC-269C-435d-A152-05C5408002CA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2013-01-17T08:01:00Z</dcterms:created>
  <dc:creator>Legend User</dc:creator>
  <cp:lastModifiedBy>小龙</cp:lastModifiedBy>
  <cp:lastPrinted>2020-03-17T08:40:00Z</cp:lastPrinted>
  <dcterms:modified xsi:type="dcterms:W3CDTF">2020-11-24T08:35:32Z</dcterms:modified>
  <dc:title>建设项目环境影响报告表</dc:title>
  <cp:revision>131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2052-11.1.0.10132</vt:lpwstr>
  </property>
</Properties>
</file>