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2625" w:leftChars="1250" w:firstLine="320" w:firstLineChars="100"/>
        <w:rPr>
          <w:rFonts w:ascii="Times New Roman" w:hAnsi="Times New Roman" w:eastAsia="仿宋_GB2312"/>
          <w:color w:val="000000"/>
          <w:sz w:val="28"/>
          <w:szCs w:val="28"/>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Times New Roman" w:hAnsi="Times New Roman" w:eastAsia="仿宋_GB2312"/>
          <w:color w:val="000000"/>
          <w:sz w:val="28"/>
          <w:szCs w:val="28"/>
        </w:rPr>
        <w:t xml:space="preserve">              </w:t>
      </w:r>
    </w:p>
    <w:p>
      <w:pPr>
        <w:spacing w:line="400" w:lineRule="exact"/>
        <w:ind w:left="2625" w:leftChars="1250" w:firstLine="280" w:firstLineChars="100"/>
        <w:rPr>
          <w:rFonts w:ascii="Times New Roman" w:hAnsi="Times New Roman" w:eastAsia="仿宋_GB2312"/>
          <w:color w:val="000000"/>
          <w:sz w:val="28"/>
          <w:szCs w:val="28"/>
        </w:rPr>
      </w:pPr>
    </w:p>
    <w:p>
      <w:pPr>
        <w:spacing w:line="400" w:lineRule="exact"/>
        <w:ind w:left="2625" w:leftChars="1250" w:firstLine="280" w:firstLineChars="100"/>
        <w:jc w:val="righ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 </w:t>
      </w:r>
    </w:p>
    <w:p>
      <w:pPr>
        <w:spacing w:line="400" w:lineRule="exact"/>
        <w:jc w:val="both"/>
        <w:rPr>
          <w:rFonts w:ascii="Times New Roman" w:hAnsi="Times New Roman" w:eastAsia="仿宋_GB2312"/>
          <w:color w:val="000000"/>
          <w:sz w:val="28"/>
          <w:szCs w:val="28"/>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平卫环报〔</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号</w:t>
      </w:r>
    </w:p>
    <w:p/>
    <w:p>
      <w:pPr>
        <w:spacing w:line="560" w:lineRule="exact"/>
        <w:jc w:val="center"/>
        <w:rPr>
          <w:rFonts w:hint="eastAsia" w:ascii="仿宋" w:hAnsi="仿宋" w:eastAsia="仿宋" w:cs="方正小标宋简体"/>
          <w:b/>
          <w:sz w:val="44"/>
          <w:szCs w:val="44"/>
        </w:rPr>
      </w:pPr>
      <w:r>
        <w:rPr>
          <w:rFonts w:hint="eastAsia" w:ascii="仿宋" w:hAnsi="仿宋" w:eastAsia="仿宋" w:cs="方正小标宋简体"/>
          <w:b/>
          <w:sz w:val="44"/>
          <w:szCs w:val="44"/>
        </w:rPr>
        <w:t>关于平顶山日欣机械制造有限公司生产线升级改造项目环境影响报告表的批复意见</w:t>
      </w:r>
    </w:p>
    <w:p>
      <w:pPr>
        <w:rPr>
          <w:rFonts w:ascii="仿宋" w:hAnsi="仿宋" w:eastAsia="仿宋"/>
        </w:rPr>
      </w:pPr>
    </w:p>
    <w:p>
      <w:pPr>
        <w:spacing w:line="560" w:lineRule="exact"/>
        <w:rPr>
          <w:rFonts w:ascii="仿宋" w:hAnsi="仿宋" w:eastAsia="仿宋" w:cs="仿宋_GB2312"/>
          <w:sz w:val="32"/>
          <w:szCs w:val="32"/>
        </w:rPr>
      </w:pPr>
      <w:r>
        <w:rPr>
          <w:rFonts w:hint="eastAsia" w:ascii="仿宋" w:hAnsi="仿宋" w:eastAsia="仿宋" w:cs="仿宋_GB2312"/>
          <w:sz w:val="32"/>
          <w:szCs w:val="32"/>
        </w:rPr>
        <w:t>平顶山日欣机械制造有限公司：</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你单位报送的由重庆大润环境科学研究院有限公司编制的《平顶山日欣机械制造有限公司生产线升级改造项目环境影响报告表》（以下简称《报告表》）收悉。该项目已在我区网站公示期满，按照《中华人民共和国环境影响评价法》的有关规定，经局长办公会议集体研究同意，批复如下：</w:t>
      </w:r>
    </w:p>
    <w:p>
      <w:pPr>
        <w:numPr>
          <w:ilvl w:val="0"/>
          <w:numId w:val="1"/>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平顶山日欣机械制造有限公司生产线升级改造项目位于平顶山市卫东区开发路中段，项目总投资</w:t>
      </w:r>
      <w:r>
        <w:rPr>
          <w:rFonts w:ascii="仿宋" w:hAnsi="仿宋" w:eastAsia="仿宋" w:cs="仿宋_GB2312"/>
          <w:sz w:val="32"/>
          <w:szCs w:val="32"/>
        </w:rPr>
        <w:t>240</w:t>
      </w:r>
      <w:r>
        <w:rPr>
          <w:rFonts w:hint="eastAsia" w:ascii="仿宋" w:hAnsi="仿宋" w:eastAsia="仿宋" w:cs="仿宋_GB2312"/>
          <w:sz w:val="32"/>
          <w:szCs w:val="32"/>
        </w:rPr>
        <w:t>万元，占地面积</w:t>
      </w:r>
      <w:r>
        <w:rPr>
          <w:rFonts w:ascii="仿宋" w:hAnsi="仿宋" w:eastAsia="仿宋" w:cs="仿宋_GB2312"/>
          <w:sz w:val="32"/>
          <w:szCs w:val="32"/>
        </w:rPr>
        <w:t>5250m</w:t>
      </w:r>
      <w:r>
        <w:rPr>
          <w:rFonts w:ascii="仿宋" w:hAnsi="仿宋" w:eastAsia="仿宋" w:cs="仿宋_GB2312"/>
          <w:sz w:val="32"/>
          <w:szCs w:val="32"/>
          <w:vertAlign w:val="superscript"/>
        </w:rPr>
        <w:t>2</w:t>
      </w:r>
      <w:r>
        <w:rPr>
          <w:rFonts w:hint="eastAsia" w:ascii="仿宋" w:hAnsi="仿宋" w:eastAsia="仿宋" w:cs="仿宋_GB2312"/>
          <w:sz w:val="32"/>
          <w:szCs w:val="32"/>
        </w:rPr>
        <w:t>。该项目是在原平顶山煤业（集团）物资供应总公司配件厂（改制后名称变为平顶山日欣机械制造有限公司）搬迁改造项目的基础上进行技改。项目主体工程已开工建设，属于未批先建项目，平顶山市生态环境局以平环罚【</w:t>
      </w:r>
      <w:r>
        <w:rPr>
          <w:rFonts w:ascii="仿宋" w:hAnsi="仿宋" w:eastAsia="仿宋" w:cs="仿宋_GB2312"/>
          <w:sz w:val="32"/>
          <w:szCs w:val="32"/>
        </w:rPr>
        <w:t>2019</w:t>
      </w:r>
      <w:r>
        <w:rPr>
          <w:rFonts w:hint="eastAsia" w:ascii="仿宋" w:hAnsi="仿宋" w:eastAsia="仿宋" w:cs="仿宋_GB2312"/>
          <w:sz w:val="32"/>
          <w:szCs w:val="32"/>
        </w:rPr>
        <w:t>】</w:t>
      </w:r>
      <w:r>
        <w:rPr>
          <w:rFonts w:ascii="仿宋" w:hAnsi="仿宋" w:eastAsia="仿宋" w:cs="仿宋_GB2312"/>
          <w:sz w:val="32"/>
          <w:szCs w:val="32"/>
        </w:rPr>
        <w:t>20</w:t>
      </w:r>
      <w:r>
        <w:rPr>
          <w:rFonts w:hint="eastAsia" w:ascii="仿宋" w:hAnsi="仿宋" w:eastAsia="仿宋" w:cs="仿宋_GB2312"/>
          <w:sz w:val="32"/>
          <w:szCs w:val="32"/>
        </w:rPr>
        <w:t>号对该项目进行处罚，处罚措施已落实到位。项目不再新建生产厂房，生产、生活设施均依托原有设施。项目工艺为矿用设备→交接检查→清理拆解→清洗保养→检查修复→装配→试运转。项目新增主要设备为空压机</w:t>
      </w:r>
      <w:r>
        <w:rPr>
          <w:rFonts w:ascii="仿宋" w:hAnsi="仿宋" w:eastAsia="仿宋" w:cs="仿宋_GB2312"/>
          <w:sz w:val="32"/>
          <w:szCs w:val="32"/>
        </w:rPr>
        <w:t>1</w:t>
      </w:r>
      <w:r>
        <w:rPr>
          <w:rFonts w:hint="eastAsia" w:ascii="仿宋" w:hAnsi="仿宋" w:eastAsia="仿宋" w:cs="仿宋_GB2312"/>
          <w:sz w:val="32"/>
          <w:szCs w:val="32"/>
        </w:rPr>
        <w:t>台、立柱试验台</w:t>
      </w:r>
      <w:r>
        <w:rPr>
          <w:rFonts w:ascii="仿宋" w:hAnsi="仿宋" w:eastAsia="仿宋" w:cs="仿宋_GB2312"/>
          <w:sz w:val="32"/>
          <w:szCs w:val="32"/>
        </w:rPr>
        <w:t>1</w:t>
      </w:r>
      <w:r>
        <w:rPr>
          <w:rFonts w:hint="eastAsia" w:ascii="仿宋" w:hAnsi="仿宋" w:eastAsia="仿宋" w:cs="仿宋_GB2312"/>
          <w:sz w:val="32"/>
          <w:szCs w:val="32"/>
        </w:rPr>
        <w:t>台、高压清洗机</w:t>
      </w:r>
      <w:r>
        <w:rPr>
          <w:rFonts w:ascii="仿宋" w:hAnsi="仿宋" w:eastAsia="仿宋" w:cs="仿宋_GB2312"/>
          <w:sz w:val="32"/>
          <w:szCs w:val="32"/>
        </w:rPr>
        <w:t>1</w:t>
      </w:r>
      <w:r>
        <w:rPr>
          <w:rFonts w:hint="eastAsia" w:ascii="仿宋" w:hAnsi="仿宋" w:eastAsia="仿宋" w:cs="仿宋_GB2312"/>
          <w:sz w:val="32"/>
          <w:szCs w:val="32"/>
        </w:rPr>
        <w:t>台以及危废处理间及其它配套设施等。</w:t>
      </w:r>
    </w:p>
    <w:p>
      <w:pPr>
        <w:numPr>
          <w:ilvl w:val="0"/>
          <w:numId w:val="1"/>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报告表》编制规范，内容全面，提出的环境保护和污染防治措施基本可行，结论可信，可以作为下一步工程设计和环境管理的依据。该项目符合目前国家产业政策和环保政策，选址可行，我局原则上同意你单位按照《报告表》所列工程性质、规模、地点、环境保护对策措施进行项目建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你单位应向公众主动公开已经批复的《报告表》，并接受利害相关方的垂询，及时向设计单位提供《报告表》和本批复文件，确保项目设计符合环境保护设计规范，落实污染防治措施和环境风险防范措施以及环保投资概算。</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你单位要严格执行环保“三同时”制度，认真落实环评提出的各项污染防治措施，并落实相应环保投资，确保本项目营运期产生的废气、噪声、废水和固体废物等各类污染物达标排放或得到妥善处理，确保营运期环境风险在可接受范围内。在营运期应重点做好以下工作：</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、做好废水污染防治：项目无生产废水产生；生活污水依托平顶山市安科支护洗选设备有限公司的一体化污水处理设施处理，处理达到污水综合排放标准二级标准后，排入市政污水管网；清洗废水采取隔油池</w:t>
      </w:r>
      <w:r>
        <w:rPr>
          <w:rFonts w:ascii="仿宋" w:hAnsi="仿宋" w:eastAsia="仿宋" w:cs="仿宋_GB2312"/>
          <w:sz w:val="32"/>
          <w:szCs w:val="32"/>
        </w:rPr>
        <w:t>+</w:t>
      </w:r>
      <w:r>
        <w:rPr>
          <w:rFonts w:hint="eastAsia" w:ascii="仿宋" w:hAnsi="仿宋" w:eastAsia="仿宋" w:cs="仿宋_GB2312"/>
          <w:sz w:val="32"/>
          <w:szCs w:val="32"/>
        </w:rPr>
        <w:t>沉淀池处理后循环利用，不外排。</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、做好噪声污染治理</w:t>
      </w:r>
      <w:r>
        <w:rPr>
          <w:rFonts w:ascii="仿宋" w:hAnsi="仿宋" w:eastAsia="仿宋" w:cs="仿宋_GB2312"/>
          <w:sz w:val="32"/>
          <w:szCs w:val="32"/>
        </w:rPr>
        <w:t>:</w:t>
      </w:r>
      <w:r>
        <w:rPr>
          <w:rFonts w:hint="eastAsia" w:ascii="仿宋" w:hAnsi="仿宋" w:eastAsia="仿宋" w:cs="仿宋_GB2312"/>
          <w:sz w:val="32"/>
          <w:szCs w:val="32"/>
        </w:rPr>
        <w:t>营运期选用低噪声设备，高噪声设备采用隔声、减振等措施，再经距离衰减后，确保厂界噪声符合《工业企业厂界环境噪声排放标准》（</w:t>
      </w:r>
      <w:r>
        <w:rPr>
          <w:rFonts w:ascii="仿宋" w:hAnsi="仿宋" w:eastAsia="仿宋" w:cs="仿宋_GB2312"/>
          <w:sz w:val="32"/>
          <w:szCs w:val="32"/>
        </w:rPr>
        <w:t>GB12348-2008</w:t>
      </w: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类限值要求。</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、妥善处理固体废弃物</w:t>
      </w:r>
      <w:r>
        <w:rPr>
          <w:rFonts w:ascii="仿宋" w:hAnsi="仿宋" w:eastAsia="仿宋" w:cs="仿宋_GB2312"/>
          <w:sz w:val="32"/>
          <w:szCs w:val="32"/>
        </w:rPr>
        <w:t>:</w:t>
      </w:r>
      <w:r>
        <w:rPr>
          <w:rFonts w:hint="eastAsia" w:ascii="仿宋" w:hAnsi="仿宋" w:eastAsia="仿宋" w:cs="仿宋_GB2312"/>
          <w:sz w:val="32"/>
          <w:szCs w:val="32"/>
        </w:rPr>
        <w:t>你单位要严格按照“三化”（减量化、资源化、无害化）原则和全过程管理处置原则，落实各类固废的收集、贮存、管理、处置和综合利用措施，实现固废全部综合利用或安全处置：生产边角料收集后置于一般固废堆存区堆存，定期出售给废品收购站；废机油、废液压油收集后置于危废间定期交由有资质单位运走安全处置，生活垃圾设置垃圾桶收集定期运至垃圾中转站，由环卫部门运至垃圾填埋场卫生填埋。</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环境风险：你单位必须在项目建设和运营管理中明确环境保护要求和责任，建立健全各项环境管理制度，安排专人负责环境保护工作，确保各项污染防治措施落实到位。严格落实环境风险防范措施，制订完善切实可行的环境风险事故防范措施和应急预案，严防环境污染事故发生，确保环境安全。</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五、如果今后国家或我省颁布严于本批复指标的新标准，届时你单位应按新标准执行。</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项目在建设过程中必须严格执行环保“三同时”制度，项目建设过程中由平顶山市卫东区环境保护局环境监察大队负责“三同时”检查，负责本项目日常环境监督管理工作。项目竣工后，你单位应当按照国家生态环境部规定的标准和程序，对配套建设的环境保护设施进行验收，编制验收报告，同时应当依法向社会公开验收报告，验收合格后方可正式投入使用，否则，我局将依照国家相关法律、法规予以处罚。若发生因环境污染问题引起厂群纠纷或群众上访事件，你单位须立即停止生产。</w:t>
      </w:r>
    </w:p>
    <w:p>
      <w:pPr>
        <w:spacing w:line="560" w:lineRule="exact"/>
        <w:ind w:firstLine="640" w:firstLineChars="200"/>
        <w:rPr>
          <w:rFonts w:ascii="仿宋" w:hAnsi="仿宋" w:eastAsia="仿宋" w:cs="仿宋"/>
          <w:sz w:val="32"/>
          <w:szCs w:val="32"/>
        </w:rPr>
      </w:pPr>
      <w:r>
        <w:rPr>
          <w:rFonts w:hint="eastAsia" w:ascii="仿宋" w:hAnsi="仿宋" w:eastAsia="仿宋" w:cs="仿宋_GB2312"/>
          <w:sz w:val="32"/>
          <w:szCs w:val="32"/>
        </w:rPr>
        <w:t>七、本批复有效期为</w:t>
      </w:r>
      <w:r>
        <w:rPr>
          <w:rFonts w:ascii="仿宋" w:hAnsi="仿宋" w:eastAsia="仿宋" w:cs="仿宋_GB2312"/>
          <w:sz w:val="32"/>
          <w:szCs w:val="32"/>
        </w:rPr>
        <w:t>5</w:t>
      </w:r>
      <w:r>
        <w:rPr>
          <w:rFonts w:hint="eastAsia" w:ascii="仿宋" w:hAnsi="仿宋" w:eastAsia="仿宋" w:cs="仿宋_GB2312"/>
          <w:sz w:val="32"/>
          <w:szCs w:val="32"/>
        </w:rPr>
        <w:t>年，如该项目逾期未开工建设，其环境影响报告应按照审批权限重新上报审核。</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八、项目的性质、规模、地点、防治污染的措施如发生重大变动</w:t>
      </w:r>
      <w:r>
        <w:rPr>
          <w:rFonts w:ascii="仿宋" w:hAnsi="仿宋" w:eastAsia="仿宋" w:cs="仿宋_GB2312"/>
          <w:sz w:val="32"/>
          <w:szCs w:val="32"/>
        </w:rPr>
        <w:t>,</w:t>
      </w:r>
      <w:r>
        <w:rPr>
          <w:rFonts w:hint="eastAsia" w:ascii="仿宋" w:hAnsi="仿宋" w:eastAsia="仿宋" w:cs="仿宋_GB2312"/>
          <w:sz w:val="32"/>
          <w:szCs w:val="32"/>
        </w:rPr>
        <w:t>建设单位应当重新报批建设项目环境影响评价文件。</w:t>
      </w:r>
    </w:p>
    <w:p>
      <w:bookmarkStart w:id="0" w:name="_GoBack"/>
      <w:bookmarkEnd w:id="0"/>
    </w:p>
    <w:p>
      <w:pPr>
        <w:spacing w:line="560" w:lineRule="exact"/>
        <w:ind w:firstLine="640" w:firstLineChars="200"/>
        <w:jc w:val="right"/>
        <w:rPr>
          <w:rFonts w:ascii="仿宋" w:hAnsi="仿宋" w:eastAsia="仿宋" w:cs="仿宋_GB2312"/>
          <w:sz w:val="32"/>
          <w:szCs w:val="32"/>
        </w:rPr>
      </w:pPr>
      <w:r>
        <w:rPr>
          <w:rFonts w:ascii="仿宋" w:hAnsi="仿宋" w:eastAsia="仿宋" w:cs="仿宋_GB2312"/>
          <w:sz w:val="32"/>
          <w:szCs w:val="32"/>
        </w:rPr>
        <w:t>2020</w:t>
      </w:r>
      <w:r>
        <w:rPr>
          <w:rFonts w:hint="eastAsia" w:ascii="仿宋" w:hAnsi="仿宋" w:eastAsia="仿宋" w:cs="仿宋_GB2312"/>
          <w:sz w:val="32"/>
          <w:szCs w:val="32"/>
        </w:rPr>
        <w:t>年</w:t>
      </w:r>
      <w:r>
        <w:rPr>
          <w:rFonts w:ascii="仿宋" w:hAnsi="仿宋" w:eastAsia="仿宋" w:cs="仿宋_GB2312"/>
          <w:sz w:val="32"/>
          <w:szCs w:val="32"/>
        </w:rPr>
        <w:t>1</w:t>
      </w:r>
      <w:r>
        <w:rPr>
          <w:rFonts w:hint="eastAsia" w:ascii="仿宋" w:hAnsi="仿宋" w:eastAsia="仿宋" w:cs="仿宋_GB2312"/>
          <w:sz w:val="32"/>
          <w:szCs w:val="32"/>
        </w:rPr>
        <w:t>月</w:t>
      </w:r>
      <w:r>
        <w:rPr>
          <w:rFonts w:ascii="仿宋" w:hAnsi="仿宋" w:eastAsia="仿宋" w:cs="仿宋_GB2312"/>
          <w:sz w:val="32"/>
          <w:szCs w:val="32"/>
        </w:rPr>
        <w:t>22</w:t>
      </w:r>
      <w:r>
        <w:rPr>
          <w:rFonts w:hint="eastAsia" w:ascii="仿宋" w:hAnsi="仿宋" w:eastAsia="仿宋" w:cs="仿宋_GB2312"/>
          <w:sz w:val="32"/>
          <w:szCs w:val="32"/>
        </w:rPr>
        <w:t>日</w:t>
      </w:r>
    </w:p>
    <w:sectPr>
      <w:footerReference r:id="rId3" w:type="default"/>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E1D0"/>
    <w:multiLevelType w:val="singleLevel"/>
    <w:tmpl w:val="0F23E1D0"/>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2056A7"/>
    <w:rsid w:val="00025056"/>
    <w:rsid w:val="00060E4A"/>
    <w:rsid w:val="0006146E"/>
    <w:rsid w:val="0006171E"/>
    <w:rsid w:val="000E0D75"/>
    <w:rsid w:val="000E70CE"/>
    <w:rsid w:val="000F677D"/>
    <w:rsid w:val="00113A6A"/>
    <w:rsid w:val="0013535D"/>
    <w:rsid w:val="00155D2F"/>
    <w:rsid w:val="00157061"/>
    <w:rsid w:val="00157E0F"/>
    <w:rsid w:val="00161393"/>
    <w:rsid w:val="00164AE6"/>
    <w:rsid w:val="00180D09"/>
    <w:rsid w:val="001B7A5C"/>
    <w:rsid w:val="001D7D41"/>
    <w:rsid w:val="001E5A8B"/>
    <w:rsid w:val="002160D1"/>
    <w:rsid w:val="00222ECC"/>
    <w:rsid w:val="00253967"/>
    <w:rsid w:val="0027070E"/>
    <w:rsid w:val="0028415F"/>
    <w:rsid w:val="00296871"/>
    <w:rsid w:val="002974E5"/>
    <w:rsid w:val="002B151E"/>
    <w:rsid w:val="002B200D"/>
    <w:rsid w:val="002B4911"/>
    <w:rsid w:val="002D0CE4"/>
    <w:rsid w:val="003311C3"/>
    <w:rsid w:val="003318C2"/>
    <w:rsid w:val="00341779"/>
    <w:rsid w:val="003C24CD"/>
    <w:rsid w:val="00464F89"/>
    <w:rsid w:val="00481A34"/>
    <w:rsid w:val="00487A0D"/>
    <w:rsid w:val="00493F42"/>
    <w:rsid w:val="00495524"/>
    <w:rsid w:val="004A28A0"/>
    <w:rsid w:val="004A3872"/>
    <w:rsid w:val="004D264A"/>
    <w:rsid w:val="004F50CA"/>
    <w:rsid w:val="004F5E6A"/>
    <w:rsid w:val="00503048"/>
    <w:rsid w:val="00546FDE"/>
    <w:rsid w:val="00582B42"/>
    <w:rsid w:val="005A7C19"/>
    <w:rsid w:val="005C52F4"/>
    <w:rsid w:val="005D6FA0"/>
    <w:rsid w:val="00602DDE"/>
    <w:rsid w:val="00614A9B"/>
    <w:rsid w:val="0063222A"/>
    <w:rsid w:val="006334A5"/>
    <w:rsid w:val="0064596C"/>
    <w:rsid w:val="00681F5F"/>
    <w:rsid w:val="006C3ED2"/>
    <w:rsid w:val="006D4712"/>
    <w:rsid w:val="006E5C3C"/>
    <w:rsid w:val="006F1F69"/>
    <w:rsid w:val="007357AD"/>
    <w:rsid w:val="007538B9"/>
    <w:rsid w:val="007935FD"/>
    <w:rsid w:val="007A3117"/>
    <w:rsid w:val="007A326C"/>
    <w:rsid w:val="007C7F45"/>
    <w:rsid w:val="00831A13"/>
    <w:rsid w:val="00842479"/>
    <w:rsid w:val="00871E12"/>
    <w:rsid w:val="00882E0D"/>
    <w:rsid w:val="008941EC"/>
    <w:rsid w:val="00895379"/>
    <w:rsid w:val="008A6BB8"/>
    <w:rsid w:val="008C17A6"/>
    <w:rsid w:val="008C4417"/>
    <w:rsid w:val="008C7AEB"/>
    <w:rsid w:val="008D3383"/>
    <w:rsid w:val="008D647E"/>
    <w:rsid w:val="009A58E8"/>
    <w:rsid w:val="009E09E1"/>
    <w:rsid w:val="009F0330"/>
    <w:rsid w:val="00A171AF"/>
    <w:rsid w:val="00A20184"/>
    <w:rsid w:val="00A22C18"/>
    <w:rsid w:val="00AF54A5"/>
    <w:rsid w:val="00B270DA"/>
    <w:rsid w:val="00B75AEF"/>
    <w:rsid w:val="00B7640D"/>
    <w:rsid w:val="00B8580E"/>
    <w:rsid w:val="00BA5CCF"/>
    <w:rsid w:val="00BE6006"/>
    <w:rsid w:val="00C4276B"/>
    <w:rsid w:val="00C83CE4"/>
    <w:rsid w:val="00CA6BA9"/>
    <w:rsid w:val="00CB4283"/>
    <w:rsid w:val="00CB74D8"/>
    <w:rsid w:val="00DB7ACD"/>
    <w:rsid w:val="00EC7D3B"/>
    <w:rsid w:val="00EF589E"/>
    <w:rsid w:val="00F11EDA"/>
    <w:rsid w:val="00F34575"/>
    <w:rsid w:val="00F47DBE"/>
    <w:rsid w:val="00F77512"/>
    <w:rsid w:val="00F97154"/>
    <w:rsid w:val="00FA0517"/>
    <w:rsid w:val="00FC4765"/>
    <w:rsid w:val="01796E8A"/>
    <w:rsid w:val="025732A5"/>
    <w:rsid w:val="029408E7"/>
    <w:rsid w:val="03897A7C"/>
    <w:rsid w:val="05F46344"/>
    <w:rsid w:val="099B0579"/>
    <w:rsid w:val="0A3545B4"/>
    <w:rsid w:val="10774F7E"/>
    <w:rsid w:val="10B37EDC"/>
    <w:rsid w:val="16751F6C"/>
    <w:rsid w:val="180862D5"/>
    <w:rsid w:val="1AE643C3"/>
    <w:rsid w:val="201876B0"/>
    <w:rsid w:val="21CD455F"/>
    <w:rsid w:val="227C1001"/>
    <w:rsid w:val="23BC736D"/>
    <w:rsid w:val="23FE26AC"/>
    <w:rsid w:val="2439060F"/>
    <w:rsid w:val="245C4F1A"/>
    <w:rsid w:val="26011B96"/>
    <w:rsid w:val="26347E8E"/>
    <w:rsid w:val="26CA3E07"/>
    <w:rsid w:val="288E48DC"/>
    <w:rsid w:val="28C54E62"/>
    <w:rsid w:val="28D22AA5"/>
    <w:rsid w:val="2C2C0C11"/>
    <w:rsid w:val="2D592A31"/>
    <w:rsid w:val="32E66715"/>
    <w:rsid w:val="352C57C2"/>
    <w:rsid w:val="363E0203"/>
    <w:rsid w:val="402C47BF"/>
    <w:rsid w:val="418D747E"/>
    <w:rsid w:val="42CC48ED"/>
    <w:rsid w:val="45D42CFF"/>
    <w:rsid w:val="46D83337"/>
    <w:rsid w:val="482056A7"/>
    <w:rsid w:val="50366653"/>
    <w:rsid w:val="518379DE"/>
    <w:rsid w:val="540E7BF1"/>
    <w:rsid w:val="54F962B1"/>
    <w:rsid w:val="55484A85"/>
    <w:rsid w:val="556D7430"/>
    <w:rsid w:val="56B275B9"/>
    <w:rsid w:val="578D17C2"/>
    <w:rsid w:val="5AFF7699"/>
    <w:rsid w:val="5BC33307"/>
    <w:rsid w:val="5DCB43CC"/>
    <w:rsid w:val="5DF6265F"/>
    <w:rsid w:val="614805E3"/>
    <w:rsid w:val="6271504D"/>
    <w:rsid w:val="677A2743"/>
    <w:rsid w:val="68333BE8"/>
    <w:rsid w:val="694269A4"/>
    <w:rsid w:val="6B2221B4"/>
    <w:rsid w:val="6C4D5946"/>
    <w:rsid w:val="6C4E4587"/>
    <w:rsid w:val="6D595EA9"/>
    <w:rsid w:val="6D5D2EF4"/>
    <w:rsid w:val="6F37071C"/>
    <w:rsid w:val="71691C93"/>
    <w:rsid w:val="734C0916"/>
    <w:rsid w:val="75EA4E9A"/>
    <w:rsid w:val="765903F2"/>
    <w:rsid w:val="76895020"/>
    <w:rsid w:val="785F5E62"/>
    <w:rsid w:val="791B2D11"/>
    <w:rsid w:val="7B353AC7"/>
    <w:rsid w:val="7D614C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nhideWhenUsed="0" w:uiPriority="99" w:semiHidden="0" w:name="Block Text"/>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spacing w:line="440" w:lineRule="exact"/>
      <w:jc w:val="center"/>
      <w:outlineLvl w:val="0"/>
    </w:pPr>
    <w:rPr>
      <w:rFonts w:ascii="宋体" w:hAnsi="宋体"/>
      <w:sz w:val="28"/>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firstLineChars="200"/>
    </w:pPr>
  </w:style>
  <w:style w:type="paragraph" w:styleId="4">
    <w:name w:val="Body Text"/>
    <w:basedOn w:val="1"/>
    <w:link w:val="13"/>
    <w:qFormat/>
    <w:uiPriority w:val="99"/>
    <w:pPr>
      <w:spacing w:after="120" w:line="360" w:lineRule="auto"/>
      <w:ind w:firstLine="200" w:firstLineChars="200"/>
    </w:pPr>
    <w:rPr>
      <w:sz w:val="24"/>
      <w:szCs w:val="24"/>
    </w:rPr>
  </w:style>
  <w:style w:type="paragraph" w:styleId="5">
    <w:name w:val="Body Text Indent"/>
    <w:basedOn w:val="1"/>
    <w:link w:val="14"/>
    <w:qFormat/>
    <w:uiPriority w:val="99"/>
    <w:pPr>
      <w:ind w:firstLine="480"/>
    </w:pPr>
    <w:rPr>
      <w:sz w:val="24"/>
      <w:szCs w:val="20"/>
    </w:rPr>
  </w:style>
  <w:style w:type="paragraph" w:styleId="6">
    <w:name w:val="Block Text"/>
    <w:basedOn w:val="1"/>
    <w:uiPriority w:val="99"/>
    <w:pPr>
      <w:autoSpaceDE w:val="0"/>
      <w:autoSpaceDN w:val="0"/>
      <w:adjustRightInd w:val="0"/>
      <w:spacing w:before="1" w:line="537" w:lineRule="exact"/>
      <w:ind w:left="88" w:right="6"/>
    </w:pPr>
    <w:rPr>
      <w:kern w:val="0"/>
      <w:szCs w:val="20"/>
    </w:rPr>
  </w:style>
  <w:style w:type="paragraph" w:styleId="7">
    <w:name w:val="footer"/>
    <w:basedOn w:val="1"/>
    <w:link w:val="15"/>
    <w:uiPriority w:val="99"/>
    <w:pPr>
      <w:tabs>
        <w:tab w:val="center" w:pos="4153"/>
        <w:tab w:val="right" w:pos="8306"/>
      </w:tabs>
      <w:snapToGrid w:val="0"/>
      <w:jc w:val="left"/>
    </w:pPr>
    <w:rPr>
      <w:sz w:val="18"/>
    </w:rPr>
  </w:style>
  <w:style w:type="paragraph" w:styleId="8">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next w:val="1"/>
    <w:link w:val="17"/>
    <w:uiPriority w:val="99"/>
    <w:pPr>
      <w:ind w:firstLine="420" w:firstLineChars="200"/>
    </w:pPr>
  </w:style>
  <w:style w:type="character" w:customStyle="1" w:styleId="12">
    <w:name w:val="Heading 1 Char"/>
    <w:basedOn w:val="11"/>
    <w:link w:val="2"/>
    <w:qFormat/>
    <w:locked/>
    <w:uiPriority w:val="99"/>
    <w:rPr>
      <w:rFonts w:ascii="Cambria" w:hAnsi="Cambria" w:eastAsia="宋体" w:cs="Times New Roman"/>
      <w:b/>
      <w:bCs/>
      <w:kern w:val="32"/>
      <w:sz w:val="32"/>
      <w:szCs w:val="32"/>
    </w:rPr>
  </w:style>
  <w:style w:type="character" w:customStyle="1" w:styleId="13">
    <w:name w:val="Body Text Char"/>
    <w:basedOn w:val="11"/>
    <w:link w:val="4"/>
    <w:semiHidden/>
    <w:qFormat/>
    <w:locked/>
    <w:uiPriority w:val="99"/>
    <w:rPr>
      <w:rFonts w:cs="Times New Roman"/>
      <w:kern w:val="2"/>
      <w:sz w:val="21"/>
    </w:rPr>
  </w:style>
  <w:style w:type="character" w:customStyle="1" w:styleId="14">
    <w:name w:val="Body Text Indent Char"/>
    <w:basedOn w:val="11"/>
    <w:link w:val="5"/>
    <w:semiHidden/>
    <w:qFormat/>
    <w:locked/>
    <w:uiPriority w:val="99"/>
    <w:rPr>
      <w:rFonts w:cs="Times New Roman"/>
      <w:kern w:val="2"/>
      <w:sz w:val="21"/>
    </w:rPr>
  </w:style>
  <w:style w:type="character" w:customStyle="1" w:styleId="15">
    <w:name w:val="Footer Char"/>
    <w:basedOn w:val="11"/>
    <w:link w:val="7"/>
    <w:semiHidden/>
    <w:locked/>
    <w:uiPriority w:val="99"/>
    <w:rPr>
      <w:rFonts w:cs="Times New Roman"/>
      <w:kern w:val="2"/>
      <w:sz w:val="21"/>
    </w:rPr>
  </w:style>
  <w:style w:type="character" w:customStyle="1" w:styleId="16">
    <w:name w:val="Header Char"/>
    <w:basedOn w:val="11"/>
    <w:link w:val="8"/>
    <w:semiHidden/>
    <w:locked/>
    <w:uiPriority w:val="99"/>
    <w:rPr>
      <w:rFonts w:cs="Times New Roman"/>
      <w:kern w:val="2"/>
      <w:sz w:val="21"/>
    </w:rPr>
  </w:style>
  <w:style w:type="character" w:customStyle="1" w:styleId="17">
    <w:name w:val="Body Text First Indent 2 Char"/>
    <w:basedOn w:val="14"/>
    <w:link w:val="9"/>
    <w:semiHidden/>
    <w:locked/>
    <w:uiPriority w:val="99"/>
  </w:style>
  <w:style w:type="character" w:customStyle="1" w:styleId="18">
    <w:name w:val="Char Char Char Char Char Char Char"/>
    <w:link w:val="19"/>
    <w:locked/>
    <w:uiPriority w:val="99"/>
    <w:rPr>
      <w:sz w:val="24"/>
    </w:rPr>
  </w:style>
  <w:style w:type="paragraph" w:customStyle="1" w:styleId="19">
    <w:name w:val="Char Char Char Char Char Char1"/>
    <w:basedOn w:val="1"/>
    <w:link w:val="18"/>
    <w:uiPriority w:val="99"/>
    <w:pPr>
      <w:spacing w:line="360" w:lineRule="auto"/>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265</Words>
  <Characters>1516</Characters>
  <Lines>0</Lines>
  <Paragraphs>0</Paragraphs>
  <TotalTime>1</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2019-01-05T12:01:00Z</dcterms:created>
  <dc:creator>Administrator</dc:creator>
  <cp:lastModifiedBy>Administrator</cp:lastModifiedBy>
  <cp:lastPrinted>2020-01-17T03:43:37Z</cp:lastPrinted>
  <dcterms:modified xsi:type="dcterms:W3CDTF">2020-01-17T03:44:18Z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