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cs="宋体"/>
          <w:b/>
          <w:sz w:val="44"/>
          <w:szCs w:val="44"/>
        </w:rPr>
      </w:pPr>
      <w:r>
        <w:rPr>
          <w:rFonts w:ascii="宋体" w:hAnsi="宋体" w:cs="宋体"/>
          <w:b/>
          <w:sz w:val="44"/>
          <w:szCs w:val="44"/>
        </w:rPr>
        <w:t>2022</w:t>
      </w:r>
      <w:r>
        <w:rPr>
          <w:rFonts w:hint="eastAsia" w:ascii="宋体" w:hAnsi="宋体" w:cs="宋体"/>
          <w:b/>
          <w:sz w:val="44"/>
          <w:szCs w:val="44"/>
        </w:rPr>
        <w:t>年平顶山市卫东区司法局</w:t>
      </w:r>
    </w:p>
    <w:p>
      <w:pPr>
        <w:spacing w:line="580" w:lineRule="exact"/>
        <w:jc w:val="center"/>
        <w:rPr>
          <w:rFonts w:ascii="仿宋" w:hAnsi="仿宋" w:eastAsia="仿宋" w:cs="仿宋"/>
          <w:b/>
          <w:sz w:val="32"/>
          <w:szCs w:val="32"/>
        </w:rPr>
      </w:pPr>
      <w:r>
        <w:rPr>
          <w:rFonts w:hint="eastAsia" w:ascii="宋体" w:hAnsi="宋体" w:cs="宋体"/>
          <w:b/>
          <w:sz w:val="44"/>
          <w:szCs w:val="44"/>
        </w:rPr>
        <w:t>部门预算说明</w:t>
      </w:r>
    </w:p>
    <w:p>
      <w:pPr>
        <w:snapToGrid w:val="0"/>
        <w:spacing w:line="580" w:lineRule="exact"/>
        <w:jc w:val="center"/>
        <w:rPr>
          <w:rFonts w:ascii="仿宋" w:hAnsi="仿宋" w:eastAsia="仿宋" w:cs="仿宋"/>
          <w:sz w:val="32"/>
          <w:szCs w:val="32"/>
        </w:rPr>
      </w:pPr>
    </w:p>
    <w:p>
      <w:pPr>
        <w:spacing w:line="580" w:lineRule="exact"/>
        <w:jc w:val="center"/>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spacing w:line="580" w:lineRule="exact"/>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平顶山市卫东区司法局概况</w:t>
      </w:r>
      <w:r>
        <w:rPr>
          <w:rFonts w:ascii="仿宋" w:hAnsi="仿宋" w:eastAsia="仿宋" w:cs="仿宋"/>
          <w:sz w:val="32"/>
          <w:szCs w:val="32"/>
        </w:rPr>
        <w:t xml:space="preserve">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一、主要职能    </w:t>
      </w:r>
    </w:p>
    <w:p>
      <w:pPr>
        <w:spacing w:line="580" w:lineRule="exact"/>
        <w:ind w:firstLine="320" w:firstLineChars="100"/>
        <w:rPr>
          <w:rFonts w:ascii="仿宋" w:hAnsi="仿宋" w:eastAsia="仿宋" w:cs="仿宋"/>
          <w:sz w:val="32"/>
          <w:szCs w:val="32"/>
        </w:rPr>
      </w:pPr>
      <w:r>
        <w:rPr>
          <w:rFonts w:hint="eastAsia" w:ascii="仿宋" w:hAnsi="仿宋" w:eastAsia="仿宋" w:cs="仿宋"/>
          <w:bCs/>
          <w:kern w:val="0"/>
          <w:sz w:val="32"/>
          <w:szCs w:val="32"/>
        </w:rPr>
        <w:t xml:space="preserve">  二、部门预算单位构成 </w:t>
      </w:r>
      <w:r>
        <w:rPr>
          <w:rFonts w:hint="eastAsia" w:ascii="仿宋" w:hAnsi="仿宋" w:eastAsia="仿宋" w:cs="仿宋"/>
          <w:sz w:val="32"/>
          <w:szCs w:val="32"/>
        </w:rPr>
        <w:t xml:space="preserve">   </w:t>
      </w:r>
    </w:p>
    <w:p>
      <w:pPr>
        <w:spacing w:line="580" w:lineRule="exact"/>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平顶山市卫东区司法局</w:t>
      </w:r>
      <w:r>
        <w:rPr>
          <w:rFonts w:ascii="宋体" w:hAnsi="宋体" w:cs="宋体"/>
          <w:b/>
          <w:kern w:val="0"/>
          <w:sz w:val="32"/>
          <w:szCs w:val="32"/>
        </w:rPr>
        <w:t>2022</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spacing w:line="580" w:lineRule="exact"/>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spacing w:line="580" w:lineRule="exact"/>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附件：平顶山市卫东区司法局</w:t>
      </w:r>
      <w:r>
        <w:rPr>
          <w:rFonts w:ascii="宋体" w:hAnsi="宋体" w:cs="宋体"/>
          <w:b/>
          <w:kern w:val="0"/>
          <w:sz w:val="32"/>
          <w:szCs w:val="32"/>
        </w:rPr>
        <w:t>2022</w:t>
      </w:r>
      <w:r>
        <w:rPr>
          <w:rFonts w:hint="eastAsia" w:ascii="宋体" w:hAnsi="宋体" w:cs="宋体"/>
          <w:b/>
          <w:kern w:val="0"/>
          <w:sz w:val="32"/>
          <w:szCs w:val="32"/>
        </w:rPr>
        <w:t>年部门预算表</w:t>
      </w:r>
      <w:r>
        <w:rPr>
          <w:rFonts w:ascii="仿宋" w:hAnsi="仿宋" w:eastAsia="仿宋" w:cs="仿宋"/>
          <w:sz w:val="32"/>
          <w:szCs w:val="32"/>
        </w:rPr>
        <w:t xml:space="preserve">    </w:t>
      </w:r>
    </w:p>
    <w:p>
      <w:pPr>
        <w:spacing w:line="580" w:lineRule="exact"/>
        <w:ind w:firstLine="320" w:firstLineChars="100"/>
        <w:rPr>
          <w:rFonts w:ascii="仿宋" w:hAnsi="仿宋" w:eastAsia="仿宋" w:cs="仿宋"/>
          <w:bCs/>
          <w:kern w:val="0"/>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一、部门收支预算表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二、部门收入预算表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三、部门支出预算表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四、财政拨款收支预算表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五、一般公共预算支出预算表 </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六、一般公共预算基本支出表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七、支出经济分类汇总表</w:t>
      </w:r>
    </w:p>
    <w:p>
      <w:pPr>
        <w:spacing w:line="5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spacing w:line="580" w:lineRule="exact"/>
        <w:ind w:firstLine="320" w:firstLineChars="100"/>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8"/>
        <w:spacing w:line="580" w:lineRule="exact"/>
        <w:ind w:firstLine="320" w:firstLineChars="100"/>
        <w:rPr>
          <w:rFonts w:ascii="仿宋" w:hAnsi="仿宋" w:eastAsia="仿宋" w:cs="仿宋"/>
          <w:sz w:val="32"/>
          <w:szCs w:val="32"/>
        </w:rPr>
      </w:pPr>
      <w:r>
        <w:rPr>
          <w:rFonts w:hint="eastAsia" w:ascii="仿宋" w:hAnsi="仿宋" w:eastAsia="仿宋" w:cs="仿宋"/>
          <w:bCs/>
          <w:sz w:val="32"/>
          <w:szCs w:val="32"/>
        </w:rPr>
        <w:t xml:space="preserve">  十、项目支出预算表</w:t>
      </w:r>
    </w:p>
    <w:p>
      <w:pPr>
        <w:pStyle w:val="8"/>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十一、部门（单位）整体绩效目标表</w:t>
      </w:r>
    </w:p>
    <w:p>
      <w:pPr>
        <w:ind w:firstLine="640" w:firstLineChars="200"/>
        <w:rPr>
          <w:rFonts w:ascii="宋体" w:hAnsi="宋体" w:cs="宋体"/>
          <w:b/>
          <w:bCs/>
          <w:kern w:val="0"/>
          <w:sz w:val="32"/>
          <w:szCs w:val="32"/>
        </w:rPr>
      </w:pPr>
      <w:r>
        <w:rPr>
          <w:rFonts w:hint="eastAsia" w:ascii="仿宋" w:hAnsi="仿宋" w:eastAsia="仿宋" w:cs="仿宋"/>
          <w:bCs/>
          <w:kern w:val="0"/>
          <w:sz w:val="32"/>
          <w:szCs w:val="32"/>
        </w:rPr>
        <w:t>十二、部门预算项目绩效目标汇总表</w:t>
      </w:r>
    </w:p>
    <w:p>
      <w:pPr>
        <w:spacing w:line="580" w:lineRule="exact"/>
        <w:ind w:firstLine="3855" w:firstLineChars="1200"/>
        <w:rPr>
          <w:rFonts w:ascii="宋体" w:cs="宋体"/>
          <w:b/>
          <w:bCs/>
          <w:kern w:val="0"/>
          <w:sz w:val="32"/>
          <w:szCs w:val="32"/>
        </w:rPr>
      </w:pPr>
      <w:bookmarkStart w:id="0" w:name="_GoBack"/>
      <w:bookmarkEnd w:id="0"/>
      <w:r>
        <w:rPr>
          <w:rFonts w:hint="eastAsia" w:ascii="宋体" w:hAnsi="宋体" w:cs="宋体"/>
          <w:b/>
          <w:bCs/>
          <w:kern w:val="0"/>
          <w:sz w:val="32"/>
          <w:szCs w:val="32"/>
        </w:rPr>
        <w:t>第一部分</w:t>
      </w:r>
    </w:p>
    <w:p>
      <w:pPr>
        <w:spacing w:line="580" w:lineRule="exact"/>
        <w:jc w:val="center"/>
        <w:rPr>
          <w:rFonts w:ascii="宋体" w:cs="宋体"/>
          <w:b/>
          <w:bCs/>
          <w:kern w:val="0"/>
          <w:sz w:val="32"/>
          <w:szCs w:val="32"/>
        </w:rPr>
      </w:pPr>
      <w:r>
        <w:rPr>
          <w:rFonts w:hint="eastAsia" w:ascii="宋体" w:hAnsi="宋体" w:cs="宋体"/>
          <w:b/>
          <w:bCs/>
          <w:kern w:val="0"/>
          <w:sz w:val="32"/>
          <w:szCs w:val="32"/>
        </w:rPr>
        <w:t>平顶山市卫东区司法局概况</w:t>
      </w:r>
    </w:p>
    <w:p>
      <w:pPr>
        <w:spacing w:line="580" w:lineRule="exact"/>
        <w:ind w:firstLine="1606" w:firstLineChars="500"/>
        <w:rPr>
          <w:rFonts w:ascii="宋体" w:cs="宋体"/>
          <w:b/>
          <w:bCs/>
          <w:kern w:val="0"/>
          <w:sz w:val="32"/>
          <w:szCs w:val="32"/>
        </w:rPr>
      </w:pPr>
    </w:p>
    <w:p>
      <w:pPr>
        <w:spacing w:line="580" w:lineRule="exact"/>
        <w:ind w:firstLine="652" w:firstLineChars="203"/>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平顶山市卫东区司法局</w:t>
      </w:r>
      <w:r>
        <w:rPr>
          <w:rFonts w:hint="eastAsia" w:ascii="宋体" w:hAnsi="宋体" w:cs="宋体"/>
          <w:b/>
          <w:bCs/>
          <w:sz w:val="32"/>
          <w:szCs w:val="32"/>
        </w:rPr>
        <w:t>主要职能</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承担全面依法治区重大问题政策研究，协调有关方面提出全面依法治区中长期规划建议，负责有关重大决策部署督察工作。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负责起草或者组织起草全区有关规范性文件、制度和实施方案</w:t>
      </w:r>
      <w:r>
        <w:rPr>
          <w:rFonts w:ascii="仿宋" w:hAnsi="仿宋" w:eastAsia="仿宋" w:cs="仿宋"/>
          <w:sz w:val="32"/>
          <w:szCs w:val="32"/>
        </w:rPr>
        <w:t>;</w:t>
      </w:r>
      <w:r>
        <w:rPr>
          <w:rFonts w:hint="eastAsia" w:ascii="仿宋" w:hAnsi="仿宋" w:eastAsia="仿宋" w:cs="仿宋"/>
          <w:sz w:val="32"/>
          <w:szCs w:val="32"/>
        </w:rPr>
        <w:t>审查报送区政府的规范性文件草稿向区政府报告审查、修改意见。</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rPr>
        <w:t>承担区政府规范性文件向市政府和区人大常委会备案工作</w:t>
      </w:r>
      <w:r>
        <w:rPr>
          <w:rFonts w:ascii="仿宋" w:hAnsi="仿宋" w:eastAsia="仿宋" w:cs="仿宋"/>
          <w:sz w:val="32"/>
          <w:szCs w:val="32"/>
        </w:rPr>
        <w:t>;</w:t>
      </w:r>
      <w:r>
        <w:rPr>
          <w:rFonts w:hint="eastAsia" w:ascii="仿宋" w:hAnsi="仿宋" w:eastAsia="仿宋" w:cs="仿宋"/>
          <w:sz w:val="32"/>
          <w:szCs w:val="32"/>
        </w:rPr>
        <w:t>承担区政府各部门政府规范性文件备案审查工作</w:t>
      </w:r>
      <w:r>
        <w:rPr>
          <w:rFonts w:ascii="仿宋" w:hAnsi="仿宋" w:eastAsia="仿宋" w:cs="仿宋"/>
          <w:sz w:val="32"/>
          <w:szCs w:val="32"/>
        </w:rPr>
        <w:t>;</w:t>
      </w:r>
      <w:r>
        <w:rPr>
          <w:rFonts w:hint="eastAsia" w:ascii="仿宋" w:hAnsi="仿宋" w:eastAsia="仿宋" w:cs="仿宋"/>
          <w:sz w:val="32"/>
          <w:szCs w:val="32"/>
        </w:rPr>
        <w:t>负责区政府规范性文件的解释、评估、清理、编纂等工作。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负责推进全区依法行政、建设法治政府方面的统筹规划、综合协调、督促指导、考核评价工作；指导监督区政府各部门、各街道依法行政工作。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w:t>
      </w:r>
      <w:r>
        <w:rPr>
          <w:rFonts w:hint="eastAsia" w:ascii="仿宋" w:hAnsi="仿宋" w:eastAsia="仿宋" w:cs="仿宋"/>
          <w:sz w:val="32"/>
          <w:szCs w:val="32"/>
        </w:rPr>
        <w:t>负责综合协调、指导监督全区行政执法工作；研究完善规范行政执法有关制度，推进严格规范公正文明执法；负责推进服务型行政执法建设，全面落实行政执法责任制，承担推进行政执法体制改革有关工作；负责全区行政执法主体和行政执法人员资格管理；负责指导行政栽决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六</w:t>
      </w:r>
      <w:r>
        <w:rPr>
          <w:rFonts w:ascii="仿宋" w:hAnsi="仿宋" w:eastAsia="仿宋" w:cs="仿宋"/>
          <w:sz w:val="32"/>
          <w:szCs w:val="32"/>
        </w:rPr>
        <w:t>)</w:t>
      </w:r>
      <w:r>
        <w:rPr>
          <w:rFonts w:hint="eastAsia" w:ascii="仿宋" w:hAnsi="仿宋" w:eastAsia="仿宋" w:cs="仿宋"/>
          <w:sz w:val="32"/>
          <w:szCs w:val="32"/>
        </w:rPr>
        <w:t>承担区政府交办的法律事务；负责对以区政府名义制发的重要规范性文件的合法性审查；负责区政府涉及法律的重大决策和重要事务的合法性审查；推进全区法律顾问建议工作。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七</w:t>
      </w:r>
      <w:r>
        <w:rPr>
          <w:rFonts w:ascii="仿宋" w:hAnsi="仿宋" w:eastAsia="仿宋" w:cs="仿宋"/>
          <w:sz w:val="32"/>
          <w:szCs w:val="32"/>
        </w:rPr>
        <w:t>)</w:t>
      </w:r>
      <w:r>
        <w:rPr>
          <w:rFonts w:hint="eastAsia" w:ascii="仿宋" w:hAnsi="仿宋" w:eastAsia="仿宋" w:cs="仿宋"/>
          <w:sz w:val="32"/>
          <w:szCs w:val="32"/>
        </w:rPr>
        <w:t>承担统筹规划法治社会建设责任</w:t>
      </w:r>
      <w:r>
        <w:rPr>
          <w:rFonts w:ascii="仿宋" w:hAnsi="仿宋" w:eastAsia="仿宋" w:cs="仿宋"/>
          <w:sz w:val="32"/>
          <w:szCs w:val="32"/>
        </w:rPr>
        <w:t>;</w:t>
      </w:r>
      <w:r>
        <w:rPr>
          <w:rFonts w:hint="eastAsia" w:ascii="仿宋" w:hAnsi="仿宋" w:eastAsia="仿宋" w:cs="仿宋"/>
          <w:sz w:val="32"/>
          <w:szCs w:val="32"/>
        </w:rPr>
        <w:t>负责拟订全区法治宣传教育规划，组织实施普法宣传工作；推动人民参与和促进法治建设；指导全区依法治理和法治创建工作；指导全区人民调解、行政调解、行业性专业性调解工作和人民陪审员、人民监督员选任管理工作；推进司法所建设。</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八</w:t>
      </w:r>
      <w:r>
        <w:rPr>
          <w:rFonts w:ascii="仿宋" w:hAnsi="仿宋" w:eastAsia="仿宋" w:cs="仿宋"/>
          <w:sz w:val="32"/>
          <w:szCs w:val="32"/>
        </w:rPr>
        <w:t>)</w:t>
      </w:r>
      <w:r>
        <w:rPr>
          <w:rFonts w:hint="eastAsia" w:ascii="仿宋" w:hAnsi="仿宋" w:eastAsia="仿宋" w:cs="仿宋"/>
          <w:sz w:val="32"/>
          <w:szCs w:val="32"/>
        </w:rPr>
        <w:t>负责拟订全区公共法律服务体系建设规划并组织实施；统筹和布局全区城乡、区域法律服务资源；指导监督全区律师、法律援助、人民调解、仲裁管理和基层法律服务工作。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九</w:t>
      </w:r>
      <w:r>
        <w:rPr>
          <w:rFonts w:ascii="仿宋" w:hAnsi="仿宋" w:eastAsia="仿宋" w:cs="仿宋"/>
          <w:sz w:val="32"/>
          <w:szCs w:val="32"/>
        </w:rPr>
        <w:t>)</w:t>
      </w:r>
      <w:r>
        <w:rPr>
          <w:rFonts w:hint="eastAsia" w:ascii="仿宋" w:hAnsi="仿宋" w:eastAsia="仿宋" w:cs="仿宋"/>
          <w:sz w:val="32"/>
          <w:szCs w:val="32"/>
        </w:rPr>
        <w:t>负责刑释解教人员安置帮教和社区矫正工作。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w:t>
      </w:r>
      <w:r>
        <w:rPr>
          <w:rFonts w:ascii="仿宋" w:hAnsi="仿宋" w:eastAsia="仿宋" w:cs="仿宋"/>
          <w:sz w:val="32"/>
          <w:szCs w:val="32"/>
        </w:rPr>
        <w:t>)</w:t>
      </w:r>
      <w:r>
        <w:rPr>
          <w:rFonts w:hint="eastAsia" w:ascii="仿宋" w:hAnsi="仿宋" w:eastAsia="仿宋" w:cs="仿宋"/>
          <w:sz w:val="32"/>
          <w:szCs w:val="32"/>
        </w:rPr>
        <w:t>指导和管理各街道办事处司法所工作。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十一</w:t>
      </w:r>
      <w:r>
        <w:rPr>
          <w:rFonts w:ascii="仿宋" w:hAnsi="仿宋" w:eastAsia="仿宋" w:cs="仿宋"/>
          <w:sz w:val="32"/>
          <w:szCs w:val="32"/>
        </w:rPr>
        <w:t>)</w:t>
      </w:r>
      <w:r>
        <w:rPr>
          <w:rFonts w:hint="eastAsia" w:ascii="仿宋" w:hAnsi="仿宋" w:eastAsia="仿宋" w:cs="仿宋"/>
          <w:sz w:val="32"/>
          <w:szCs w:val="32"/>
        </w:rPr>
        <w:t>参与全区社会治安综合治理和平安建设工作。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十ニ</w:t>
      </w:r>
      <w:r>
        <w:rPr>
          <w:rFonts w:ascii="仿宋" w:hAnsi="仿宋" w:eastAsia="仿宋" w:cs="仿宋"/>
          <w:sz w:val="32"/>
          <w:szCs w:val="32"/>
        </w:rPr>
        <w:t>)</w:t>
      </w:r>
      <w:r>
        <w:rPr>
          <w:rFonts w:hint="eastAsia" w:ascii="仿宋" w:hAnsi="仿宋" w:eastAsia="仿宋" w:cs="仿宋"/>
          <w:sz w:val="32"/>
          <w:szCs w:val="32"/>
        </w:rPr>
        <w:t>负责对全区司法行政业务培训、领导干部以及普法骨干队伍的法律培训工作。</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十三</w:t>
      </w:r>
      <w:r>
        <w:rPr>
          <w:rFonts w:ascii="仿宋" w:hAnsi="仿宋" w:eastAsia="仿宋" w:cs="仿宋"/>
          <w:sz w:val="32"/>
          <w:szCs w:val="32"/>
        </w:rPr>
        <w:t>)</w:t>
      </w:r>
      <w:r>
        <w:rPr>
          <w:rFonts w:hint="eastAsia" w:ascii="仿宋" w:hAnsi="仿宋" w:eastAsia="仿宋" w:cs="仿宋"/>
          <w:sz w:val="32"/>
          <w:szCs w:val="32"/>
        </w:rPr>
        <w:t>抓好全区司法系统干部队伍的思想、组织、业务、党风、行风建设。</w:t>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十四</w:t>
      </w:r>
      <w:r>
        <w:rPr>
          <w:rFonts w:ascii="仿宋" w:hAnsi="仿宋" w:eastAsia="仿宋" w:cs="仿宋"/>
          <w:sz w:val="32"/>
          <w:szCs w:val="32"/>
        </w:rPr>
        <w:t>)</w:t>
      </w:r>
      <w:r>
        <w:rPr>
          <w:rFonts w:hint="eastAsia" w:ascii="仿宋" w:hAnsi="仿宋" w:eastAsia="仿宋" w:cs="仿宋"/>
          <w:sz w:val="32"/>
          <w:szCs w:val="32"/>
        </w:rPr>
        <w:t>完成区委、区政府交办的其他事项。</w:t>
      </w:r>
    </w:p>
    <w:p>
      <w:pPr>
        <w:spacing w:line="580" w:lineRule="exact"/>
        <w:ind w:firstLine="649" w:firstLineChars="203"/>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平顶山市卫东区司法局</w:t>
      </w:r>
      <w:r>
        <w:rPr>
          <w:rFonts w:hint="eastAsia" w:ascii="宋体" w:hAnsi="宋体" w:cs="宋体"/>
          <w:b/>
          <w:bCs/>
          <w:sz w:val="32"/>
          <w:szCs w:val="32"/>
        </w:rPr>
        <w:t>预算单位构成</w:t>
      </w:r>
    </w:p>
    <w:p>
      <w:pPr>
        <w:widowControl/>
        <w:spacing w:line="580" w:lineRule="exact"/>
        <w:ind w:firstLine="640" w:firstLineChars="200"/>
        <w:jc w:val="left"/>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平顶山市卫东区司法局</w:t>
      </w:r>
      <w:r>
        <w:rPr>
          <w:rFonts w:ascii="仿宋_GB2312" w:hAnsi="宋体" w:eastAsia="仿宋_GB2312" w:cs="宋体"/>
          <w:bCs/>
          <w:kern w:val="0"/>
          <w:sz w:val="32"/>
          <w:szCs w:val="32"/>
          <w:lang w:val="zh-TW" w:eastAsia="zh-TW"/>
        </w:rPr>
        <w:t>2022</w:t>
      </w:r>
      <w:r>
        <w:rPr>
          <w:rFonts w:hint="eastAsia" w:ascii="仿宋_GB2312" w:hAnsi="宋体" w:eastAsia="仿宋_GB2312" w:cs="宋体"/>
          <w:bCs/>
          <w:kern w:val="0"/>
          <w:sz w:val="32"/>
          <w:szCs w:val="32"/>
          <w:lang w:val="zh-TW" w:eastAsia="zh-TW"/>
        </w:rPr>
        <w:t>年部门预算仅包含本级预算，无所属单位预算。纳入平顶山市卫东区司法局</w:t>
      </w:r>
      <w:r>
        <w:rPr>
          <w:rFonts w:ascii="仿宋_GB2312" w:hAnsi="宋体" w:eastAsia="仿宋_GB2312" w:cs="宋体"/>
          <w:bCs/>
          <w:kern w:val="0"/>
          <w:sz w:val="32"/>
          <w:szCs w:val="32"/>
          <w:lang w:val="zh-TW" w:eastAsia="zh-TW"/>
        </w:rPr>
        <w:t xml:space="preserve"> 2022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平顶山市卫东区司法局本级。</w:t>
      </w:r>
    </w:p>
    <w:p>
      <w:pPr>
        <w:widowControl/>
        <w:spacing w:line="580" w:lineRule="exact"/>
        <w:ind w:firstLine="640" w:firstLineChars="200"/>
        <w:jc w:val="left"/>
        <w:rPr>
          <w:rFonts w:ascii="仿宋_GB2312" w:hAnsi="宋体" w:eastAsia="仿宋_GB2312" w:cs="宋体"/>
          <w:bCs/>
          <w:kern w:val="0"/>
          <w:sz w:val="32"/>
          <w:szCs w:val="32"/>
          <w:lang w:val="zh-TW"/>
        </w:rPr>
      </w:pPr>
      <w:r>
        <w:rPr>
          <w:rFonts w:hint="eastAsia" w:ascii="仿宋" w:hAnsi="仿宋" w:eastAsia="仿宋" w:cs="仿宋"/>
          <w:sz w:val="32"/>
          <w:szCs w:val="32"/>
        </w:rPr>
        <w:t>平顶山市卫东司法局设</w:t>
      </w:r>
      <w:r>
        <w:rPr>
          <w:rFonts w:ascii="仿宋" w:hAnsi="仿宋" w:eastAsia="仿宋" w:cs="仿宋"/>
          <w:sz w:val="32"/>
          <w:szCs w:val="32"/>
        </w:rPr>
        <w:t>8</w:t>
      </w:r>
      <w:r>
        <w:rPr>
          <w:rFonts w:hint="eastAsia" w:ascii="仿宋" w:hAnsi="仿宋" w:eastAsia="仿宋" w:cs="仿宋"/>
          <w:sz w:val="32"/>
          <w:szCs w:val="32"/>
        </w:rPr>
        <w:t>个内设机构：</w:t>
      </w:r>
      <w:r>
        <w:rPr>
          <w:rFonts w:hint="eastAsia" w:ascii="仿宋_GB2312" w:hAnsi="宋体" w:eastAsia="仿宋_GB2312"/>
          <w:sz w:val="32"/>
          <w:szCs w:val="32"/>
        </w:rPr>
        <w:t>综合办公室（行政审批服务股）、基层管理股、法律服务管理股、宣传教育股、法制办公室、社区矫正管理办公室、区委全面依法治区委员会办公室秘书科、政治部。</w:t>
      </w:r>
      <w:r>
        <w:rPr>
          <w:rFonts w:ascii="仿宋_GB2312" w:hAnsi="宋体" w:eastAsia="仿宋_GB2312"/>
          <w:sz w:val="32"/>
          <w:szCs w:val="32"/>
        </w:rPr>
        <w:t>13</w:t>
      </w:r>
      <w:r>
        <w:rPr>
          <w:rFonts w:hint="eastAsia" w:ascii="仿宋_GB2312" w:hAnsi="宋体" w:eastAsia="仿宋_GB2312"/>
          <w:sz w:val="32"/>
          <w:szCs w:val="32"/>
        </w:rPr>
        <w:t>个事业单位：卫东区法律援助中心，编制</w:t>
      </w:r>
      <w:r>
        <w:rPr>
          <w:rFonts w:ascii="仿宋_GB2312" w:hAnsi="宋体" w:eastAsia="仿宋_GB2312"/>
          <w:sz w:val="32"/>
          <w:szCs w:val="32"/>
        </w:rPr>
        <w:t>15</w:t>
      </w:r>
      <w:r>
        <w:rPr>
          <w:rFonts w:hint="eastAsia" w:ascii="仿宋_GB2312" w:hAnsi="宋体" w:eastAsia="仿宋_GB2312"/>
          <w:sz w:val="32"/>
          <w:szCs w:val="32"/>
        </w:rPr>
        <w:t>人。</w:t>
      </w:r>
      <w:r>
        <w:rPr>
          <w:rFonts w:ascii="仿宋_GB2312" w:hAnsi="宋体" w:eastAsia="仿宋_GB2312"/>
          <w:sz w:val="32"/>
          <w:szCs w:val="32"/>
        </w:rPr>
        <w:t>12</w:t>
      </w:r>
      <w:r>
        <w:rPr>
          <w:rFonts w:hint="eastAsia" w:ascii="仿宋_GB2312" w:hAnsi="宋体" w:eastAsia="仿宋_GB2312"/>
          <w:sz w:val="32"/>
          <w:szCs w:val="32"/>
        </w:rPr>
        <w:t>个司法所</w:t>
      </w:r>
      <w:r>
        <w:rPr>
          <w:rFonts w:ascii="仿宋_GB2312" w:hAnsi="宋体" w:eastAsia="仿宋_GB2312"/>
          <w:sz w:val="32"/>
          <w:szCs w:val="32"/>
        </w:rPr>
        <w:t>(</w:t>
      </w:r>
      <w:r>
        <w:rPr>
          <w:rFonts w:hint="eastAsia" w:ascii="仿宋_GB2312" w:hAnsi="宋体" w:eastAsia="仿宋_GB2312"/>
          <w:sz w:val="32"/>
          <w:szCs w:val="32"/>
        </w:rPr>
        <w:t>建设路司法所、优越路司法所、五一路司法所、东安路司法所、东环路司法所、东工人镇司法所、光华路司法所、鸿鹰司法所、北环路司法所、东高皇司法所、蒲城司法所、申楼司法所</w:t>
      </w:r>
      <w:r>
        <w:rPr>
          <w:rFonts w:ascii="仿宋_GB2312" w:hAnsi="宋体" w:eastAsia="仿宋_GB2312"/>
          <w:sz w:val="32"/>
          <w:szCs w:val="32"/>
        </w:rPr>
        <w:t>)</w:t>
      </w:r>
      <w:r>
        <w:rPr>
          <w:rFonts w:hint="eastAsia" w:ascii="仿宋" w:hAnsi="仿宋" w:eastAsia="仿宋" w:cs="仿宋"/>
          <w:sz w:val="32"/>
          <w:szCs w:val="32"/>
        </w:rPr>
        <w:t>。</w:t>
      </w:r>
    </w:p>
    <w:p>
      <w:pPr>
        <w:spacing w:line="580" w:lineRule="exact"/>
        <w:rPr>
          <w:rFonts w:ascii="宋体" w:hAnsi="宋体" w:cs="宋体"/>
          <w:b/>
          <w:bCs/>
          <w:kern w:val="0"/>
          <w:sz w:val="32"/>
          <w:szCs w:val="32"/>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第二部分</w:t>
      </w:r>
    </w:p>
    <w:p>
      <w:pPr>
        <w:spacing w:line="580" w:lineRule="exact"/>
        <w:ind w:firstLine="643" w:firstLineChars="200"/>
        <w:rPr>
          <w:rFonts w:ascii="宋体" w:cs="宋体"/>
          <w:b/>
          <w:bCs/>
          <w:kern w:val="0"/>
          <w:sz w:val="32"/>
          <w:szCs w:val="32"/>
        </w:rPr>
      </w:pPr>
      <w:r>
        <w:rPr>
          <w:rFonts w:hint="eastAsia" w:ascii="宋体" w:hAnsi="宋体" w:cs="宋体"/>
          <w:b/>
          <w:bCs/>
          <w:kern w:val="0"/>
          <w:sz w:val="32"/>
          <w:szCs w:val="32"/>
        </w:rPr>
        <w:t>平顶山市卫东区司法局</w:t>
      </w:r>
      <w:r>
        <w:rPr>
          <w:rFonts w:ascii="宋体" w:hAnsi="宋体" w:cs="宋体"/>
          <w:b/>
          <w:bCs/>
          <w:kern w:val="0"/>
          <w:sz w:val="32"/>
          <w:szCs w:val="32"/>
        </w:rPr>
        <w:t>2022</w:t>
      </w:r>
      <w:r>
        <w:rPr>
          <w:rFonts w:hint="eastAsia" w:ascii="宋体" w:hAnsi="宋体" w:cs="宋体"/>
          <w:b/>
          <w:bCs/>
          <w:kern w:val="0"/>
          <w:sz w:val="32"/>
          <w:szCs w:val="32"/>
        </w:rPr>
        <w:t>年部门预算情况说明</w:t>
      </w:r>
    </w:p>
    <w:p>
      <w:pPr>
        <w:spacing w:line="580" w:lineRule="exact"/>
        <w:ind w:firstLine="703" w:firstLineChars="250"/>
        <w:rPr>
          <w:rFonts w:ascii="宋体" w:cs="宋体"/>
          <w:b/>
          <w:bCs/>
          <w:color w:val="0000FF"/>
          <w:kern w:val="0"/>
          <w:sz w:val="28"/>
          <w:szCs w:val="28"/>
        </w:rPr>
      </w:pPr>
    </w:p>
    <w:p>
      <w:pPr>
        <w:spacing w:line="580" w:lineRule="exact"/>
        <w:ind w:firstLine="643" w:firstLineChars="200"/>
        <w:rPr>
          <w:rFonts w:ascii="宋体" w:cs="宋体"/>
          <w:b/>
          <w:kern w:val="0"/>
          <w:sz w:val="32"/>
          <w:szCs w:val="32"/>
        </w:rPr>
      </w:pPr>
      <w:r>
        <w:rPr>
          <w:rFonts w:hint="eastAsia" w:ascii="宋体" w:hAnsi="宋体" w:cs="宋体"/>
          <w:b/>
          <w:kern w:val="0"/>
          <w:sz w:val="32"/>
          <w:szCs w:val="32"/>
        </w:rPr>
        <w:t>一、收入支出预算总体情况说明</w:t>
      </w:r>
    </w:p>
    <w:p>
      <w:pPr>
        <w:spacing w:line="580" w:lineRule="exact"/>
        <w:ind w:firstLine="640" w:firstLineChars="200"/>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年收、支总计均为</w:t>
      </w:r>
      <w:r>
        <w:rPr>
          <w:rFonts w:ascii="仿宋" w:hAnsi="仿宋" w:eastAsia="仿宋" w:cs="仿宋"/>
          <w:sz w:val="32"/>
          <w:szCs w:val="32"/>
        </w:rPr>
        <w:t>1002.84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与上年相比，收、支总计均增加227.42万元</w:t>
      </w:r>
      <w:r>
        <w:rPr>
          <w:rFonts w:ascii="仿宋" w:hAnsi="仿宋" w:eastAsia="仿宋" w:cs="仿宋"/>
          <w:sz w:val="32"/>
          <w:szCs w:val="32"/>
        </w:rPr>
        <w:t xml:space="preserve">, </w:t>
      </w:r>
      <w:r>
        <w:rPr>
          <w:rFonts w:hint="eastAsia" w:ascii="仿宋" w:hAnsi="仿宋" w:eastAsia="仿宋" w:cs="仿宋"/>
          <w:sz w:val="32"/>
          <w:szCs w:val="32"/>
        </w:rPr>
        <w:t>增长29.33</w:t>
      </w:r>
      <w:r>
        <w:rPr>
          <w:rFonts w:ascii="仿宋" w:hAnsi="仿宋" w:eastAsia="仿宋" w:cs="仿宋"/>
          <w:sz w:val="32"/>
          <w:szCs w:val="32"/>
        </w:rPr>
        <w:t>%</w:t>
      </w:r>
      <w:r>
        <w:rPr>
          <w:rFonts w:hint="eastAsia" w:ascii="仿宋" w:hAnsi="仿宋" w:eastAsia="仿宋" w:cs="仿宋"/>
          <w:sz w:val="32"/>
          <w:szCs w:val="32"/>
        </w:rPr>
        <w:t>。主要原因：专项经费增加。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年收入预算</w:t>
      </w:r>
      <w:r>
        <w:rPr>
          <w:rFonts w:ascii="仿宋" w:hAnsi="仿宋" w:eastAsia="仿宋" w:cs="仿宋"/>
          <w:sz w:val="32"/>
          <w:szCs w:val="32"/>
        </w:rPr>
        <w:t>1002.84</w:t>
      </w:r>
      <w:r>
        <w:rPr>
          <w:rFonts w:hint="eastAsia" w:ascii="仿宋" w:hAnsi="仿宋" w:eastAsia="仿宋" w:cs="仿宋"/>
          <w:sz w:val="32"/>
          <w:szCs w:val="32"/>
        </w:rPr>
        <w:t>万元，其中：一般公共预算</w:t>
      </w:r>
      <w:r>
        <w:rPr>
          <w:rFonts w:ascii="仿宋" w:hAnsi="仿宋" w:eastAsia="仿宋" w:cs="仿宋"/>
          <w:sz w:val="32"/>
          <w:szCs w:val="32"/>
        </w:rPr>
        <w:t>1002.84</w:t>
      </w:r>
      <w:r>
        <w:rPr>
          <w:rFonts w:hint="eastAsia" w:ascii="仿宋" w:hAnsi="仿宋" w:eastAsia="仿宋" w:cs="仿宋"/>
          <w:sz w:val="32"/>
          <w:szCs w:val="32"/>
        </w:rPr>
        <w:t>万元。</w:t>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三、支出预算总体情况说明</w:t>
      </w:r>
      <w:r>
        <w:rPr>
          <w:rFonts w:hint="eastAsia" w:ascii="宋体" w:hAnsi="宋体" w:cs="仿宋"/>
          <w:b/>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年支出预算</w:t>
      </w:r>
      <w:r>
        <w:rPr>
          <w:rFonts w:ascii="仿宋" w:hAnsi="仿宋" w:eastAsia="仿宋" w:cs="仿宋"/>
          <w:sz w:val="32"/>
          <w:szCs w:val="32"/>
        </w:rPr>
        <w:t>1002.84</w:t>
      </w:r>
      <w:r>
        <w:rPr>
          <w:rFonts w:hint="eastAsia" w:ascii="仿宋" w:hAnsi="仿宋" w:eastAsia="仿宋" w:cs="仿宋"/>
          <w:sz w:val="32"/>
          <w:szCs w:val="32"/>
        </w:rPr>
        <w:t>万元，按用途划分为：基本支出451.63万元</w:t>
      </w:r>
      <w:r>
        <w:rPr>
          <w:rFonts w:ascii="仿宋" w:hAnsi="仿宋" w:eastAsia="仿宋" w:cs="仿宋"/>
          <w:sz w:val="32"/>
          <w:szCs w:val="32"/>
        </w:rPr>
        <w:t>,</w:t>
      </w:r>
      <w:r>
        <w:rPr>
          <w:rFonts w:hint="eastAsia" w:ascii="仿宋" w:hAnsi="仿宋" w:eastAsia="仿宋" w:cs="仿宋"/>
          <w:sz w:val="32"/>
          <w:szCs w:val="32"/>
        </w:rPr>
        <w:t>占45.03</w:t>
      </w:r>
      <w:r>
        <w:rPr>
          <w:rFonts w:ascii="仿宋" w:hAnsi="仿宋" w:eastAsia="仿宋" w:cs="仿宋"/>
          <w:sz w:val="32"/>
          <w:szCs w:val="32"/>
        </w:rPr>
        <w:t>%</w:t>
      </w:r>
      <w:r>
        <w:rPr>
          <w:rFonts w:hint="eastAsia" w:ascii="仿宋" w:hAnsi="仿宋" w:eastAsia="仿宋" w:cs="仿宋"/>
          <w:sz w:val="32"/>
          <w:szCs w:val="32"/>
        </w:rPr>
        <w:t>；项目支出551.21万元，占54.97</w:t>
      </w:r>
      <w:r>
        <w:rPr>
          <w:rFonts w:ascii="仿宋" w:hAnsi="仿宋" w:eastAsia="仿宋" w:cs="仿宋"/>
          <w:sz w:val="32"/>
          <w:szCs w:val="32"/>
        </w:rPr>
        <w:t xml:space="preserve">% </w:t>
      </w:r>
      <w:r>
        <w:rPr>
          <w:rFonts w:hint="eastAsia" w:ascii="仿宋" w:hAnsi="仿宋" w:eastAsia="仿宋" w:cs="仿宋"/>
          <w:sz w:val="32"/>
          <w:szCs w:val="32"/>
        </w:rPr>
        <w:t>。</w:t>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0" w:firstLineChars="200"/>
        <w:rPr>
          <w:rFonts w:ascii="仿宋" w:hAnsi="仿宋" w:eastAsia="仿宋" w:cs="仿宋"/>
          <w:sz w:val="32"/>
          <w:szCs w:val="32"/>
          <w:highlight w:val="yellow"/>
        </w:rPr>
      </w:pPr>
      <w:r>
        <w:rPr>
          <w:rFonts w:ascii="仿宋" w:hAnsi="仿宋" w:eastAsia="仿宋" w:cs="仿宋"/>
          <w:sz w:val="32"/>
          <w:szCs w:val="32"/>
        </w:rPr>
        <w:t>2022</w:t>
      </w:r>
      <w:r>
        <w:rPr>
          <w:rFonts w:hint="eastAsia" w:ascii="仿宋" w:hAnsi="仿宋" w:eastAsia="仿宋" w:cs="仿宋"/>
          <w:sz w:val="32"/>
          <w:szCs w:val="32"/>
        </w:rPr>
        <w:t>年一般公共预算收支预算</w:t>
      </w:r>
      <w:r>
        <w:rPr>
          <w:rFonts w:ascii="仿宋" w:hAnsi="仿宋" w:eastAsia="仿宋" w:cs="仿宋"/>
          <w:sz w:val="32"/>
          <w:szCs w:val="32"/>
        </w:rPr>
        <w:t>1002.84</w:t>
      </w:r>
      <w:r>
        <w:rPr>
          <w:rFonts w:hint="eastAsia" w:ascii="仿宋" w:hAnsi="仿宋" w:eastAsia="仿宋" w:cs="仿宋"/>
          <w:sz w:val="32"/>
          <w:szCs w:val="32"/>
        </w:rPr>
        <w:t>万元，与上年相比，一般公共预算收支预算增加227.42万元</w:t>
      </w:r>
      <w:r>
        <w:rPr>
          <w:rFonts w:ascii="仿宋" w:hAnsi="仿宋" w:eastAsia="仿宋" w:cs="仿宋"/>
          <w:sz w:val="32"/>
          <w:szCs w:val="32"/>
        </w:rPr>
        <w:t xml:space="preserve">, </w:t>
      </w:r>
      <w:r>
        <w:rPr>
          <w:rFonts w:hint="eastAsia" w:ascii="仿宋" w:hAnsi="仿宋" w:eastAsia="仿宋" w:cs="仿宋"/>
          <w:sz w:val="32"/>
          <w:szCs w:val="32"/>
        </w:rPr>
        <w:t>增长29.33</w:t>
      </w:r>
      <w:r>
        <w:rPr>
          <w:rFonts w:ascii="仿宋" w:hAnsi="仿宋" w:eastAsia="仿宋" w:cs="仿宋"/>
          <w:sz w:val="32"/>
          <w:szCs w:val="32"/>
        </w:rPr>
        <w:t>%</w:t>
      </w:r>
      <w:r>
        <w:rPr>
          <w:rFonts w:hint="eastAsia" w:ascii="仿宋" w:hAnsi="仿宋" w:eastAsia="仿宋" w:cs="仿宋"/>
          <w:sz w:val="32"/>
          <w:szCs w:val="32"/>
        </w:rPr>
        <w:t>。主要原因：专项经费增加。</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年一般公共预算支出年初预算为</w:t>
      </w:r>
      <w:r>
        <w:rPr>
          <w:rFonts w:ascii="仿宋" w:hAnsi="仿宋" w:eastAsia="仿宋" w:cs="仿宋"/>
          <w:sz w:val="32"/>
          <w:szCs w:val="32"/>
        </w:rPr>
        <w:t>1002.84</w:t>
      </w:r>
      <w:r>
        <w:rPr>
          <w:rFonts w:hint="eastAsia" w:ascii="仿宋" w:hAnsi="仿宋" w:eastAsia="仿宋" w:cs="仿宋"/>
          <w:sz w:val="32"/>
          <w:szCs w:val="32"/>
        </w:rPr>
        <w:t>万元。主要用于以下方面：</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年一般公共预算支出年初预算为</w:t>
      </w:r>
      <w:r>
        <w:rPr>
          <w:rFonts w:ascii="仿宋" w:hAnsi="仿宋" w:eastAsia="仿宋" w:cs="仿宋"/>
          <w:sz w:val="32"/>
          <w:szCs w:val="32"/>
        </w:rPr>
        <w:t>1002.84</w:t>
      </w:r>
      <w:r>
        <w:rPr>
          <w:rFonts w:hint="eastAsia" w:ascii="仿宋" w:hAnsi="仿宋" w:eastAsia="仿宋" w:cs="仿宋"/>
          <w:sz w:val="32"/>
          <w:szCs w:val="32"/>
        </w:rPr>
        <w:t>万元。主要用于以下方面：公共安全（类）支出905.55万元，占90.30</w:t>
      </w:r>
      <w:r>
        <w:rPr>
          <w:rFonts w:ascii="仿宋" w:hAnsi="仿宋" w:eastAsia="仿宋" w:cs="仿宋"/>
          <w:sz w:val="32"/>
          <w:szCs w:val="32"/>
        </w:rPr>
        <w:t>%</w:t>
      </w:r>
      <w:r>
        <w:rPr>
          <w:rFonts w:hint="eastAsia" w:ascii="仿宋" w:hAnsi="仿宋" w:eastAsia="仿宋" w:cs="仿宋"/>
          <w:sz w:val="32"/>
          <w:szCs w:val="32"/>
        </w:rPr>
        <w:t>；社会保障和就业（类）支出45.22万元，占4.51</w:t>
      </w:r>
      <w:r>
        <w:rPr>
          <w:rFonts w:ascii="仿宋" w:hAnsi="仿宋" w:eastAsia="仿宋" w:cs="仿宋"/>
          <w:sz w:val="32"/>
          <w:szCs w:val="32"/>
        </w:rPr>
        <w:t>%</w:t>
      </w:r>
      <w:r>
        <w:rPr>
          <w:rFonts w:hint="eastAsia" w:ascii="仿宋" w:hAnsi="仿宋" w:eastAsia="仿宋" w:cs="仿宋"/>
          <w:sz w:val="32"/>
          <w:szCs w:val="32"/>
        </w:rPr>
        <w:t>；卫生健康（类）支出20.18万元，占2.01</w:t>
      </w:r>
      <w:r>
        <w:rPr>
          <w:rFonts w:ascii="仿宋" w:hAnsi="仿宋" w:eastAsia="仿宋" w:cs="仿宋"/>
          <w:sz w:val="32"/>
          <w:szCs w:val="32"/>
        </w:rPr>
        <w:t>%</w:t>
      </w:r>
      <w:r>
        <w:rPr>
          <w:rFonts w:hint="eastAsia" w:ascii="仿宋" w:hAnsi="仿宋" w:eastAsia="仿宋" w:cs="仿宋"/>
          <w:sz w:val="32"/>
          <w:szCs w:val="32"/>
        </w:rPr>
        <w:t>；住房保障（类）支出31.89万元，占3.18</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snapToGrid w:val="0"/>
        <w:spacing w:line="580" w:lineRule="exact"/>
        <w:ind w:firstLine="640" w:firstLineChars="200"/>
        <w:rPr>
          <w:rFonts w:ascii="仿宋_GB2312" w:hAnsi="仿宋" w:eastAsia="仿宋_GB2312" w:cs="仿宋"/>
          <w:sz w:val="32"/>
          <w:szCs w:val="32"/>
        </w:rPr>
      </w:pPr>
      <w:r>
        <w:rPr>
          <w:rFonts w:ascii="仿宋" w:hAnsi="仿宋" w:eastAsia="仿宋" w:cs="仿宋"/>
          <w:sz w:val="32"/>
          <w:szCs w:val="32"/>
        </w:rPr>
        <w:t>2022</w:t>
      </w:r>
      <w:r>
        <w:rPr>
          <w:rFonts w:hint="eastAsia" w:ascii="仿宋" w:hAnsi="仿宋" w:eastAsia="仿宋" w:cs="仿宋"/>
          <w:sz w:val="32"/>
          <w:szCs w:val="32"/>
        </w:rPr>
        <w:t>年预算支出</w:t>
      </w:r>
      <w:r>
        <w:rPr>
          <w:rFonts w:ascii="仿宋" w:hAnsi="仿宋" w:eastAsia="仿宋" w:cs="仿宋"/>
          <w:sz w:val="32"/>
          <w:szCs w:val="32"/>
        </w:rPr>
        <w:t>1002.84</w:t>
      </w:r>
      <w:r>
        <w:rPr>
          <w:rFonts w:hint="eastAsia" w:ascii="仿宋" w:hAnsi="仿宋" w:eastAsia="仿宋" w:cs="仿宋"/>
          <w:sz w:val="32"/>
          <w:szCs w:val="32"/>
        </w:rPr>
        <w:t>万元。其中：基本支出451.63万元，主要包括：基本工资、津贴补贴、奖金、绩效工资、机关事业单位基本养老保险缴费、职业年金缴费、医疗保险缴费、其他社会保障缴费、住房公积金、其他工资福利支出、退休费、其他对个人和家庭的补助支出；项目支出551.21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年“三公”经费公共预算2.6万元。</w:t>
      </w:r>
      <w:r>
        <w:rPr>
          <w:rFonts w:ascii="仿宋" w:hAnsi="仿宋" w:eastAsia="仿宋" w:cs="仿宋"/>
          <w:sz w:val="32"/>
          <w:szCs w:val="32"/>
        </w:rPr>
        <w:t>2022</w:t>
      </w:r>
      <w:r>
        <w:rPr>
          <w:rFonts w:hint="eastAsia" w:ascii="仿宋" w:hAnsi="仿宋" w:eastAsia="仿宋" w:cs="仿宋"/>
          <w:sz w:val="32"/>
          <w:szCs w:val="32"/>
        </w:rPr>
        <w:t>年“三公”经费支出预算数比上年增加</w:t>
      </w:r>
      <w:r>
        <w:rPr>
          <w:rFonts w:ascii="仿宋" w:hAnsi="仿宋" w:eastAsia="仿宋" w:cs="仿宋"/>
          <w:sz w:val="32"/>
          <w:szCs w:val="32"/>
        </w:rPr>
        <w:t>0.</w:t>
      </w:r>
      <w:r>
        <w:rPr>
          <w:rFonts w:hint="eastAsia" w:ascii="仿宋" w:hAnsi="仿宋" w:eastAsia="仿宋" w:cs="仿宋"/>
          <w:sz w:val="32"/>
          <w:szCs w:val="32"/>
        </w:rPr>
        <w:t>5万元，主要原因是增加了公务接待费预算资金，其中：</w:t>
      </w:r>
      <w:r>
        <w:rPr>
          <w:rFonts w:ascii="仿宋" w:hAnsi="仿宋" w:eastAsia="仿宋" w:cs="仿宋"/>
          <w:sz w:val="32"/>
          <w:szCs w:val="32"/>
        </w:rPr>
        <w:tab/>
      </w:r>
      <w:r>
        <w:rPr>
          <w:rFonts w:ascii="仿宋" w:hAnsi="仿宋" w:eastAsia="仿宋" w:cs="仿宋"/>
          <w:sz w:val="32"/>
          <w:szCs w:val="32"/>
        </w:rPr>
        <w:tab/>
      </w:r>
    </w:p>
    <w:p>
      <w:pPr>
        <w:numPr>
          <w:ilvl w:val="0"/>
          <w:numId w:val="1"/>
        </w:numPr>
        <w:snapToGrid w:val="0"/>
        <w:spacing w:line="580" w:lineRule="exact"/>
        <w:ind w:firstLine="643" w:firstLineChars="200"/>
        <w:rPr>
          <w:rFonts w:ascii="仿宋_GB2312" w:hAnsi="仿宋" w:eastAsia="仿宋_GB2312" w:cs="仿宋"/>
          <w:sz w:val="32"/>
          <w:szCs w:val="32"/>
        </w:rPr>
      </w:pPr>
      <w:r>
        <w:rPr>
          <w:rFonts w:hint="eastAsia" w:ascii="仿宋" w:hAnsi="仿宋" w:eastAsia="仿宋" w:cs="仿宋"/>
          <w:b/>
          <w:kern w:val="0"/>
          <w:sz w:val="32"/>
          <w:szCs w:val="32"/>
        </w:rPr>
        <w:t>因公出国（境）费</w:t>
      </w:r>
      <w:r>
        <w:rPr>
          <w:rFonts w:hint="eastAsia" w:ascii="仿宋" w:hAnsi="仿宋" w:eastAsia="仿宋" w:cs="仿宋"/>
          <w:sz w:val="32"/>
          <w:szCs w:val="32"/>
        </w:rPr>
        <w:t>预算0万元，预算数与上年持平。预</w:t>
      </w:r>
      <w:r>
        <w:rPr>
          <w:rFonts w:hint="eastAsia" w:ascii="仿宋_GB2312" w:hAnsi="仿宋" w:eastAsia="仿宋_GB2312" w:cs="仿宋"/>
          <w:sz w:val="32"/>
          <w:szCs w:val="32"/>
        </w:rPr>
        <w:t>算数与</w:t>
      </w:r>
      <w:r>
        <w:rPr>
          <w:rFonts w:ascii="仿宋_GB2312" w:hAnsi="仿宋" w:eastAsia="仿宋_GB2312" w:cs="仿宋"/>
          <w:sz w:val="32"/>
          <w:szCs w:val="32"/>
        </w:rPr>
        <w:t xml:space="preserve"> 2020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2022</w:t>
      </w:r>
      <w:r>
        <w:rPr>
          <w:rFonts w:hint="eastAsia" w:ascii="仿宋_GB2312" w:hAnsi="仿宋" w:eastAsia="仿宋_GB2312" w:cs="仿宋"/>
          <w:sz w:val="32"/>
          <w:szCs w:val="32"/>
        </w:rPr>
        <w:t>年无因公出国境任务。</w:t>
      </w:r>
    </w:p>
    <w:p>
      <w:pPr>
        <w:snapToGrid w:val="0"/>
        <w:spacing w:line="580" w:lineRule="exact"/>
        <w:ind w:firstLine="643" w:firstLineChars="200"/>
        <w:rPr>
          <w:rFonts w:ascii="仿宋" w:hAnsi="仿宋" w:eastAsia="仿宋" w:cs="仿宋"/>
          <w:sz w:val="32"/>
          <w:szCs w:val="32"/>
        </w:rPr>
      </w:pP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预算0万元，与上年相比减少1.3万元，占“三公”经费总额的0</w:t>
      </w:r>
      <w:r>
        <w:rPr>
          <w:rFonts w:ascii="仿宋" w:hAnsi="仿宋" w:eastAsia="仿宋" w:cs="仿宋"/>
          <w:sz w:val="32"/>
          <w:szCs w:val="32"/>
        </w:rPr>
        <w:t>%</w:t>
      </w:r>
      <w:r>
        <w:rPr>
          <w:rFonts w:hint="eastAsia" w:ascii="仿宋" w:hAnsi="仿宋" w:eastAsia="仿宋" w:cs="仿宋"/>
          <w:sz w:val="32"/>
          <w:szCs w:val="32"/>
        </w:rPr>
        <w:t>。其中，公务用车运行费0万元，与上年相比减少1.3万元，占“三公”经费总额的0</w:t>
      </w:r>
      <w:r>
        <w:rPr>
          <w:rFonts w:ascii="仿宋" w:hAnsi="仿宋" w:eastAsia="仿宋" w:cs="仿宋"/>
          <w:sz w:val="32"/>
          <w:szCs w:val="32"/>
        </w:rPr>
        <w:t>%</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snapToGrid w:val="0"/>
        <w:spacing w:line="580" w:lineRule="exact"/>
        <w:ind w:firstLine="643" w:firstLineChars="200"/>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预算2.6万元，预算数比上年增加1.8万元占“三公”经费总额的100</w:t>
      </w:r>
      <w:r>
        <w:rPr>
          <w:rFonts w:ascii="仿宋" w:hAnsi="仿宋" w:eastAsia="仿宋" w:cs="仿宋"/>
          <w:sz w:val="32"/>
          <w:szCs w:val="32"/>
        </w:rPr>
        <w:t>%</w:t>
      </w:r>
      <w:r>
        <w:rPr>
          <w:rFonts w:hint="eastAsia" w:ascii="仿宋" w:hAnsi="仿宋" w:eastAsia="仿宋" w:cs="仿宋"/>
          <w:sz w:val="32"/>
          <w:szCs w:val="32"/>
        </w:rPr>
        <w:t>。主要原因是开展专项司法业务公务接待费增加。</w:t>
      </w:r>
      <w:r>
        <w:rPr>
          <w:rFonts w:ascii="仿宋" w:hAnsi="仿宋" w:eastAsia="仿宋" w:cs="仿宋"/>
          <w:sz w:val="32"/>
          <w:szCs w:val="32"/>
        </w:rPr>
        <w:tab/>
      </w:r>
    </w:p>
    <w:p>
      <w:pPr>
        <w:snapToGrid w:val="0"/>
        <w:spacing w:line="580" w:lineRule="exact"/>
        <w:ind w:firstLine="643" w:firstLineChars="200"/>
        <w:rPr>
          <w:rFonts w:ascii="宋体" w:hAnsi="宋体" w:cs="宋体"/>
          <w:b/>
          <w:bCs/>
          <w:sz w:val="32"/>
          <w:szCs w:val="32"/>
        </w:rPr>
      </w:pPr>
      <w:r>
        <w:rPr>
          <w:rFonts w:hint="eastAsia" w:ascii="宋体" w:hAnsi="宋体" w:cs="宋体"/>
          <w:b/>
          <w:bCs/>
          <w:sz w:val="32"/>
          <w:szCs w:val="32"/>
        </w:rPr>
        <w:t>八</w:t>
      </w:r>
      <w:r>
        <w:rPr>
          <w:rFonts w:hint="eastAsia" w:ascii="宋体" w:hAnsi="宋体" w:cs="宋体"/>
          <w:b/>
          <w:bCs/>
          <w:kern w:val="0"/>
          <w:sz w:val="32"/>
          <w:szCs w:val="32"/>
        </w:rPr>
        <w:t>、政府性基金预算支出预算情况说明</w:t>
      </w:r>
      <w:r>
        <w:rPr>
          <w:rFonts w:hint="eastAsia" w:ascii="宋体" w:hAnsi="宋体" w:cs="宋体"/>
          <w:b/>
          <w:bCs/>
          <w:sz w:val="32"/>
          <w:szCs w:val="32"/>
        </w:rPr>
        <w:tab/>
      </w:r>
      <w:r>
        <w:rPr>
          <w:rFonts w:hint="eastAsia" w:ascii="宋体" w:hAnsi="宋体" w:cs="宋体"/>
          <w:b/>
          <w:bCs/>
          <w:sz w:val="32"/>
          <w:szCs w:val="32"/>
        </w:rPr>
        <w:tab/>
      </w:r>
      <w:r>
        <w:rPr>
          <w:rFonts w:hint="eastAsia" w:ascii="宋体" w:hAnsi="宋体" w:cs="宋体"/>
          <w:b/>
          <w:bCs/>
          <w:sz w:val="32"/>
          <w:szCs w:val="32"/>
        </w:rPr>
        <w:tab/>
      </w:r>
      <w:r>
        <w:rPr>
          <w:rFonts w:hint="eastAsia" w:ascii="宋体" w:hAnsi="宋体" w:cs="宋体"/>
          <w:b/>
          <w:bCs/>
          <w:sz w:val="32"/>
          <w:szCs w:val="32"/>
        </w:rPr>
        <w:tab/>
      </w:r>
      <w:r>
        <w:rPr>
          <w:rFonts w:hint="eastAsia" w:ascii="宋体" w:hAnsi="宋体" w:cs="宋体"/>
          <w:b/>
          <w:bCs/>
          <w:sz w:val="32"/>
          <w:szCs w:val="32"/>
        </w:rPr>
        <w:tab/>
      </w:r>
      <w:r>
        <w:rPr>
          <w:rFonts w:hint="eastAsia" w:ascii="宋体" w:hAnsi="宋体" w:cs="宋体"/>
          <w:b/>
          <w:bCs/>
          <w:sz w:val="32"/>
          <w:szCs w:val="32"/>
        </w:rPr>
        <w:tab/>
      </w:r>
    </w:p>
    <w:p>
      <w:pPr>
        <w:snapToGrid w:val="0"/>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2022</w:t>
      </w:r>
      <w:r>
        <w:rPr>
          <w:rFonts w:hint="eastAsia" w:ascii="仿宋_GB2312" w:hAnsi="仿宋" w:eastAsia="仿宋_GB2312" w:cs="仿宋"/>
          <w:sz w:val="32"/>
          <w:szCs w:val="32"/>
        </w:rPr>
        <w:t>年政府性基金预算支出0万元，预算数与上年持平。</w:t>
      </w:r>
    </w:p>
    <w:p>
      <w:pPr>
        <w:snapToGrid w:val="0"/>
        <w:spacing w:line="580" w:lineRule="exact"/>
        <w:ind w:firstLine="643" w:firstLineChars="200"/>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3" w:firstLineChars="200"/>
        <w:rPr>
          <w:rFonts w:ascii="仿宋" w:hAnsi="仿宋" w:eastAsia="仿宋" w:cs="仿宋"/>
          <w:b/>
          <w:sz w:val="32"/>
          <w:szCs w:val="32"/>
        </w:rPr>
      </w:pPr>
      <w:r>
        <w:rPr>
          <w:rFonts w:hint="eastAsia" w:ascii="仿宋" w:hAnsi="仿宋" w:eastAsia="仿宋" w:cs="仿宋"/>
          <w:b/>
          <w:kern w:val="0"/>
          <w:sz w:val="32"/>
          <w:szCs w:val="32"/>
        </w:rPr>
        <w:t>（一）机关运行经费预算</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80" w:lineRule="exact"/>
        <w:ind w:firstLine="640" w:firstLineChars="200"/>
        <w:rPr>
          <w:rFonts w:ascii="仿宋" w:hAnsi="仿宋" w:eastAsia="仿宋" w:cs="仿宋"/>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年，机关运行经费支出预算</w:t>
      </w:r>
      <w:r>
        <w:rPr>
          <w:rFonts w:hint="eastAsia" w:ascii="仿宋" w:hAnsi="仿宋" w:eastAsia="仿宋" w:cs="仿宋"/>
          <w:sz w:val="32"/>
          <w:szCs w:val="32"/>
        </w:rPr>
        <w:t>10.91</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snapToGrid w:val="0"/>
        <w:spacing w:line="58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（二）政府采购支出情况</w:t>
      </w:r>
    </w:p>
    <w:p>
      <w:pPr>
        <w:pStyle w:val="4"/>
        <w:widowControl/>
        <w:spacing w:before="0" w:beforeAutospacing="0" w:after="0" w:afterAutospacing="0" w:line="580" w:lineRule="exact"/>
        <w:ind w:firstLine="640" w:firstLineChars="200"/>
        <w:jc w:val="both"/>
        <w:rPr>
          <w:rFonts w:ascii="仿宋_GB2312" w:hAnsi="仿宋" w:eastAsia="仿宋_GB2312" w:cs="仿宋"/>
          <w:sz w:val="32"/>
          <w:szCs w:val="32"/>
        </w:rPr>
      </w:pPr>
      <w:r>
        <w:rPr>
          <w:rFonts w:ascii="仿宋_GB2312" w:hAnsi="仿宋" w:eastAsia="仿宋_GB2312" w:cs="仿宋"/>
          <w:sz w:val="32"/>
          <w:szCs w:val="32"/>
        </w:rPr>
        <w:t>2022</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snapToGrid w:val="0"/>
        <w:spacing w:line="58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（三）绩效目标设置情况</w:t>
      </w:r>
    </w:p>
    <w:p>
      <w:pPr>
        <w:snapToGrid w:val="0"/>
        <w:spacing w:line="580" w:lineRule="exact"/>
        <w:ind w:firstLine="640" w:firstLineChars="200"/>
        <w:rPr>
          <w:rFonts w:ascii="仿宋_GB2312" w:hAnsi="宋体" w:eastAsia="仿宋_GB2312" w:cs="宋体"/>
          <w:bCs/>
          <w:kern w:val="0"/>
          <w:sz w:val="32"/>
          <w:szCs w:val="32"/>
        </w:rPr>
      </w:pP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8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（四）国有资产占用情况</w:t>
      </w:r>
    </w:p>
    <w:p>
      <w:pPr>
        <w:snapToGrid w:val="0"/>
        <w:spacing w:line="580" w:lineRule="exact"/>
        <w:ind w:firstLine="640" w:firstLineChars="200"/>
        <w:rPr>
          <w:rFonts w:ascii="仿宋_GB2312" w:hAnsi="宋体" w:eastAsia="仿宋_GB2312" w:cs="宋体"/>
          <w:bCs/>
          <w:kern w:val="0"/>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rPr>
        <w:t>1年期末，我单位共有车辆4辆，其中：一般公务用车0辆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一般执法执勤用车3辆、特种专业技术用车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辆，其他用车1辆；单价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numPr>
          <w:ilvl w:val="0"/>
          <w:numId w:val="2"/>
        </w:num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专项转移支付项目情况</w:t>
      </w:r>
    </w:p>
    <w:p>
      <w:pPr>
        <w:snapToGrid w:val="0"/>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2022</w:t>
      </w:r>
      <w:r>
        <w:rPr>
          <w:rFonts w:hint="eastAsia" w:ascii="仿宋_GB2312" w:hAnsi="宋体" w:eastAsia="仿宋_GB2312" w:cs="宋体"/>
          <w:bCs/>
          <w:kern w:val="0"/>
          <w:sz w:val="32"/>
          <w:szCs w:val="32"/>
        </w:rPr>
        <w:t>年没有专项转移支付项目。</w:t>
      </w:r>
    </w:p>
    <w:p>
      <w:pPr>
        <w:snapToGrid w:val="0"/>
        <w:spacing w:line="580" w:lineRule="exact"/>
        <w:ind w:firstLine="640" w:firstLineChars="200"/>
        <w:rPr>
          <w:rFonts w:ascii="仿宋_GB2312" w:hAnsi="宋体" w:eastAsia="仿宋_GB2312" w:cs="宋体"/>
          <w:bCs/>
          <w:kern w:val="0"/>
          <w:sz w:val="32"/>
          <w:szCs w:val="32"/>
        </w:rPr>
      </w:pPr>
    </w:p>
    <w:p>
      <w:pPr>
        <w:spacing w:line="580" w:lineRule="exact"/>
        <w:jc w:val="center"/>
        <w:rPr>
          <w:rFonts w:ascii="宋体" w:cs="宋体"/>
          <w:b/>
          <w:bCs/>
          <w:kern w:val="0"/>
          <w:sz w:val="32"/>
          <w:szCs w:val="32"/>
        </w:rPr>
      </w:pPr>
      <w:r>
        <w:rPr>
          <w:rFonts w:hint="eastAsia" w:ascii="宋体" w:hAnsi="宋体" w:cs="宋体"/>
          <w:b/>
          <w:bCs/>
          <w:kern w:val="0"/>
          <w:sz w:val="32"/>
          <w:szCs w:val="32"/>
        </w:rPr>
        <w:t>第三部分</w:t>
      </w:r>
    </w:p>
    <w:p>
      <w:pPr>
        <w:snapToGrid w:val="0"/>
        <w:spacing w:line="580" w:lineRule="exact"/>
        <w:jc w:val="center"/>
        <w:rPr>
          <w:rFonts w:ascii="宋体" w:cs="宋体"/>
          <w:b/>
          <w:bCs/>
          <w:color w:val="0000FF"/>
          <w:kern w:val="0"/>
          <w:sz w:val="28"/>
          <w:szCs w:val="28"/>
        </w:rPr>
      </w:pPr>
      <w:r>
        <w:rPr>
          <w:rFonts w:hint="eastAsia" w:ascii="宋体" w:hAnsi="宋体" w:cs="宋体"/>
          <w:b/>
          <w:bCs/>
          <w:kern w:val="0"/>
          <w:sz w:val="32"/>
          <w:szCs w:val="32"/>
        </w:rPr>
        <w:t>名词解释</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80" w:lineRule="exact"/>
        <w:ind w:firstLine="640" w:firstLineChars="200"/>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8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80" w:lineRule="exact"/>
        <w:rPr>
          <w:rFonts w:ascii="宋体" w:cs="宋体"/>
          <w:b/>
          <w:kern w:val="0"/>
          <w:sz w:val="32"/>
          <w:szCs w:val="32"/>
        </w:rPr>
      </w:pPr>
      <w:r>
        <w:rPr>
          <w:rFonts w:hint="eastAsia" w:ascii="宋体" w:hAnsi="宋体" w:cs="宋体"/>
          <w:b/>
          <w:kern w:val="0"/>
          <w:sz w:val="32"/>
          <w:szCs w:val="32"/>
        </w:rPr>
        <w:t>附件：</w:t>
      </w:r>
    </w:p>
    <w:p>
      <w:pPr>
        <w:spacing w:line="580" w:lineRule="exact"/>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平顶山市卫东区司法局</w:t>
      </w:r>
      <w:r>
        <w:rPr>
          <w:rFonts w:ascii="宋体" w:hAnsi="宋体" w:cs="宋体"/>
          <w:b/>
          <w:kern w:val="0"/>
          <w:sz w:val="32"/>
          <w:szCs w:val="32"/>
        </w:rPr>
        <w:t>2022</w:t>
      </w:r>
      <w:r>
        <w:rPr>
          <w:rFonts w:hint="eastAsia" w:ascii="宋体" w:hAnsi="宋体" w:cs="宋体"/>
          <w:b/>
          <w:kern w:val="0"/>
          <w:sz w:val="32"/>
          <w:szCs w:val="32"/>
        </w:rPr>
        <w:t>年部门预算表</w:t>
      </w:r>
    </w:p>
    <w:p>
      <w:pPr>
        <w:snapToGrid w:val="0"/>
        <w:spacing w:line="580" w:lineRule="exact"/>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8863A"/>
    <w:multiLevelType w:val="singleLevel"/>
    <w:tmpl w:val="EBC8863A"/>
    <w:lvl w:ilvl="0" w:tentative="0">
      <w:start w:val="5"/>
      <w:numFmt w:val="chineseCounting"/>
      <w:suff w:val="nothing"/>
      <w:lvlText w:val="（%1）"/>
      <w:lvlJc w:val="left"/>
      <w:rPr>
        <w:rFonts w:hint="eastAsia"/>
      </w:rPr>
    </w:lvl>
  </w:abstractNum>
  <w:abstractNum w:abstractNumId="1">
    <w:nsid w:val="1EEA0BB5"/>
    <w:multiLevelType w:val="singleLevel"/>
    <w:tmpl w:val="1EEA0B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ZlNmJhMDk1MWRiNTNlZWNmNGQwMDhiMDlkY2ZiOTkifQ=="/>
  </w:docVars>
  <w:rsids>
    <w:rsidRoot w:val="003B16DA"/>
    <w:rsid w:val="0001706D"/>
    <w:rsid w:val="001A4D1B"/>
    <w:rsid w:val="001F2B95"/>
    <w:rsid w:val="00240FEB"/>
    <w:rsid w:val="00310A18"/>
    <w:rsid w:val="0036206C"/>
    <w:rsid w:val="003B16DA"/>
    <w:rsid w:val="003C4A92"/>
    <w:rsid w:val="004D32B1"/>
    <w:rsid w:val="00505FB5"/>
    <w:rsid w:val="005C123E"/>
    <w:rsid w:val="005D2B09"/>
    <w:rsid w:val="00613A7D"/>
    <w:rsid w:val="006230B4"/>
    <w:rsid w:val="006645AE"/>
    <w:rsid w:val="00677B67"/>
    <w:rsid w:val="006A6BD5"/>
    <w:rsid w:val="006D3D71"/>
    <w:rsid w:val="007427FB"/>
    <w:rsid w:val="00761D3E"/>
    <w:rsid w:val="007620AA"/>
    <w:rsid w:val="007D0CDC"/>
    <w:rsid w:val="007E46DF"/>
    <w:rsid w:val="00806863"/>
    <w:rsid w:val="0085516A"/>
    <w:rsid w:val="009362F4"/>
    <w:rsid w:val="00967FB5"/>
    <w:rsid w:val="009A183C"/>
    <w:rsid w:val="00A90741"/>
    <w:rsid w:val="00B2765E"/>
    <w:rsid w:val="00B368DB"/>
    <w:rsid w:val="00B85D37"/>
    <w:rsid w:val="00C435E1"/>
    <w:rsid w:val="00C53552"/>
    <w:rsid w:val="00C825E5"/>
    <w:rsid w:val="00D43841"/>
    <w:rsid w:val="00D81CB3"/>
    <w:rsid w:val="00D84AF5"/>
    <w:rsid w:val="00DE1122"/>
    <w:rsid w:val="00E124D8"/>
    <w:rsid w:val="00EE2D63"/>
    <w:rsid w:val="00F65551"/>
    <w:rsid w:val="00F70DB4"/>
    <w:rsid w:val="04E07B22"/>
    <w:rsid w:val="2B8D1AE4"/>
    <w:rsid w:val="31FB6BAA"/>
    <w:rsid w:val="3BE126EF"/>
    <w:rsid w:val="42A700CE"/>
    <w:rsid w:val="432205B2"/>
    <w:rsid w:val="4F0C6892"/>
    <w:rsid w:val="4F1C0939"/>
    <w:rsid w:val="4F917BF8"/>
    <w:rsid w:val="59C46C14"/>
    <w:rsid w:val="62086C93"/>
    <w:rsid w:val="637B10AD"/>
    <w:rsid w:val="6EB73A29"/>
    <w:rsid w:val="773A03F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3763</Words>
  <Characters>4011</Characters>
  <Lines>30</Lines>
  <Paragraphs>8</Paragraphs>
  <TotalTime>17</TotalTime>
  <ScaleCrop>false</ScaleCrop>
  <LinksUpToDate>false</LinksUpToDate>
  <CharactersWithSpaces>4206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2021-04-21T02:24:00Z</dcterms:created>
  <dc:creator>翾1367974113</dc:creator>
  <cp:lastModifiedBy>HELLO</cp:lastModifiedBy>
  <dcterms:modified xsi:type="dcterms:W3CDTF">2022-06-28T09:51:51Z</dcterms:modified>
  <dc:title>mac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3C999EB4CB9C45289CBD229BA1C07066</vt:lpwstr>
  </property>
</Properties>
</file>