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平顶山市卫东区平马路小学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　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概况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二、部门预算单位构成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28" w:hanging="1928" w:hangingChars="6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第二部分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21" w:leftChars="762" w:hanging="321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情况说明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第三部分　名词解释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附件：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年部门预算表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部门收支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四、财政拨款收支总体情况表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一般公共预算基本支出表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十一、本级部门（单位）整体绩效目标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十二、部门预算项目绩效目标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60" w:leftChars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主要职能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正确贯彻执行党和国家的教育方针、政策、法规；维护学校的教学秩序，为学生创造良好的学习环境；积极稳妥地推进教育改革，按教育规律办事，不断提高教育质量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学校规模，设置学校管理机构，建立健全各项规章制度和岗位责任制；坚持教书育人，服务育人，环境育人方针，加强对学生的思想品德教育，使学生的德智体全面发展；抓好教师队伍建设，使每个教师都热心于教育事业；做好安全防范，保证学生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二、平顶山市卫东区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本部门预算仅包含本级预算，无所属单位预算。纳入平顶山市卫东区平马路小学2022年度部门预算编制范围的单位包括:平顶山市卫东区平马路小学本级。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平顶山市卫东区平马路小学内设20个科室。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平顶山市卫东区平马路小学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年部门预算情况说明   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部门收支预算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年收、支总计均为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1120.71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万元,与上年相比，收、支总计均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44.88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。其中基本支出减少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97.43万元，项目支出增加52.55。主要原因：人员减少，与上年统计口径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不同，同时预算随上级拨款进度随时调整。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部门收入预算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1120.71</w:t>
      </w:r>
      <w:r>
        <w:rPr>
          <w:rFonts w:hint="eastAsia" w:ascii="仿宋" w:hAnsi="仿宋" w:eastAsia="仿宋" w:cs="仿宋"/>
          <w:sz w:val="32"/>
          <w:szCs w:val="32"/>
        </w:rPr>
        <w:t>万元，其中：一般公共预算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1045.84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部门支出预算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预算1120.71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按用途划分为：基本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993.77</w:t>
      </w:r>
      <w:r>
        <w:rPr>
          <w:rFonts w:hint="eastAsia" w:ascii="仿宋" w:hAnsi="仿宋" w:eastAsia="仿宋" w:cs="仿宋"/>
          <w:sz w:val="32"/>
          <w:szCs w:val="32"/>
        </w:rPr>
        <w:t xml:space="preserve"> 万元,占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88.67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11.33</w:t>
      </w:r>
      <w:r>
        <w:rPr>
          <w:rFonts w:hint="eastAsia" w:ascii="仿宋" w:hAnsi="仿宋" w:eastAsia="仿宋" w:cs="仿宋"/>
          <w:sz w:val="32"/>
          <w:szCs w:val="32"/>
        </w:rPr>
        <w:t xml:space="preserve"> 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四、财政拨款收支总体情况说明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1120.71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万元，与上年相比，一般公共预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算收支预算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44.88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其中基本支出减少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97.43万元，项目支出增加52.55。主要原因：人员减少，与上年统计口径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不同，同时预算随上级拨款进度随时调整。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32"/>
        </w:rPr>
        <w:t>年一般公共预算支出年初预算为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1120.71</w:t>
      </w:r>
      <w:r>
        <w:rPr>
          <w:rFonts w:hint="eastAsia" w:ascii="仿宋_GB2312" w:hAnsi="宋体" w:eastAsia="仿宋_GB2312"/>
          <w:kern w:val="0"/>
          <w:sz w:val="32"/>
        </w:rPr>
        <w:t>万元。主要用于以下方面：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教育</w:t>
      </w:r>
      <w:r>
        <w:rPr>
          <w:rFonts w:hint="eastAsia" w:ascii="仿宋_GB2312" w:hAnsi="宋体" w:eastAsia="仿宋_GB2312"/>
          <w:kern w:val="0"/>
          <w:sz w:val="32"/>
        </w:rPr>
        <w:t>支出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902.98</w:t>
      </w:r>
      <w:r>
        <w:rPr>
          <w:rFonts w:hint="eastAsia" w:ascii="仿宋_GB2312" w:hAnsi="宋体" w:eastAsia="仿宋_GB2312"/>
          <w:kern w:val="0"/>
          <w:sz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80.57</w:t>
      </w:r>
      <w:r>
        <w:rPr>
          <w:rFonts w:hint="eastAsia" w:ascii="仿宋_GB2312" w:hAnsi="宋体" w:eastAsia="仿宋_GB2312"/>
          <w:kern w:val="0"/>
          <w:sz w:val="32"/>
        </w:rPr>
        <w:t>%；社会保障和就业（类）支出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107.28</w:t>
      </w:r>
      <w:r>
        <w:rPr>
          <w:rFonts w:hint="eastAsia" w:ascii="仿宋_GB2312" w:hAnsi="宋体" w:eastAsia="仿宋_GB2312"/>
          <w:kern w:val="0"/>
          <w:sz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9.5</w:t>
      </w:r>
      <w:r>
        <w:rPr>
          <w:rFonts w:hint="eastAsia" w:ascii="仿宋_GB2312" w:hAnsi="宋体" w:eastAsia="仿宋_GB2312"/>
          <w:kern w:val="0"/>
          <w:sz w:val="32"/>
        </w:rPr>
        <w:t>%；医疗卫生（类）支出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42.94</w:t>
      </w:r>
      <w:r>
        <w:rPr>
          <w:rFonts w:hint="eastAsia" w:ascii="仿宋_GB2312" w:hAnsi="宋体" w:eastAsia="仿宋_GB2312"/>
          <w:kern w:val="0"/>
          <w:sz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3.83</w:t>
      </w:r>
      <w:r>
        <w:rPr>
          <w:rFonts w:hint="eastAsia" w:ascii="仿宋_GB2312" w:hAnsi="宋体" w:eastAsia="仿宋_GB2312"/>
          <w:kern w:val="0"/>
          <w:sz w:val="32"/>
        </w:rPr>
        <w:t>%；住房保障（类）支出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67.51</w:t>
      </w:r>
      <w:r>
        <w:rPr>
          <w:rFonts w:hint="eastAsia" w:ascii="仿宋_GB2312" w:hAnsi="宋体" w:eastAsia="仿宋_GB2312"/>
          <w:kern w:val="0"/>
          <w:sz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6.1</w:t>
      </w:r>
      <w:r>
        <w:rPr>
          <w:rFonts w:hint="eastAsia" w:ascii="仿宋_GB2312" w:hAnsi="宋体" w:eastAsia="仿宋_GB2312"/>
          <w:kern w:val="0"/>
          <w:sz w:val="32"/>
        </w:rPr>
        <w:t>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支出经济分类汇总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情况说明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按照《财政部关于印发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支出经济分类科目改革方案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的通知》（财预[2017]98号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为适应改革要求，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我单位《支出经济分类汇总表》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2018年起从仅反映一般公共预算基本支出经济分类项目预算调整为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年预算支出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1120.71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其中：基本支出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993.77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126.94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万元，主要包括：办公费、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水电费、物业费等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40" w:hanging="643" w:hanging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一般公共预算“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三公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经费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年“三公”经费公共预算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（一）因公出国（境）费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预算0万元，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预算数与 202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 xml:space="preserve"> 年持平，主要原因是我单位202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年无因公出国境任务。</w:t>
      </w: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二）公务用车购置及运行费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预算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预算数比20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，占“三公”经费总额的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%。其中，公务用车运行费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万元，预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算数比20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，占“三公”经费总额的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 0万元，比上年增加0万元，占“三公”经费总额的0%，主要原因是落实公车改革政策、加强公务用车管理，严控公务用车支出。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（三）公务接待费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万元，预算数比上年增长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、政府性基金支出预算情况说明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40" w:hanging="640" w:hanging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年政府性基金预算支出0万元，预算数与上年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其他重要事项情况说明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公用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支出预算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11.25万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元，主要用于办公及印刷费、邮电费、差旅费、会议费、水、电、物业管理等运行维护费以及其他费用。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）政府采购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年，政府采购预算安排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万元，其中：政府采购货物预算0万元、政府采购工程预算0万元、政府采购服务预算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 。预算数与202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年相比减少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，我单位共有车辆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年没有专项转移支付项目。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34" w:firstLineChars="1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弥补当年收支缺口的资金。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费、公务用车购置及运行费和公务接待费。其中，因公出国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费反映单位公务出国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含外宾接待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八、机关运行经费：是指为保障行政单位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含参照公务员法管理的事业单位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</w:p>
    <w:p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附件：</w:t>
      </w:r>
    </w:p>
    <w:p>
      <w:pPr>
        <w:ind w:firstLine="1285" w:firstLineChars="4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平顶山市卫东区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平马路小学</w:t>
      </w:r>
      <w:r>
        <w:rPr>
          <w:rFonts w:hint="eastAsia"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color w:val="FF0000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38019"/>
    <w:multiLevelType w:val="singleLevel"/>
    <w:tmpl w:val="81F380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ECCA55"/>
    <w:multiLevelType w:val="singleLevel"/>
    <w:tmpl w:val="0EECCA55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jQyMGUwMjI5NjQwNjgyNGNjZTQ5OGQxNmMzN2IifQ=="/>
  </w:docVars>
  <w:rsids>
    <w:rsidRoot w:val="00000000"/>
    <w:rsid w:val="02C16F43"/>
    <w:rsid w:val="045A6E23"/>
    <w:rsid w:val="059C6346"/>
    <w:rsid w:val="07E56C96"/>
    <w:rsid w:val="151B0E59"/>
    <w:rsid w:val="1FFB18F6"/>
    <w:rsid w:val="2DF31C8A"/>
    <w:rsid w:val="2E576A87"/>
    <w:rsid w:val="32501F48"/>
    <w:rsid w:val="3AE70482"/>
    <w:rsid w:val="3D0D152A"/>
    <w:rsid w:val="3FAF6076"/>
    <w:rsid w:val="40322E51"/>
    <w:rsid w:val="40927752"/>
    <w:rsid w:val="4503109F"/>
    <w:rsid w:val="4FFC6C46"/>
    <w:rsid w:val="50764D75"/>
    <w:rsid w:val="5203488C"/>
    <w:rsid w:val="5714616F"/>
    <w:rsid w:val="573700A5"/>
    <w:rsid w:val="5F30632A"/>
    <w:rsid w:val="5F745E38"/>
    <w:rsid w:val="61715F12"/>
    <w:rsid w:val="62401BCB"/>
    <w:rsid w:val="666039BE"/>
    <w:rsid w:val="6BC87FFC"/>
    <w:rsid w:val="6C884A41"/>
    <w:rsid w:val="6D004D4A"/>
    <w:rsid w:val="6D656688"/>
    <w:rsid w:val="75F73724"/>
    <w:rsid w:val="76D76B53"/>
    <w:rsid w:val="78167A76"/>
    <w:rsid w:val="7BBA1959"/>
    <w:rsid w:val="7C154A57"/>
    <w:rsid w:val="7F380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3300</Words>
  <Characters>3641</Characters>
  <Lines>0</Lines>
  <Paragraphs>0</Paragraphs>
  <TotalTime>1</TotalTime>
  <ScaleCrop>false</ScaleCrop>
  <LinksUpToDate>false</LinksUpToDate>
  <CharactersWithSpaces>3928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Administrator</cp:lastModifiedBy>
  <cp:lastPrinted>2022-06-08T08:51:00Z</cp:lastPrinted>
  <dcterms:modified xsi:type="dcterms:W3CDTF">2022-06-24T03:27:44Z</dcterms:modified>
  <dc:title>mac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C14F096D3E974DF0AAE6BEF360B3294B</vt:lpwstr>
  </property>
</Properties>
</file>