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pacing w:before="0" w:after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平顶山市卫东区交通运输局</w:t>
      </w:r>
    </w:p>
    <w:p>
      <w:pPr>
        <w:wordWrap/>
        <w:adjustRightInd/>
        <w:spacing w:before="0" w:after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部门预算说明</w:t>
      </w:r>
    </w:p>
    <w:p>
      <w:pPr>
        <w:wordWrap/>
        <w:adjustRightInd/>
        <w:spacing w:before="0" w:after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widowControl w:val="0"/>
        <w:wordWrap/>
        <w:adjustRightInd/>
        <w:snapToGrid w:val="0"/>
        <w:spacing w:before="0" w:after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录</w:t>
      </w:r>
    </w:p>
    <w:p>
      <w:pPr>
        <w:wordWrap/>
        <w:adjustRightInd/>
        <w:spacing w:before="0" w:after="0" w:line="580" w:lineRule="exact"/>
        <w:ind w:right="0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第一部分　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平顶山市卫东区交通运输局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highlight w:val="none"/>
        </w:rPr>
        <w:t>概况</w:t>
      </w:r>
    </w:p>
    <w:p>
      <w:pPr>
        <w:wordWrap/>
        <w:adjustRightInd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一、主要职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能</w:t>
      </w:r>
    </w:p>
    <w:p>
      <w:pPr>
        <w:wordWrap/>
        <w:adjustRightInd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二、部门预算单位构成</w:t>
      </w:r>
      <w:r>
        <w:rPr>
          <w:rFonts w:hint="eastAsia" w:ascii="宋体" w:hAnsi="宋体" w:cs="宋体"/>
          <w:bCs/>
          <w:kern w:val="0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wordWrap/>
        <w:adjustRightInd/>
        <w:spacing w:before="0" w:after="0" w:line="580" w:lineRule="exact"/>
        <w:ind w:right="0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第二部分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平顶山市卫东区交通运输局202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年部门预算情况说明</w:t>
      </w:r>
    </w:p>
    <w:p>
      <w:pPr>
        <w:wordWrap/>
        <w:adjustRightInd/>
        <w:spacing w:before="0" w:after="0" w:line="580" w:lineRule="exact"/>
        <w:ind w:right="0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第三部分　名词解释</w:t>
      </w:r>
    </w:p>
    <w:p>
      <w:pPr>
        <w:wordWrap/>
        <w:adjustRightInd/>
        <w:spacing w:before="0" w:after="0" w:line="580" w:lineRule="exact"/>
        <w:ind w:right="0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附件：平顶山市卫东区交通运输局202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年部门预算表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一、部门收支预算表   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二、部门收入预算表   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三、部门支出预算表   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四、财政拨款收支预算表   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五、一般公共预算支出预算表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六、一般公共预算基本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支出表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七、支出经济分类汇总表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八、一般公共预算“三公”经费预算表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九、政府性基金支出预算表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项目支出预算表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十一、部门（单位）整体绩效目标表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十二、部门预算项目绩效目标汇总表</w:t>
      </w:r>
    </w:p>
    <w:p>
      <w:pPr>
        <w:wordWrap/>
        <w:adjustRightInd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</w:p>
    <w:p>
      <w:pPr>
        <w:wordWrap/>
        <w:adjustRightInd/>
        <w:spacing w:before="0" w:after="0" w:line="580" w:lineRule="exact"/>
        <w:ind w:right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第一部分</w:t>
      </w:r>
    </w:p>
    <w:p>
      <w:pPr>
        <w:wordWrap/>
        <w:adjustRightInd/>
        <w:spacing w:before="0" w:after="0" w:line="580" w:lineRule="exact"/>
        <w:ind w:right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平顶山市卫东区交通运输局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概况</w:t>
      </w:r>
    </w:p>
    <w:p>
      <w:pPr>
        <w:wordWrap/>
        <w:adjustRightInd/>
        <w:spacing w:before="0" w:after="0" w:line="580" w:lineRule="exact"/>
        <w:ind w:right="0" w:firstLine="3524" w:firstLineChars="1097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ordWrap/>
        <w:adjustRightInd/>
        <w:spacing w:before="0" w:after="0" w:line="580" w:lineRule="exact"/>
        <w:ind w:left="159" w:right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平顶山市卫东区交通运输局主要职能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贯彻执行国家、省、市有关交通运输工作的法律、 法规和方针、政策。承担涉及全区综合运输体系的规划协调工作，会同有关部门组织编制综合运输体系规划，指导全区交通运输规划和管理。 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组织拟定全区公路、水路等行业规划、政策和标准并监督实施。参与拟定全市地方铁路、民航产业发展规划。起草相关地方性法规、规章草案。参与拟定全市物流业发展战略和规划、有关政策和标准并监督实施。 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指导全区交通运输基础设施建设、管理和养护工 作。负责提出全区公路、水路及其设施建设的投资规模和方向、区财政性资金安排意见，经批准后负责监督实施。拟定全区公路、水路运输和工程建设、维护相关政策、制度并监督实施。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在市交通运输局的指导下做好全区公路、水路运输和建设等行业管理工作。 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指导全区公路、水路行业安全生产和应急管理工作。按规定参与协调国家重点物资和紧急客货运输，参与全区重点干线路网运行监测和协调工作。组织协调全区地方交通战备工作，承担国防动员有关工作。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指导全区交通运输信息化建设，检测分析运行情况，开展相关统计工作，发布有关信息。指导全区公路、水路行业环境保护和节能减排工作。 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制定全区交通运输行业科技政策并监督实施。组织重大科技开发，推动行业技术进步。 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负责全区交通运输行业对外经济技术合作、引进利用资金、开展交流与合作。 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承办区政府交办的其他事项。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二、平顶山市卫东区交通运输局预算单位构成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平顶山市卫东区交通运输局2021年部门预算包含本级预算和所属单位预算在内的汇总预算。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平顶山市卫东区交通运输局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2个内设机构：</w:t>
      </w:r>
      <w:r>
        <w:rPr>
          <w:rFonts w:hint="eastAsia" w:ascii="仿宋_GB2312" w:hAnsi="仿宋_GB2312" w:eastAsia="仿宋_GB2312" w:cs="仿宋_GB2312"/>
          <w:sz w:val="32"/>
          <w:szCs w:val="32"/>
        </w:rPr>
        <w:t>卫东区公路事业发展中心、卫东区道路运输服务中心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第二部分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平顶山市卫东区交通运输局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部门预算情况说明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一、收入支出预算总体情况说明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年收、支总计均为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6838.81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wordWrap/>
        <w:adjustRightInd/>
        <w:spacing w:before="0" w:after="0" w:line="580" w:lineRule="exact"/>
        <w:ind w:right="0" w:firstLine="803" w:firstLineChars="25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二、收入预算总体情况说明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022年收入预算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6838.81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万元，其中：财政拨款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6838.81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wordWrap/>
        <w:adjustRightInd/>
        <w:spacing w:before="0" w:after="0" w:line="580" w:lineRule="exact"/>
        <w:ind w:right="0" w:firstLine="803" w:firstLineChars="25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三、支出预算总体情况说明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预算6838.81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按用途划分为：基本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7.1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%；项目支出6347.31万元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四、财政拨款收入支出预算总体情况说明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6838.81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五、一般公共预算支出预算情况说明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6838.81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6347.31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92.9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一般公共服务（类）行政运行支出389.93万元，占5.7%；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社会保障和就业（类）支出49.92万元，占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0.7</w:t>
      </w:r>
      <w:r>
        <w:rPr>
          <w:rFonts w:hint="eastAsia" w:ascii="仿宋_GB2312" w:hAnsi="仿宋_GB2312" w:eastAsia="仿宋_GB2312" w:cs="仿宋_GB2312"/>
          <w:sz w:val="32"/>
          <w:szCs w:val="32"/>
        </w:rPr>
        <w:t>%；医疗卫生（类）支出20.09万元，占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0.29</w:t>
      </w:r>
      <w:r>
        <w:rPr>
          <w:rFonts w:hint="eastAsia" w:ascii="仿宋_GB2312" w:hAnsi="仿宋_GB2312" w:eastAsia="仿宋_GB2312" w:cs="仿宋_GB2312"/>
          <w:sz w:val="32"/>
          <w:szCs w:val="32"/>
        </w:rPr>
        <w:t>%；住房保障（类）支出31.55万元，占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0.46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六、支出预算经济分类情况说明  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按照《财政部关于印发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支出经济分类科目改革方案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的通知》（财预[2017]98号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要求，从2018年起全面实施支出经济分类科目改革，根据政府预算管理和部门预算管理的不同特点，分设部门预算支出经济分类科目和政府预算支出经济分类科目，两套科目之间保持对应关系。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为适应改革要求，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我单位《支出经济分类汇总表》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2018年起从仅反映一般公共预算基本支出经济分类项目预算调整为</w:t>
      </w:r>
      <w:r>
        <w:rPr>
          <w:rFonts w:hint="eastAsia" w:ascii="仿宋_GB2312" w:hAnsi="仿宋_GB2312" w:eastAsia="仿宋_GB2312" w:cs="仿宋_GB2312"/>
          <w:sz w:val="32"/>
          <w:szCs w:val="32"/>
        </w:rPr>
        <w:t>按两套经济分类科目分别反应不同资金来源的全部预算支出。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6838.81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基本支出491.50万元，主要包括：基本工资、津贴补贴、奖金、绩效工资、机关事业单位基本养老保险缴费、职业年金缴费、医疗保险缴费、其他社会保障缴费、住房公积金、其他工资福利支出、退休费、其他对个人和家庭的补助支出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6347.31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万元，主要包括：办公费、印刷费、邮电费、差旅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费、维修（护）费、租赁费、会议费、培训费、公务接待费、劳务费、福利费、公务用车运行维护费、其他交通费用、其他商品和服务支出、办公设备购置、信息网络及软件购置更新和其他支出。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snapToGrid w:val="0"/>
        <w:spacing w:line="560" w:lineRule="atLeas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32"/>
          <w:szCs w:val="32"/>
        </w:rPr>
        <w:t>七、支出经济分类汇总表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2022年支出经济分类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6838.81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万元，其中包括基本工资160.35万元，占比29.21%；退休费6.22万元，占比0.16%；机关养老保险42.06万元，占比6.34%；基本医疗保险20.09万元，占比3.02%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住房公积金31.55万元，占比4.76%，生活补助1.64万元，占比0.21%；其他对个人和家庭的补助0.38万元，占比0.09%；奖金85.92万元，占比8.41%；工会经费5.26万元，占比0.79%；公务接待费0.5万元，占比2.37%；办公费28.11万元，占比0.95%；其他商品和服务支出20万，占比0.95%。</w:t>
      </w:r>
    </w:p>
    <w:p>
      <w:pPr>
        <w:snapToGrid w:val="0"/>
        <w:spacing w:line="560" w:lineRule="atLeast"/>
        <w:ind w:firstLine="643" w:firstLineChars="200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八、一般公共预算“三公”经费预算表</w:t>
      </w:r>
    </w:p>
    <w:p>
      <w:pPr>
        <w:snapToGrid w:val="0"/>
        <w:spacing w:line="560" w:lineRule="atLeas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2022年“三公”经费公共预算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snapToGrid w:val="0"/>
        <w:spacing w:line="560" w:lineRule="atLeast"/>
        <w:ind w:firstLine="643" w:firstLineChars="200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32"/>
          <w:szCs w:val="32"/>
        </w:rPr>
        <w:t>九、政府性基金支出预算表情况说明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32"/>
          <w:szCs w:val="32"/>
        </w:rPr>
        <w:tab/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32"/>
          <w:szCs w:val="32"/>
        </w:rPr>
        <w:tab/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ab/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ab/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ab/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部门2022年政府性基金预算支出0万元。</w:t>
      </w:r>
    </w:p>
    <w:p>
      <w:pPr>
        <w:snapToGrid w:val="0"/>
        <w:spacing w:line="560" w:lineRule="atLeast"/>
        <w:ind w:firstLine="643" w:firstLineChars="200"/>
        <w:rPr>
          <w:rFonts w:cs="仿宋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十、项目支出预算表情况说明</w:t>
      </w:r>
    </w:p>
    <w:p>
      <w:pPr>
        <w:snapToGrid w:val="0"/>
        <w:spacing w:line="56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C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2022年项目支出预算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6347.32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万元。其中：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公路建设723.28万元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，占比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公路养护251.71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万元，占比3.9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20万元，占比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北环路扩宽改造项目4800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75.62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成品油税费转移支付106万元，占比1.67%，国三车淘汰补贴费用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99.3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%；上年结转工作经费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47.04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0.74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numPr>
          <w:ilvl w:val="0"/>
          <w:numId w:val="1"/>
        </w:numPr>
        <w:snapToGrid w:val="0"/>
        <w:spacing w:line="560" w:lineRule="atLeast"/>
        <w:ind w:left="708" w:leftChars="337"/>
        <w:rPr>
          <w:rFonts w:cs="仿宋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  <w:t>部门（单位）整体绩效目标表</w:t>
      </w:r>
    </w:p>
    <w:p>
      <w:pPr>
        <w:snapToGrid w:val="0"/>
        <w:spacing w:line="560" w:lineRule="atLeast"/>
        <w:ind w:firstLine="627" w:firstLineChars="196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单位整体绩效目标是为市场经营者提供经营条件和信息、储运、生活等有偿服务，确保环境卫生和消防安全规范化管理。年度主要任务主要有如下任务：1、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做好国三车淘汰补贴工作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，确保当年度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补偿款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及时到位。2、确保辖区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农村公路日常养护到位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改善居民人居环境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。3、负责辖区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农村公路建设项目，优化资源配置，改善居民出行条件。</w:t>
      </w:r>
    </w:p>
    <w:p>
      <w:pPr>
        <w:numPr>
          <w:ilvl w:val="0"/>
          <w:numId w:val="1"/>
        </w:numPr>
        <w:snapToGrid w:val="0"/>
        <w:spacing w:line="560" w:lineRule="atLeast"/>
        <w:ind w:left="708" w:leftChars="337"/>
        <w:rPr>
          <w:rFonts w:cs="仿宋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  <w:t>部门预算项目绩效目标汇总表情况说明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本年度预算项目绩效资金金额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1026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万元。主要分以下三大项目：1、工作经费：成本指标小于等于20万元（租赁）；产出指标&gt;90%以上；效益指标保障单位工作正常开展。市场满意度大于90%以上。2、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养护经费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：成本指标控制在小于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万元以内。产出指标确保市场维修及时，覆盖率达到100%以上，效益指标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改善人居环境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，市民满意度达到90%以上。3、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农村公路建设：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成本指标清欠工程款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946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万元，产出指标达到工程投入使用率大于95%以上，经费支付及时。效益指标为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利民出行，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满意度达到90%以上。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7"/>
        <w:widowControl/>
        <w:spacing w:beforeAutospacing="0" w:afterAutospacing="0" w:line="560" w:lineRule="atLeast"/>
        <w:jc w:val="center"/>
        <w:rPr>
          <w:rFonts w:cs="宋体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32"/>
          <w:szCs w:val="32"/>
        </w:rPr>
        <w:t>第三部分</w:t>
      </w:r>
    </w:p>
    <w:p>
      <w:pPr>
        <w:pStyle w:val="7"/>
        <w:widowControl/>
        <w:spacing w:beforeAutospacing="0" w:afterAutospacing="0" w:line="560" w:lineRule="atLeast"/>
        <w:jc w:val="center"/>
        <w:rPr>
          <w:rFonts w:cs="宋体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32"/>
          <w:szCs w:val="32"/>
        </w:rPr>
        <w:t>名词解释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一、财政拨款收入：是指省级财政当年拨付的资金。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二、事业收入：是指事业单位开展专业活动及辅助活动所取得的收入。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56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</w:p>
    <w:p>
      <w:pPr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ind w:firstLine="643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平顶山市卫东区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交通运输局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2022年部门预算表</w:t>
      </w:r>
    </w:p>
    <w:p>
      <w:pPr>
        <w:spacing w:line="560" w:lineRule="atLeast"/>
        <w:rPr>
          <w:color w:val="000000"/>
        </w:rPr>
      </w:pPr>
    </w:p>
    <w:p>
      <w:pPr>
        <w:spacing w:line="560" w:lineRule="atLeast"/>
        <w:rPr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6AA3EB"/>
    <w:multiLevelType w:val="singleLevel"/>
    <w:tmpl w:val="D96AA3EB"/>
    <w:lvl w:ilvl="0" w:tentative="0">
      <w:start w:val="1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zIwYmEwMGM2OTg4NTc4NzUwNGE0MjlhMTczMTEifQ=="/>
  </w:docVars>
  <w:rsids>
    <w:rsidRoot w:val="1AC90A68"/>
    <w:rsid w:val="00063E95"/>
    <w:rsid w:val="00072FEB"/>
    <w:rsid w:val="001C78D1"/>
    <w:rsid w:val="003B3135"/>
    <w:rsid w:val="0051004E"/>
    <w:rsid w:val="0079608A"/>
    <w:rsid w:val="00796452"/>
    <w:rsid w:val="007D39E4"/>
    <w:rsid w:val="00B226D5"/>
    <w:rsid w:val="00D73B40"/>
    <w:rsid w:val="020C6AF9"/>
    <w:rsid w:val="1AC90A68"/>
    <w:rsid w:val="1D590FB2"/>
    <w:rsid w:val="4A3D4EB9"/>
    <w:rsid w:val="531D0249"/>
    <w:rsid w:val="562A5340"/>
    <w:rsid w:val="61C5248A"/>
    <w:rsid w:val="7DA9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3183</Words>
  <Characters>3539</Characters>
  <Lines>4</Lines>
  <Paragraphs>6</Paragraphs>
  <TotalTime>46</TotalTime>
  <ScaleCrop>false</ScaleCrop>
  <LinksUpToDate>false</LinksUpToDate>
  <CharactersWithSpaces>3644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2022-06-08T12:53:00Z</dcterms:created>
  <dc:creator>Trust me</dc:creator>
  <cp:lastModifiedBy>Administrator</cp:lastModifiedBy>
  <cp:lastPrinted>2022-06-09T02:52:00Z</cp:lastPrinted>
  <dcterms:modified xsi:type="dcterms:W3CDTF">2022-06-27T02:11:39Z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94D52F4975F0467CB7655F45C3D859E8</vt:lpwstr>
  </property>
</Properties>
</file>