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年中共平顶山市卫东区委员会党校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3092" w:firstLineChars="7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第一部分　中共平顶山市卫东区委员会党校概况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一、主要职能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二、部门预算单位构成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28" w:hanging="1928" w:hangingChars="6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第二部分　中共平顶山市卫东区委员会党校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21" w:leftChars="762" w:hanging="321" w:hanging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情况说明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第三部分　名词解释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附件： 中共平顶山市卫东区委员会党校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2022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年部门预算表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一、部门收支预算表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六、一般公共预算基本支出表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七、支出经济分类汇总表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八、一般公共预算“三公”经费预算表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九、政府性基金支出预算表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十、项目支出预算表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十一、部门(单位)整体绩效目标表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十二、部门预算项目绩效目标汇总表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855" w:firstLineChars="1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中共平顶山市卫东区委员会党校概况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60" w:leftChars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中共平顶山市卫东区委员会党校主要职能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60" w:leftChars="0" w:firstLine="640" w:firstLineChars="200"/>
        <w:textAlignment w:val="auto"/>
        <w:outlineLvl w:val="9"/>
        <w:rPr>
          <w:rFonts w:hint="eastAsia" w:ascii="仿宋" w:hAnsi="仿宋" w:eastAsia="仿宋_GB2312" w:cs="仿宋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仿宋_GB2312" w:hAnsi="宋体" w:eastAsia="仿宋_GB2312" w:cs="宋体"/>
          <w:sz w:val="32"/>
          <w:szCs w:val="32"/>
        </w:rPr>
        <w:t>轮训各级党员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领导干部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培训中青年党员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领导干部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培训意识形态部门的领导干部和理论骨干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协同组织、人事部门，对学员在校期间进行考核考察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仿宋_GB2312" w:hAnsi="宋体" w:eastAsia="仿宋_GB2312" w:cs="宋体"/>
          <w:sz w:val="32"/>
          <w:szCs w:val="32"/>
        </w:rPr>
        <w:t>围绕国际国内出现的新情况、新问题，开展科学研究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宣传马克思列宁主义、毛泽东思想，宣传习近平新时代中国特色社会主义思想。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二、中共平顶山市卫东区委员会党校预算单位构成情况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本部门预算仅包含本级预算，无所属单位预算。纳入中共平顶山市卫东区委员会党校2022年度部门预算编制范围的单位包括:中共平顶山市卫东区委员会党校本级。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中共平顶山市卫东区委员会党校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1个内设机构：卫东区党校教研室。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694" w:firstLineChars="11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中共平顶山市卫东区委员会党校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2022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年部门预算情况说明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一、收入支出预算总体情况说明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年收、支总计均为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381.97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与上年相比，收、支总计均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249.20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万元, 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187.70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%。主要原因：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2021年所有结转结余资金纳入2022年预算。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60" w:lef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收入预算总体情况说明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年收入预算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381.97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财政拨款166.47万元，上年结转结余215.50万元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381.97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按用途划分为：基本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141.19</w:t>
      </w:r>
      <w:r>
        <w:rPr>
          <w:rFonts w:hint="eastAsia" w:ascii="仿宋" w:hAnsi="仿宋" w:eastAsia="仿宋" w:cs="仿宋"/>
          <w:sz w:val="32"/>
          <w:szCs w:val="32"/>
        </w:rPr>
        <w:t>万元,占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36.96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240.78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63.04</w:t>
      </w:r>
      <w:r>
        <w:rPr>
          <w:rFonts w:hint="eastAsia" w:ascii="仿宋" w:hAnsi="仿宋" w:eastAsia="仿宋" w:cs="仿宋"/>
          <w:sz w:val="32"/>
          <w:szCs w:val="32"/>
        </w:rPr>
        <w:t xml:space="preserve"> 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四、财政拨款收入支出预算总体情况说明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年一般公共预算收支预算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381.97</w:t>
      </w:r>
      <w:r>
        <w:rPr>
          <w:rFonts w:hint="eastAsia" w:ascii="仿宋" w:hAnsi="仿宋" w:eastAsia="仿宋" w:cs="仿宋"/>
          <w:sz w:val="32"/>
          <w:szCs w:val="32"/>
        </w:rPr>
        <w:t>万元，与上年相比，一般公共预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算收支预算增加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249.20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万元, 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187.70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%。主要原因：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2021年所有结转资金纳入2022年预算。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五、一般公共预算支出预算情况说明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kern w:val="0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kern w:val="0"/>
          <w:sz w:val="32"/>
        </w:rPr>
        <w:t>年一般公共预算支出年初预算为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381.97</w:t>
      </w:r>
      <w:r>
        <w:rPr>
          <w:rFonts w:hint="eastAsia" w:ascii="仿宋_GB2312" w:hAnsi="宋体" w:eastAsia="仿宋_GB2312"/>
          <w:kern w:val="0"/>
          <w:sz w:val="32"/>
        </w:rPr>
        <w:t>万元。主要用于以下方面：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主要用于以下方面：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教育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352.72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92.34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%；社会保障和就业（类）支出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13.35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3.50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%；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卫生健康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（类）支出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6.15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1.61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%；住房保障（类）支出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9.75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2.55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-13" w:leftChars="0" w:firstLine="643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支出预算经济分类情况说明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按照《财政部关于印发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支出经济分类科目改革方案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的通知》（财预[2017]98号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为适应改革要求，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我单位《支出经济分类汇总表》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2018年起从仅反映一般公共预算基本支出经济分类项目预算调整为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按两套经济分类科目分别反应不同资金来源的全部预算支出。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年一般公共预算基本支出合计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381.97万元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其中：人员经费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141.19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项目支出240.78万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元，主要包括：维修(护)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费工会经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费办公费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-13" w:leftChars="0" w:firstLine="643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三公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经费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年“三公”经费公共预算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（一）因公出国（境）费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万元，预算数与上年持平。主要原因是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年无因公出国境任务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（二）公务用车购置及运行费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与上年相比增加0万元，占“三公”经费总额的0.00%。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其中，公务用车运行费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万元，与上年相比增加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占“三公”经费总额的0%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主要原因是继续贯彻落实中央八项规定精神，坚持厉行勤俭节约，进一步规范公务用车制度，严格控制公务用车范围，主要用于日常公务发生的燃料费、维修费、过路过桥费、保险费等支出；公务用车购置预算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万元，比上年增加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占“三公”经费总额的0%，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主要原因是落实公车改革政策、加强公务用车管理，严控公务用车支出。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（三）公务接待费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万元，预算数比上年增长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、政府性基金预算支出预算情况说明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640" w:hanging="640" w:hanging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年政府性基金预算支出0万元，预算数与上年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其他重要事项情况说明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（一）机关运行经费预算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年，机关运行经费支出预算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4.23万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，主要用于办公及印刷费、邮电费、差旅费、会议费、水、电、物业管理等运行维护费、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公务用车运行维护费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）政府采购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年，政府采购预算安排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万元，其中：政府采购货物预算0万元、政府采购工程预算0万元、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政府采购服务预算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 。</w:t>
      </w:r>
      <w:r>
        <w:rPr>
          <w:rFonts w:hint="eastAsia" w:ascii="仿宋" w:hAnsi="仿宋" w:eastAsia="仿宋" w:cs="仿宋"/>
          <w:sz w:val="32"/>
          <w:szCs w:val="32"/>
        </w:rPr>
        <w:t>预算数与202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年相比减少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期末</w:t>
      </w:r>
      <w:r>
        <w:rPr>
          <w:rFonts w:hint="eastAsia" w:ascii="仿宋" w:hAnsi="仿宋" w:eastAsia="仿宋" w:cs="仿宋"/>
          <w:sz w:val="32"/>
          <w:szCs w:val="32"/>
        </w:rPr>
        <w:t>，我单位共有车辆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辆,一般执法执勤用车0辆、特种专业技术用车0辆，其他用车0辆；单价50万元以上通用设备0套，单位价值100万元以上专用设备0套。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年没有专项转移支付项目。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3" w:firstLineChars="10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3" w:firstLineChars="10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3" w:firstLineChars="10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13" w:firstLineChars="10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一、财政拨款收入：是指省级财政当年拨付的资金。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即事业单位以前各年度收支相抵后，按国家规定提取、用于弥补以后年度收支差额的基金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弥补当年收支缺口的资金。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七、“三公”经费：是指纳入省级财政预算管理，部门使用财政拨款安排的因公出国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费、公务用车购置及运行费和公务接待费。其中，因公出国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费反映单位公务出国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含外宾接待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八、机关运行经费：是指为保障行政单位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含参照公务员法管理的事业单位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Chars="20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>中共平顶山市卫东区委员会党校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2022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年部门预算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CA55"/>
    <w:multiLevelType w:val="singleLevel"/>
    <w:tmpl w:val="0EECCA55"/>
    <w:lvl w:ilvl="0" w:tentative="0">
      <w:start w:val="1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abstractNum w:abstractNumId="1">
    <w:nsid w:val="608C7126"/>
    <w:multiLevelType w:val="singleLevel"/>
    <w:tmpl w:val="608C7126"/>
    <w:lvl w:ilvl="0" w:tentative="0">
      <w:start w:val="6"/>
      <w:numFmt w:val="chineseCounting"/>
      <w:suff w:val="nothing"/>
      <w:lvlText w:val="%1、"/>
      <w:lvlJc w:val="left"/>
      <w:pPr>
        <w:ind w:left="-13"/>
      </w:pPr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NmIzMDNlNmI3YjIzNDVmOGY5Y2MyNzRlNDhkODkifQ=="/>
  </w:docVars>
  <w:rsids>
    <w:rsidRoot w:val="00000000"/>
    <w:rsid w:val="00D26D9F"/>
    <w:rsid w:val="01763BCE"/>
    <w:rsid w:val="01E23C18"/>
    <w:rsid w:val="045A6E23"/>
    <w:rsid w:val="04F96FF0"/>
    <w:rsid w:val="0530678A"/>
    <w:rsid w:val="059C6346"/>
    <w:rsid w:val="061B11E8"/>
    <w:rsid w:val="06647CD2"/>
    <w:rsid w:val="079E79DA"/>
    <w:rsid w:val="07E56C96"/>
    <w:rsid w:val="08470072"/>
    <w:rsid w:val="091A7535"/>
    <w:rsid w:val="0B4F1DC2"/>
    <w:rsid w:val="0BD818D0"/>
    <w:rsid w:val="0CA06781"/>
    <w:rsid w:val="0CC2416B"/>
    <w:rsid w:val="0CE20369"/>
    <w:rsid w:val="0E792F4F"/>
    <w:rsid w:val="0FBC7598"/>
    <w:rsid w:val="0FC24482"/>
    <w:rsid w:val="0FD448C0"/>
    <w:rsid w:val="11474E1E"/>
    <w:rsid w:val="11FB09C9"/>
    <w:rsid w:val="14AB093D"/>
    <w:rsid w:val="14DE1D5E"/>
    <w:rsid w:val="15EA64E1"/>
    <w:rsid w:val="160E205D"/>
    <w:rsid w:val="169A7F07"/>
    <w:rsid w:val="17F43647"/>
    <w:rsid w:val="17F673BF"/>
    <w:rsid w:val="18BC5F12"/>
    <w:rsid w:val="19053D5D"/>
    <w:rsid w:val="19914F2C"/>
    <w:rsid w:val="1A703D82"/>
    <w:rsid w:val="1DD45C87"/>
    <w:rsid w:val="20A756FA"/>
    <w:rsid w:val="20EA3839"/>
    <w:rsid w:val="2116462E"/>
    <w:rsid w:val="22E76282"/>
    <w:rsid w:val="231117AD"/>
    <w:rsid w:val="269735DF"/>
    <w:rsid w:val="269E5804"/>
    <w:rsid w:val="270C4509"/>
    <w:rsid w:val="28217A7B"/>
    <w:rsid w:val="28461E48"/>
    <w:rsid w:val="293B10D5"/>
    <w:rsid w:val="2B936FA7"/>
    <w:rsid w:val="2C5A1105"/>
    <w:rsid w:val="2C6D3C9C"/>
    <w:rsid w:val="2DF31C8A"/>
    <w:rsid w:val="302E54F0"/>
    <w:rsid w:val="30A457B2"/>
    <w:rsid w:val="30AA2FAA"/>
    <w:rsid w:val="31435509"/>
    <w:rsid w:val="3189172F"/>
    <w:rsid w:val="31B77767"/>
    <w:rsid w:val="32EB3845"/>
    <w:rsid w:val="349A13A6"/>
    <w:rsid w:val="35410115"/>
    <w:rsid w:val="36105698"/>
    <w:rsid w:val="375E0F27"/>
    <w:rsid w:val="38765C86"/>
    <w:rsid w:val="39842625"/>
    <w:rsid w:val="3A00305C"/>
    <w:rsid w:val="3AE70482"/>
    <w:rsid w:val="3B0A4DAB"/>
    <w:rsid w:val="3B781D15"/>
    <w:rsid w:val="3BEB24E7"/>
    <w:rsid w:val="3C123FA5"/>
    <w:rsid w:val="3CF11D7F"/>
    <w:rsid w:val="40267F92"/>
    <w:rsid w:val="40322E51"/>
    <w:rsid w:val="40714F85"/>
    <w:rsid w:val="408B105B"/>
    <w:rsid w:val="40927752"/>
    <w:rsid w:val="40BF2194"/>
    <w:rsid w:val="40DD03CB"/>
    <w:rsid w:val="42B60ED1"/>
    <w:rsid w:val="43284021"/>
    <w:rsid w:val="4396542E"/>
    <w:rsid w:val="442A3DC9"/>
    <w:rsid w:val="44A73F1D"/>
    <w:rsid w:val="4503109F"/>
    <w:rsid w:val="453F38A4"/>
    <w:rsid w:val="45835B6D"/>
    <w:rsid w:val="463D1CFF"/>
    <w:rsid w:val="473016F6"/>
    <w:rsid w:val="474D22A8"/>
    <w:rsid w:val="47795A3C"/>
    <w:rsid w:val="47CF5142"/>
    <w:rsid w:val="47F57510"/>
    <w:rsid w:val="49AF0FF8"/>
    <w:rsid w:val="49B429AE"/>
    <w:rsid w:val="4BF5680F"/>
    <w:rsid w:val="4CD07C03"/>
    <w:rsid w:val="4F18763F"/>
    <w:rsid w:val="4F701229"/>
    <w:rsid w:val="4FFC6C46"/>
    <w:rsid w:val="50827466"/>
    <w:rsid w:val="533D6CAE"/>
    <w:rsid w:val="549829B3"/>
    <w:rsid w:val="54A74CC6"/>
    <w:rsid w:val="55D253BA"/>
    <w:rsid w:val="5714616F"/>
    <w:rsid w:val="573700A5"/>
    <w:rsid w:val="578C4726"/>
    <w:rsid w:val="57EC1669"/>
    <w:rsid w:val="58676F42"/>
    <w:rsid w:val="587F24DD"/>
    <w:rsid w:val="59172716"/>
    <w:rsid w:val="59A26483"/>
    <w:rsid w:val="59E00D5A"/>
    <w:rsid w:val="59EC3BA2"/>
    <w:rsid w:val="5B461090"/>
    <w:rsid w:val="5B9067AF"/>
    <w:rsid w:val="5C0056E3"/>
    <w:rsid w:val="5C5872CD"/>
    <w:rsid w:val="5C5B6DBD"/>
    <w:rsid w:val="5D7B72C2"/>
    <w:rsid w:val="5DD07337"/>
    <w:rsid w:val="5E0A2849"/>
    <w:rsid w:val="5E421FE3"/>
    <w:rsid w:val="5E541D16"/>
    <w:rsid w:val="5ED65BF8"/>
    <w:rsid w:val="5F8B79B9"/>
    <w:rsid w:val="6062071A"/>
    <w:rsid w:val="612E155C"/>
    <w:rsid w:val="61532E82"/>
    <w:rsid w:val="61715F12"/>
    <w:rsid w:val="62401BCB"/>
    <w:rsid w:val="625B3673"/>
    <w:rsid w:val="63224191"/>
    <w:rsid w:val="63C4349A"/>
    <w:rsid w:val="64D15E6F"/>
    <w:rsid w:val="64E106BC"/>
    <w:rsid w:val="679338AF"/>
    <w:rsid w:val="68994EF5"/>
    <w:rsid w:val="694E4127"/>
    <w:rsid w:val="69CE6E20"/>
    <w:rsid w:val="6B055400"/>
    <w:rsid w:val="6C884A41"/>
    <w:rsid w:val="6D004D4A"/>
    <w:rsid w:val="6D0927EA"/>
    <w:rsid w:val="6D656688"/>
    <w:rsid w:val="6DE74432"/>
    <w:rsid w:val="6F305E87"/>
    <w:rsid w:val="6FE920E9"/>
    <w:rsid w:val="71290DE0"/>
    <w:rsid w:val="74730CF0"/>
    <w:rsid w:val="75337685"/>
    <w:rsid w:val="75897D86"/>
    <w:rsid w:val="761107C1"/>
    <w:rsid w:val="76373F9F"/>
    <w:rsid w:val="76852C3F"/>
    <w:rsid w:val="76D76B53"/>
    <w:rsid w:val="775C1F10"/>
    <w:rsid w:val="77D93E3D"/>
    <w:rsid w:val="78167A76"/>
    <w:rsid w:val="7BBA1959"/>
    <w:rsid w:val="7C154A57"/>
    <w:rsid w:val="7DAA66A0"/>
    <w:rsid w:val="7F380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2909</Words>
  <Characters>3200</Characters>
  <Lines>0</Lines>
  <Paragraphs>0</Paragraphs>
  <TotalTime>4</TotalTime>
  <ScaleCrop>false</ScaleCrop>
  <LinksUpToDate>false</LinksUpToDate>
  <CharactersWithSpaces>3563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2021-03-04T00:17:00Z</dcterms:created>
  <dc:creator>翾1367974113</dc:creator>
  <cp:lastModifiedBy>Administrator</cp:lastModifiedBy>
  <dcterms:modified xsi:type="dcterms:W3CDTF">2022-06-23T03:27:38Z</dcterms:modified>
  <dc:title>mac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C14F096D3E974DF0AAE6BEF360B3294B</vt:lpwstr>
  </property>
</Properties>
</file>