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推进市场主体提能升级激发活力的若干意见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（草案）》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卫东区</w:t>
      </w:r>
      <w:r>
        <w:rPr>
          <w:rFonts w:hint="eastAsia" w:ascii="楷体_GB2312" w:hAnsi="楷体_GB2312" w:eastAsia="楷体_GB2312" w:cs="楷体_GB2312"/>
          <w:sz w:val="32"/>
          <w:szCs w:val="32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（2022年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卫东区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现代化建设和高质量发展步伐，进一步推动全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实体经济做大做强，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发改委会同统计等部门研究起草了《平顶山市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卫东区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人民政府关于推进市场主体提能升级激发活力的若干意见》（以下简称《若干意见》）。现将有关情况汇报如下：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主体是社会财富的主要创造者，是经济社会发展的重要推动力量，市场主体的发育程度决定着一个地区经济发展的实力和活力。深入推进“四库四转”，加快培育壮大市场主体，是省政府工作报告明确提出的全年重要工作任务之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正处在爬坡过坎、动能转换的攻坚时期，正处在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高质量打造资源型城市转型发展样板区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的关键阶段，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坚持稳字当头、稳中求进，着力固根基、扬优势、补短板、强弱项，坚定走好资源型城市转型发展之路，制定出台《若干意见》正逢其时。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发改、统计部门多次就《若干意见》讨论推敲，并认真征求各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直相关部门意见，相关单位围绕落实落地落细提出了建设性意见建议，我们进一步修改完善，最终形成目前的《若干意见》。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二、《若干意见》主要内容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《若干意见》主要包括三部分：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第一部分为总体要求。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深入贯彻习近平新时代中国特色社会主义思想，按照政府引导、主体自愿、分类施策、统筹推进的原则，积极建立四类市场主体培育库，大力促进市场主体“四库四转”，为推进全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经济高质量发展提供有力支撑。经过四年努力，到2025年，企业总体规模、群体结构和综合实力基本适应高质量发展要求。总体目标分年度明确了“四转”任务，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2022年实现“个转企”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户、“小升规”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家、“规改股”1家。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第二部分为主要任务。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包括4个方面16项具体工作。主要是：分类建立重点对象培育库、推动其达到入库规模和条件、具体的考核奖励政策等。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1.大力鼓励“个转企”，有效提高竞争力。一是建立“个转企”重点培育库；二是强化“个转企”政策扶持；三是加大“个转企”金融支持力度；四是实施“个转企”奖励引导。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2.大力推动“小升规”，促进企业提能升级。一是建立“小升规”企业培育库；二是完善“小升规”扶持政策；三是依法依规“进库纳统”；四是加大“小升规”奖励考核。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3.大力引导“规改股”，规范改制优化营运。一是建立“规改股”企业名录库；二是积极解决改制难题；三是支持企业多方式融资；四是加大“规改股”扶持力度。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4.大力支持“股上市”，激发企业发展活力。一是建立上市企业培育库；二是构建最优上市环境；三是支持设立持股平台；四是分段奖励强化激励。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第三部分为保障措施。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包括组织领导、兑现政策、强化督导、加大宣传等方面。全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成立“四库四转”工作领导小组，通报各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工作推进情况。领导小组之下对应设立四个专项小组，分别由主管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长和牵头责任单位具体推进。建立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牵头的部门协作工作机制，研究制定具体措施，加大对企业的指导帮扶力度，精准推进工作落实，努力做到每月有进展、季季有成效、全年超目标。加大政策奖励扶持，对完成入库入统工作的企业（单位）和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进行奖励。组织开展政策宣传，引导企业增强责任感、认知度和参与度，形成各类市场主体齐头并进、竞相成长繁荣的良好局面。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三、需要说明的两个问题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1.抓紧明确细化“四转”年度目标任务。分别由市场监管局、统计局（发改委）、工信局、金融工作局对“个转企”“小升规”“规改股”“股上市”的年度目标任务细化分解到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和企业（单位），并明确工作时间节点，便于按月、按季度督导调度。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2.《若干意见》会议审议通过后，以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政府文件印发实施。</w:t>
      </w:r>
    </w:p>
    <w:sectPr>
      <w:pgSz w:w="11906" w:h="16838"/>
      <w:pgMar w:top="181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DE4NDU1YjY5YmFhZDdjYjNkZGE2M2ZkYzIwZTIifQ=="/>
  </w:docVars>
  <w:rsids>
    <w:rsidRoot w:val="00000000"/>
    <w:rsid w:val="14AB050D"/>
    <w:rsid w:val="402C112C"/>
    <w:rsid w:val="5AA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1449</Words>
  <Characters>1467</Characters>
  <Lines>0</Lines>
  <Paragraphs>0</Paragraphs>
  <TotalTime>9</TotalTime>
  <ScaleCrop>false</ScaleCrop>
  <LinksUpToDate>false</LinksUpToDate>
  <CharactersWithSpaces>1468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2022-08-03T02:53:00Z</dcterms:created>
  <dc:creator>Administrator</dc:creator>
  <cp:lastModifiedBy>薄薄酒</cp:lastModifiedBy>
  <dcterms:modified xsi:type="dcterms:W3CDTF">2022-08-04T10:21:53Z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41107120FC6341BB9F7B993BC2C2853C</vt:lpwstr>
  </property>
</Properties>
</file>