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3" w:firstLineChars="200"/>
        <w:rPr>
          <w:rFonts w:hint="eastAsia" w:ascii="宋体" w:hAnsi="宋体" w:cs="宋体"/>
          <w:b/>
          <w:bCs/>
          <w:kern w:val="0"/>
          <w:sz w:val="44"/>
          <w:szCs w:val="44"/>
        </w:rPr>
      </w:pPr>
      <w:r>
        <w:rPr>
          <w:rFonts w:hint="eastAsia" w:ascii="宋体" w:hAnsi="宋体" w:cs="宋体"/>
          <w:b/>
          <w:bCs/>
          <w:kern w:val="0"/>
          <w:sz w:val="44"/>
          <w:szCs w:val="44"/>
        </w:rPr>
        <w:t>2021年平顶山市卫东区科学技术协会</w:t>
      </w:r>
    </w:p>
    <w:p>
      <w:pPr>
        <w:jc w:val="center"/>
        <w:rPr>
          <w:rFonts w:ascii="仿宋" w:hAnsi="仿宋" w:eastAsia="仿宋" w:cs="仿宋"/>
          <w:sz w:val="32"/>
          <w:szCs w:val="32"/>
        </w:rPr>
      </w:pPr>
      <w:r>
        <w:rPr>
          <w:rFonts w:hint="eastAsia" w:ascii="宋体" w:hAnsi="宋体" w:cs="宋体"/>
          <w:b/>
          <w:bCs/>
          <w:kern w:val="0"/>
          <w:sz w:val="44"/>
          <w:szCs w:val="44"/>
        </w:rPr>
        <w:t>部门预算说明</w:t>
      </w:r>
    </w:p>
    <w:p>
      <w:pPr>
        <w:ind w:firstLine="3084" w:firstLineChars="1097"/>
        <w:rPr>
          <w:rFonts w:hint="eastAsia" w:ascii="宋体" w:hAnsi="宋体" w:cs="宋体"/>
          <w:b/>
          <w:bCs/>
          <w:color w:val="0000FF"/>
          <w:kern w:val="0"/>
          <w:sz w:val="28"/>
          <w:szCs w:val="28"/>
        </w:rPr>
      </w:pPr>
    </w:p>
    <w:p>
      <w:pPr>
        <w:ind w:firstLine="3534" w:firstLineChars="800"/>
        <w:rPr>
          <w:rFonts w:hint="eastAsia" w:ascii="宋体" w:hAnsi="宋体" w:cs="宋体"/>
          <w:b/>
          <w:bCs/>
          <w:kern w:val="0"/>
          <w:sz w:val="44"/>
          <w:szCs w:val="44"/>
        </w:rPr>
      </w:pPr>
      <w:r>
        <w:rPr>
          <w:rFonts w:hint="eastAsia" w:ascii="宋体" w:hAnsi="宋体" w:cs="宋体"/>
          <w:b/>
          <w:bCs/>
          <w:kern w:val="0"/>
          <w:sz w:val="44"/>
          <w:szCs w:val="44"/>
        </w:rPr>
        <w:t>目　录</w:t>
      </w:r>
    </w:p>
    <w:p>
      <w:pPr>
        <w:rPr>
          <w:rFonts w:hint="eastAsia" w:ascii="宋体" w:hAnsi="宋体" w:cs="宋体"/>
          <w:b/>
          <w:kern w:val="0"/>
          <w:sz w:val="36"/>
          <w:szCs w:val="36"/>
        </w:rPr>
      </w:pPr>
      <w:r>
        <w:rPr>
          <w:rFonts w:hint="eastAsia" w:ascii="宋体" w:hAnsi="宋体" w:cs="宋体"/>
          <w:b/>
          <w:kern w:val="0"/>
          <w:sz w:val="32"/>
          <w:szCs w:val="32"/>
        </w:rPr>
        <w:t>第一部分　平顶山市卫东区科学技术协会概况</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一、主要职</w:t>
      </w:r>
      <w:r>
        <w:rPr>
          <w:rFonts w:hint="eastAsia" w:ascii="仿宋" w:hAnsi="仿宋" w:eastAsia="仿宋" w:cs="仿宋"/>
          <w:bCs/>
          <w:kern w:val="0"/>
          <w:sz w:val="32"/>
          <w:szCs w:val="32"/>
          <w:lang w:eastAsia="zh-CN"/>
        </w:rPr>
        <w:t>能</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二、部门预算单位构成 </w:t>
      </w:r>
      <w:r>
        <w:rPr>
          <w:rFonts w:hint="eastAsia" w:ascii="仿宋" w:hAnsi="仿宋" w:eastAsia="仿宋" w:cs="仿宋"/>
          <w:sz w:val="32"/>
          <w:szCs w:val="32"/>
        </w:rPr>
        <w:t xml:space="preserve">   </w:t>
      </w:r>
    </w:p>
    <w:p>
      <w:pPr>
        <w:rPr>
          <w:rFonts w:hint="eastAsia" w:ascii="宋体" w:hAnsi="宋体" w:cs="宋体"/>
          <w:b/>
          <w:spacing w:val="-20"/>
          <w:kern w:val="0"/>
          <w:sz w:val="32"/>
          <w:szCs w:val="32"/>
        </w:rPr>
      </w:pPr>
      <w:r>
        <w:rPr>
          <w:rFonts w:hint="eastAsia" w:ascii="宋体" w:hAnsi="宋体" w:cs="宋体"/>
          <w:b/>
          <w:kern w:val="0"/>
          <w:sz w:val="32"/>
          <w:szCs w:val="32"/>
        </w:rPr>
        <w:t xml:space="preserve">第二部分 </w:t>
      </w:r>
      <w:r>
        <w:rPr>
          <w:rFonts w:hint="eastAsia" w:ascii="宋体" w:hAnsi="宋体" w:cs="宋体"/>
          <w:b/>
          <w:spacing w:val="-20"/>
          <w:kern w:val="0"/>
          <w:sz w:val="32"/>
          <w:szCs w:val="32"/>
        </w:rPr>
        <w:t>平顶山市卫东区科学技术协会2021年部门预算情况说明</w:t>
      </w:r>
    </w:p>
    <w:p>
      <w:pPr>
        <w:rPr>
          <w:rFonts w:hint="eastAsia" w:ascii="宋体" w:hAnsi="宋体" w:cs="宋体"/>
          <w:b/>
          <w:kern w:val="0"/>
          <w:sz w:val="32"/>
          <w:szCs w:val="32"/>
        </w:rPr>
      </w:pPr>
      <w:r>
        <w:rPr>
          <w:rFonts w:hint="eastAsia" w:ascii="宋体" w:hAnsi="宋体" w:cs="宋体"/>
          <w:b/>
          <w:kern w:val="0"/>
          <w:sz w:val="32"/>
          <w:szCs w:val="32"/>
        </w:rPr>
        <w:t>第三部分　名词解释</w:t>
      </w:r>
    </w:p>
    <w:p>
      <w:pPr>
        <w:rPr>
          <w:rFonts w:hint="eastAsia" w:ascii="宋体" w:hAnsi="宋体" w:cs="宋体"/>
          <w:b/>
          <w:kern w:val="0"/>
          <w:sz w:val="32"/>
          <w:szCs w:val="32"/>
        </w:rPr>
      </w:pPr>
      <w:r>
        <w:rPr>
          <w:rFonts w:hint="eastAsia" w:ascii="宋体" w:hAnsi="宋体" w:cs="宋体"/>
          <w:b/>
          <w:kern w:val="0"/>
          <w:sz w:val="32"/>
          <w:szCs w:val="32"/>
        </w:rPr>
        <w:t>附件：平顶山市卫东区科学技术协会2021年部门预算表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一、部门收支总体情况表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二、部门收入总体情况表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三、部门支出总体情况表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四、财政拨款收支总体情况表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五、一般公共预算支出情况表</w:t>
      </w:r>
    </w:p>
    <w:p>
      <w:pPr>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六、支出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九、</w:t>
      </w:r>
      <w:r>
        <w:rPr>
          <w:rFonts w:hint="eastAsia" w:ascii="仿宋" w:hAnsi="仿宋" w:eastAsia="仿宋" w:cs="仿宋"/>
          <w:bCs/>
          <w:kern w:val="0"/>
          <w:sz w:val="32"/>
          <w:szCs w:val="32"/>
          <w:lang w:eastAsia="zh-CN"/>
        </w:rPr>
        <w:t>部门（单位）整体绩效目标表</w:t>
      </w:r>
    </w:p>
    <w:p>
      <w:pPr>
        <w:ind w:firstLine="320" w:firstLineChars="100"/>
        <w:rPr>
          <w:rFonts w:hint="eastAsia" w:ascii="仿宋" w:hAnsi="仿宋" w:eastAsia="仿宋" w:cs="仿宋"/>
          <w:bCs/>
          <w:kern w:val="0"/>
          <w:sz w:val="32"/>
          <w:szCs w:val="32"/>
        </w:rPr>
      </w:pPr>
      <w:r>
        <w:rPr>
          <w:rFonts w:hint="eastAsia" w:ascii="仿宋" w:hAnsi="仿宋" w:eastAsia="仿宋" w:cs="仿宋"/>
          <w:bCs/>
          <w:kern w:val="0"/>
          <w:sz w:val="32"/>
          <w:szCs w:val="32"/>
        </w:rPr>
        <w:t>十、</w:t>
      </w:r>
      <w:r>
        <w:rPr>
          <w:rFonts w:hint="eastAsia" w:ascii="仿宋" w:hAnsi="仿宋" w:eastAsia="仿宋" w:cs="仿宋"/>
          <w:bCs/>
          <w:kern w:val="0"/>
          <w:sz w:val="32"/>
          <w:szCs w:val="32"/>
          <w:lang w:eastAsia="zh-CN"/>
        </w:rPr>
        <w:t>部门预算项目绩效目标汇总表</w:t>
      </w:r>
    </w:p>
    <w:p>
      <w:pPr>
        <w:jc w:val="center"/>
        <w:rPr>
          <w:rFonts w:hint="eastAsia" w:ascii="宋体" w:hAnsi="宋体" w:cs="宋体"/>
          <w:b/>
          <w:bCs/>
          <w:kern w:val="0"/>
          <w:sz w:val="32"/>
          <w:szCs w:val="32"/>
        </w:rPr>
      </w:pPr>
      <w:r>
        <w:rPr>
          <w:rFonts w:hint="eastAsia" w:ascii="宋体" w:hAnsi="宋体" w:cs="宋体"/>
          <w:b/>
          <w:bCs/>
          <w:kern w:val="0"/>
          <w:sz w:val="32"/>
          <w:szCs w:val="32"/>
        </w:rPr>
        <w:t>第一部分</w:t>
      </w:r>
    </w:p>
    <w:p>
      <w:pPr>
        <w:ind w:firstLine="1606" w:firstLineChars="500"/>
        <w:rPr>
          <w:rFonts w:hint="eastAsia" w:ascii="宋体" w:hAnsi="宋体" w:cs="宋体"/>
          <w:b/>
          <w:bCs/>
          <w:kern w:val="0"/>
          <w:sz w:val="32"/>
          <w:szCs w:val="32"/>
        </w:rPr>
      </w:pPr>
      <w:r>
        <w:rPr>
          <w:rFonts w:hint="eastAsia" w:ascii="宋体" w:hAnsi="宋体" w:cs="宋体"/>
          <w:b/>
          <w:bCs/>
          <w:kern w:val="0"/>
          <w:sz w:val="32"/>
          <w:szCs w:val="32"/>
        </w:rPr>
        <w:t xml:space="preserve"> 平顶山市卫东区科学技术协会概况</w:t>
      </w:r>
    </w:p>
    <w:p>
      <w:pPr>
        <w:ind w:firstLine="3524" w:firstLineChars="1097"/>
        <w:rPr>
          <w:rFonts w:hint="eastAsia" w:ascii="宋体" w:hAnsi="宋体" w:cs="宋体"/>
          <w:b/>
          <w:bCs/>
          <w:kern w:val="0"/>
          <w:sz w:val="32"/>
          <w:szCs w:val="32"/>
        </w:rPr>
      </w:pPr>
    </w:p>
    <w:p>
      <w:pPr>
        <w:ind w:left="105" w:leftChars="50" w:firstLine="482" w:firstLineChars="150"/>
        <w:jc w:val="left"/>
        <w:rPr>
          <w:rFonts w:hint="eastAsia" w:ascii="仿宋" w:hAnsi="仿宋" w:eastAsia="仿宋" w:cs="仿宋"/>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平顶山市卫东区科学技术协会</w:t>
      </w:r>
      <w:r>
        <w:rPr>
          <w:rFonts w:hint="eastAsia" w:ascii="宋体" w:hAnsi="宋体" w:cs="宋体"/>
          <w:b/>
          <w:bCs/>
          <w:sz w:val="32"/>
          <w:szCs w:val="32"/>
        </w:rPr>
        <w:t>主要职能</w:t>
      </w:r>
      <w:r>
        <w:rPr>
          <w:rFonts w:hint="eastAsia" w:ascii="仿宋" w:hAnsi="仿宋" w:eastAsia="仿宋" w:cs="仿宋"/>
          <w:sz w:val="32"/>
          <w:szCs w:val="32"/>
        </w:rPr>
        <w:tab/>
      </w:r>
    </w:p>
    <w:p>
      <w:pPr>
        <w:ind w:left="105" w:leftChars="50" w:firstLine="480" w:firstLineChars="150"/>
        <w:jc w:val="left"/>
        <w:rPr>
          <w:rFonts w:hint="eastAsia" w:ascii="仿宋_GB2312" w:eastAsia="仿宋_GB2312"/>
          <w:sz w:val="32"/>
          <w:szCs w:val="32"/>
        </w:rPr>
      </w:pPr>
      <w:r>
        <w:rPr>
          <w:rFonts w:hint="eastAsia" w:ascii="仿宋" w:hAnsi="仿宋" w:eastAsia="仿宋" w:cs="仿宋"/>
          <w:kern w:val="0"/>
          <w:sz w:val="32"/>
          <w:szCs w:val="32"/>
          <w:highlight w:val="none"/>
          <w:shd w:val="clear" w:color="auto" w:fill="FFFFFF"/>
        </w:rPr>
        <w:t>（一）</w:t>
      </w:r>
      <w:r>
        <w:rPr>
          <w:rFonts w:hint="eastAsia" w:ascii="仿宋_GB2312" w:eastAsia="仿宋_GB2312"/>
          <w:sz w:val="32"/>
          <w:szCs w:val="32"/>
        </w:rPr>
        <w:t>根据《中华人民共和国科学技术普及法》广泛开展科技普及工作,弘扬科学精神,普及科学知识,传播科学思想和科学方法,推广先进技术,提高全民科学文化素质。</w:t>
      </w:r>
    </w:p>
    <w:p>
      <w:pPr>
        <w:ind w:left="105" w:leftChars="50" w:firstLine="480" w:firstLineChars="150"/>
        <w:jc w:val="left"/>
        <w:rPr>
          <w:rFonts w:hint="eastAsia" w:ascii="仿宋_GB2312" w:eastAsia="仿宋_GB2312"/>
          <w:sz w:val="32"/>
          <w:szCs w:val="32"/>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二</w:t>
      </w:r>
      <w:r>
        <w:rPr>
          <w:rFonts w:hint="eastAsia" w:ascii="仿宋" w:hAnsi="仿宋" w:eastAsia="仿宋" w:cs="仿宋"/>
          <w:kern w:val="0"/>
          <w:sz w:val="32"/>
          <w:szCs w:val="32"/>
          <w:highlight w:val="none"/>
          <w:shd w:val="clear" w:color="auto" w:fill="FFFFFF"/>
        </w:rPr>
        <w:t>）</w:t>
      </w:r>
      <w:r>
        <w:rPr>
          <w:rFonts w:hint="eastAsia" w:ascii="仿宋_GB2312" w:eastAsia="仿宋_GB2312"/>
          <w:sz w:val="32"/>
          <w:szCs w:val="32"/>
        </w:rPr>
        <w:t>开展学术交流和学术活动,活跃学术思想,促进学 科发展,知识创新。</w:t>
      </w:r>
    </w:p>
    <w:p>
      <w:pPr>
        <w:ind w:left="105" w:leftChars="50" w:firstLine="480" w:firstLineChars="150"/>
        <w:jc w:val="left"/>
        <w:rPr>
          <w:rFonts w:hint="eastAsia" w:ascii="仿宋_GB2312" w:eastAsia="仿宋_GB2312"/>
          <w:sz w:val="32"/>
          <w:szCs w:val="32"/>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三</w:t>
      </w:r>
      <w:r>
        <w:rPr>
          <w:rFonts w:hint="eastAsia" w:ascii="仿宋" w:hAnsi="仿宋" w:eastAsia="仿宋" w:cs="仿宋"/>
          <w:kern w:val="0"/>
          <w:sz w:val="32"/>
          <w:szCs w:val="32"/>
          <w:highlight w:val="none"/>
          <w:shd w:val="clear" w:color="auto" w:fill="FFFFFF"/>
        </w:rPr>
        <w:t>）</w:t>
      </w:r>
      <w:r>
        <w:rPr>
          <w:rFonts w:hint="eastAsia" w:ascii="仿宋_GB2312" w:eastAsia="仿宋_GB2312"/>
          <w:sz w:val="32"/>
          <w:szCs w:val="32"/>
        </w:rPr>
        <w:t xml:space="preserve">反映科技工作者的意见和要求,维护科技工作者的合法权益:组织科技工作者参与政治协商、科学决策、民主监督工作。 </w:t>
      </w:r>
    </w:p>
    <w:p>
      <w:pPr>
        <w:ind w:left="105" w:leftChars="50" w:firstLine="480" w:firstLineChars="150"/>
        <w:jc w:val="left"/>
        <w:rPr>
          <w:rFonts w:hint="eastAsia" w:ascii="仿宋_GB2312" w:eastAsia="仿宋_GB2312"/>
          <w:sz w:val="32"/>
          <w:szCs w:val="32"/>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四</w:t>
      </w:r>
      <w:r>
        <w:rPr>
          <w:rFonts w:hint="eastAsia" w:ascii="仿宋" w:hAnsi="仿宋" w:eastAsia="仿宋" w:cs="仿宋"/>
          <w:kern w:val="0"/>
          <w:sz w:val="32"/>
          <w:szCs w:val="32"/>
          <w:highlight w:val="none"/>
          <w:shd w:val="clear" w:color="auto" w:fill="FFFFFF"/>
        </w:rPr>
        <w:t>）</w:t>
      </w:r>
      <w:r>
        <w:rPr>
          <w:rFonts w:hint="eastAsia" w:ascii="仿宋_GB2312" w:eastAsia="仿宋_GB2312"/>
          <w:sz w:val="32"/>
          <w:szCs w:val="32"/>
        </w:rPr>
        <w:t>表彰宣传优秀科技工作者,举荐人才。</w:t>
      </w:r>
    </w:p>
    <w:p>
      <w:pPr>
        <w:ind w:left="105" w:leftChars="50" w:firstLine="480" w:firstLineChars="150"/>
        <w:jc w:val="left"/>
        <w:rPr>
          <w:rFonts w:hint="eastAsia" w:ascii="仿宋_GB2312" w:eastAsia="仿宋_GB2312"/>
          <w:sz w:val="32"/>
          <w:szCs w:val="32"/>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五</w:t>
      </w:r>
      <w:r>
        <w:rPr>
          <w:rFonts w:hint="eastAsia" w:ascii="仿宋" w:hAnsi="仿宋" w:eastAsia="仿宋" w:cs="仿宋"/>
          <w:kern w:val="0"/>
          <w:sz w:val="32"/>
          <w:szCs w:val="32"/>
          <w:highlight w:val="none"/>
          <w:shd w:val="clear" w:color="auto" w:fill="FFFFFF"/>
        </w:rPr>
        <w:t>）</w:t>
      </w:r>
      <w:r>
        <w:rPr>
          <w:rFonts w:hint="eastAsia" w:ascii="仿宋_GB2312" w:eastAsia="仿宋_GB2312"/>
          <w:sz w:val="32"/>
          <w:szCs w:val="32"/>
        </w:rPr>
        <w:t xml:space="preserve">开展科学论证、科技咨询服务,提出政策建议,促进科技成果的转化,接受委托承担项目评估、成果鉴定、专业技术职务资格评审等任务。 </w:t>
      </w:r>
    </w:p>
    <w:p>
      <w:pPr>
        <w:ind w:left="105" w:leftChars="50" w:firstLine="480" w:firstLineChars="150"/>
        <w:jc w:val="left"/>
        <w:rPr>
          <w:rFonts w:hint="eastAsia" w:ascii="仿宋_GB2312" w:eastAsia="仿宋_GB2312"/>
          <w:sz w:val="32"/>
          <w:szCs w:val="32"/>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六</w:t>
      </w:r>
      <w:r>
        <w:rPr>
          <w:rFonts w:hint="eastAsia" w:ascii="仿宋" w:hAnsi="仿宋" w:eastAsia="仿宋" w:cs="仿宋"/>
          <w:kern w:val="0"/>
          <w:sz w:val="32"/>
          <w:szCs w:val="32"/>
          <w:highlight w:val="none"/>
          <w:shd w:val="clear" w:color="auto" w:fill="FFFFFF"/>
        </w:rPr>
        <w:t>）</w:t>
      </w:r>
      <w:r>
        <w:rPr>
          <w:rFonts w:hint="eastAsia" w:ascii="仿宋_GB2312" w:eastAsia="仿宋_GB2312"/>
          <w:sz w:val="32"/>
          <w:szCs w:val="32"/>
        </w:rPr>
        <w:t xml:space="preserve">开展继续教育和培训工作。 </w:t>
      </w:r>
    </w:p>
    <w:p>
      <w:pPr>
        <w:ind w:left="105" w:leftChars="50" w:firstLine="480" w:firstLineChars="150"/>
        <w:jc w:val="left"/>
        <w:rPr>
          <w:rFonts w:hint="eastAsia" w:ascii="仿宋_GB2312" w:eastAsia="仿宋_GB2312"/>
          <w:sz w:val="32"/>
          <w:szCs w:val="32"/>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七</w:t>
      </w:r>
      <w:r>
        <w:rPr>
          <w:rFonts w:hint="eastAsia" w:ascii="仿宋" w:hAnsi="仿宋" w:eastAsia="仿宋" w:cs="仿宋"/>
          <w:kern w:val="0"/>
          <w:sz w:val="32"/>
          <w:szCs w:val="32"/>
          <w:highlight w:val="none"/>
          <w:shd w:val="clear" w:color="auto" w:fill="FFFFFF"/>
        </w:rPr>
        <w:t>）</w:t>
      </w:r>
      <w:r>
        <w:rPr>
          <w:rFonts w:hint="eastAsia" w:ascii="仿宋_GB2312" w:eastAsia="仿宋_GB2312"/>
          <w:sz w:val="32"/>
          <w:szCs w:val="32"/>
        </w:rPr>
        <w:t xml:space="preserve">指导卫东区反邪教协会工作,开展捍卫科学尊严和反对愚味迷信、伪科学、反科学的活动。 </w:t>
      </w:r>
    </w:p>
    <w:p>
      <w:pPr>
        <w:ind w:left="105" w:leftChars="50" w:firstLine="480" w:firstLineChars="150"/>
        <w:jc w:val="left"/>
        <w:rPr>
          <w:rFonts w:hint="eastAsia" w:ascii="仿宋_GB2312" w:eastAsia="仿宋_GB2312"/>
          <w:sz w:val="32"/>
          <w:szCs w:val="32"/>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八</w:t>
      </w:r>
      <w:r>
        <w:rPr>
          <w:rFonts w:hint="eastAsia" w:ascii="仿宋" w:hAnsi="仿宋" w:eastAsia="仿宋" w:cs="仿宋"/>
          <w:kern w:val="0"/>
          <w:sz w:val="32"/>
          <w:szCs w:val="32"/>
          <w:highlight w:val="none"/>
          <w:shd w:val="clear" w:color="auto" w:fill="FFFFFF"/>
        </w:rPr>
        <w:t>）</w:t>
      </w:r>
      <w:r>
        <w:rPr>
          <w:rFonts w:hint="eastAsia" w:ascii="仿宋_GB2312" w:eastAsia="仿宋_GB2312"/>
          <w:sz w:val="32"/>
          <w:szCs w:val="32"/>
        </w:rPr>
        <w:t>承办区委、区政府和上级科协交办的其它任务。</w:t>
      </w:r>
    </w:p>
    <w:p>
      <w:pPr>
        <w:snapToGrid w:val="0"/>
        <w:spacing w:line="560" w:lineRule="exact"/>
        <w:rPr>
          <w:rFonts w:hint="eastAsia" w:ascii="仿宋" w:hAnsi="仿宋" w:eastAsia="仿宋" w:cs="仿宋"/>
          <w:sz w:val="32"/>
          <w:szCs w:val="32"/>
          <w:highlight w:val="green"/>
        </w:rPr>
      </w:pP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平顶山市卫东区科学技术协会</w:t>
      </w:r>
      <w:r>
        <w:rPr>
          <w:rFonts w:hint="eastAsia" w:ascii="宋体" w:hAnsi="宋体" w:cs="宋体"/>
          <w:b/>
          <w:bCs/>
          <w:sz w:val="32"/>
          <w:szCs w:val="32"/>
        </w:rPr>
        <w:t>预算单位构成</w:t>
      </w:r>
    </w:p>
    <w:p>
      <w:pPr>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本部门预算仅包含本级预算，无所属单位预算。纳入平顶山市卫东区科学技术协会 2021 年度部门预算编制范围的单位包括: 平顶山市卫东区科学技术协会本级。</w:t>
      </w:r>
    </w:p>
    <w:p>
      <w:pPr>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平顶山市卫东区科学技术协会设1个内设机构：</w:t>
      </w:r>
      <w:r>
        <w:rPr>
          <w:rFonts w:hint="eastAsia" w:ascii="仿宋_GB2312" w:hAnsi="仿宋" w:eastAsia="仿宋_GB2312" w:cs="仿宋"/>
          <w:sz w:val="32"/>
          <w:szCs w:val="32"/>
          <w:lang w:val="en-US" w:eastAsia="zh-CN"/>
        </w:rPr>
        <w:t>卫东</w:t>
      </w:r>
      <w:r>
        <w:rPr>
          <w:rFonts w:hint="eastAsia" w:ascii="仿宋_GB2312" w:hAnsi="宋体" w:eastAsia="仿宋_GB2312" w:cs="宋体"/>
          <w:bCs/>
          <w:kern w:val="0"/>
          <w:sz w:val="32"/>
          <w:szCs w:val="32"/>
        </w:rPr>
        <w:t>区反邪教协会办公室</w:t>
      </w:r>
      <w:r>
        <w:rPr>
          <w:rFonts w:hint="eastAsia" w:ascii="仿宋_GB2312" w:hAnsi="仿宋" w:eastAsia="仿宋_GB2312" w:cs="仿宋"/>
          <w:sz w:val="32"/>
          <w:szCs w:val="32"/>
        </w:rPr>
        <w:t>。</w:t>
      </w:r>
    </w:p>
    <w:p>
      <w:pPr>
        <w:rPr>
          <w:rFonts w:hint="eastAsia" w:ascii="宋体" w:hAnsi="宋体" w:cs="宋体"/>
          <w:b/>
          <w:bCs/>
          <w:kern w:val="0"/>
          <w:sz w:val="32"/>
          <w:szCs w:val="32"/>
        </w:rPr>
      </w:pPr>
    </w:p>
    <w:p>
      <w:pPr>
        <w:ind w:firstLine="3534" w:firstLineChars="1100"/>
        <w:rPr>
          <w:rFonts w:hint="eastAsia" w:ascii="宋体" w:hAnsi="宋体" w:cs="宋体"/>
          <w:b/>
          <w:bCs/>
          <w:kern w:val="0"/>
          <w:sz w:val="32"/>
          <w:szCs w:val="32"/>
        </w:rPr>
      </w:pP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第二部分</w:t>
      </w:r>
    </w:p>
    <w:p>
      <w:pPr>
        <w:ind w:firstLine="643" w:firstLineChars="200"/>
        <w:rPr>
          <w:rFonts w:hint="eastAsia" w:ascii="宋体" w:hAnsi="宋体" w:cs="宋体"/>
          <w:b/>
          <w:bCs/>
          <w:kern w:val="0"/>
          <w:sz w:val="32"/>
          <w:szCs w:val="32"/>
        </w:rPr>
      </w:pPr>
      <w:r>
        <w:rPr>
          <w:rFonts w:hint="eastAsia" w:ascii="宋体" w:hAnsi="宋体" w:cs="宋体"/>
          <w:b/>
          <w:bCs/>
          <w:kern w:val="0"/>
          <w:sz w:val="32"/>
          <w:szCs w:val="32"/>
        </w:rPr>
        <w:t>平顶山市卫东区科学技术协会2021年部门预算情况说明</w:t>
      </w:r>
    </w:p>
    <w:p>
      <w:pPr>
        <w:ind w:firstLine="3524" w:firstLineChars="1097"/>
        <w:rPr>
          <w:rFonts w:hint="eastAsia" w:ascii="宋体" w:hAnsi="宋体" w:cs="宋体"/>
          <w:b/>
          <w:bCs/>
          <w:kern w:val="0"/>
          <w:sz w:val="32"/>
          <w:szCs w:val="32"/>
          <w:highlight w:val="yellow"/>
        </w:rPr>
      </w:pPr>
    </w:p>
    <w:p>
      <w:pPr>
        <w:spacing w:line="560" w:lineRule="exact"/>
        <w:ind w:firstLine="643" w:firstLineChars="200"/>
        <w:rPr>
          <w:rFonts w:ascii="仿宋" w:hAnsi="仿宋" w:eastAsia="仿宋" w:cs="仿宋"/>
          <w:sz w:val="32"/>
          <w:szCs w:val="32"/>
        </w:rPr>
      </w:pPr>
      <w:r>
        <w:rPr>
          <w:rFonts w:hint="eastAsia" w:ascii="宋体" w:hAnsi="宋体" w:cs="宋体"/>
          <w:b/>
          <w:kern w:val="0"/>
          <w:sz w:val="32"/>
          <w:szCs w:val="32"/>
        </w:rPr>
        <w:t>一、收入支出预算总体情况说明</w:t>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hint="eastAsia" w:ascii="仿宋_GB2312" w:hAnsi="仿宋" w:eastAsia="仿宋_GB2312" w:cs="仿宋"/>
          <w:sz w:val="32"/>
          <w:szCs w:val="32"/>
          <w:highlight w:val="yellow"/>
        </w:rPr>
      </w:pPr>
      <w:r>
        <w:rPr>
          <w:rFonts w:ascii="仿宋" w:hAnsi="仿宋" w:eastAsia="仿宋" w:cs="仿宋"/>
          <w:sz w:val="32"/>
          <w:szCs w:val="32"/>
        </w:rPr>
        <w:t xml:space="preserve">    </w:t>
      </w:r>
      <w:r>
        <w:rPr>
          <w:rFonts w:hint="eastAsia" w:ascii="仿宋_GB2312" w:hAnsi="仿宋" w:eastAsia="仿宋_GB2312" w:cs="仿宋"/>
          <w:sz w:val="32"/>
          <w:szCs w:val="32"/>
        </w:rPr>
        <w:t>2021年收、支总计均为81.78万元,与上年相比，收、支总计均增加5.01万元, 增长6.5%。主要原因：人员工资福利经费增加。</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ind w:firstLine="803" w:firstLineChars="250"/>
        <w:rPr>
          <w:rFonts w:ascii="宋体" w:hAnsi="宋体" w:cs="仿宋"/>
          <w:b/>
          <w:sz w:val="32"/>
          <w:szCs w:val="32"/>
        </w:rPr>
      </w:pPr>
      <w:r>
        <w:rPr>
          <w:rFonts w:hint="eastAsia" w:ascii="宋体" w:hAnsi="宋体" w:eastAsia="宋体" w:cs="宋体"/>
          <w:b/>
          <w:bCs w:val="0"/>
          <w:kern w:val="0"/>
          <w:sz w:val="32"/>
          <w:szCs w:val="32"/>
        </w:rPr>
        <w:t>二、收入预算总体情况说明</w:t>
      </w:r>
      <w:r>
        <w:rPr>
          <w:rFonts w:ascii="宋体" w:hAnsi="宋体" w:cs="仿宋"/>
          <w:b/>
          <w:sz w:val="32"/>
          <w:szCs w:val="32"/>
        </w:rPr>
        <w:tab/>
      </w:r>
      <w:r>
        <w:rPr>
          <w:rFonts w:ascii="宋体" w:hAnsi="宋体" w:cs="仿宋"/>
          <w:b/>
          <w:sz w:val="32"/>
          <w:szCs w:val="32"/>
        </w:rPr>
        <w:tab/>
      </w:r>
      <w:r>
        <w:rPr>
          <w:rFonts w:ascii="宋体" w:hAnsi="宋体" w:cs="仿宋"/>
          <w:b/>
          <w:sz w:val="32"/>
          <w:szCs w:val="32"/>
        </w:rPr>
        <w:tab/>
      </w:r>
      <w:r>
        <w:rPr>
          <w:rFonts w:ascii="宋体" w:hAnsi="宋体" w:cs="仿宋"/>
          <w:b/>
          <w:sz w:val="32"/>
          <w:szCs w:val="32"/>
        </w:rPr>
        <w:tab/>
      </w:r>
      <w:r>
        <w:rPr>
          <w:rFonts w:ascii="宋体" w:hAnsi="宋体" w:cs="仿宋"/>
          <w:b/>
          <w:sz w:val="32"/>
          <w:szCs w:val="32"/>
        </w:rPr>
        <w:tab/>
      </w:r>
    </w:p>
    <w:p>
      <w:pPr>
        <w:snapToGrid w:val="0"/>
        <w:spacing w:line="560" w:lineRule="exact"/>
        <w:rPr>
          <w:rFonts w:hint="eastAsia"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 xml:space="preserve"> 2021年收入预算81.78万元，其中：一般公共预算81.78万元。</w:t>
      </w:r>
    </w:p>
    <w:p>
      <w:pPr>
        <w:ind w:firstLine="803" w:firstLineChars="250"/>
        <w:rPr>
          <w:rFonts w:ascii="宋体" w:hAnsi="宋体" w:cs="仿宋"/>
          <w:b/>
          <w:sz w:val="32"/>
          <w:szCs w:val="32"/>
        </w:rPr>
      </w:pPr>
      <w:r>
        <w:rPr>
          <w:rFonts w:hint="eastAsia" w:ascii="宋体" w:hAnsi="宋体" w:eastAsia="宋体" w:cs="宋体"/>
          <w:b/>
          <w:bCs w:val="0"/>
          <w:kern w:val="0"/>
          <w:sz w:val="32"/>
          <w:szCs w:val="32"/>
        </w:rPr>
        <w:t>三、支出预算总体情况说明</w:t>
      </w:r>
      <w:r>
        <w:rPr>
          <w:rFonts w:ascii="宋体" w:hAnsi="宋体" w:cs="仿宋"/>
          <w:b/>
          <w:sz w:val="32"/>
          <w:szCs w:val="32"/>
        </w:rPr>
        <w:tab/>
      </w:r>
      <w:r>
        <w:rPr>
          <w:rFonts w:ascii="宋体" w:hAnsi="宋体" w:cs="仿宋"/>
          <w:b/>
          <w:sz w:val="32"/>
          <w:szCs w:val="32"/>
        </w:rPr>
        <w:tab/>
      </w:r>
      <w:r>
        <w:rPr>
          <w:rFonts w:ascii="宋体" w:hAnsi="宋体" w:cs="仿宋"/>
          <w:b/>
          <w:sz w:val="32"/>
          <w:szCs w:val="32"/>
        </w:rPr>
        <w:tab/>
      </w:r>
      <w:r>
        <w:rPr>
          <w:rFonts w:ascii="宋体" w:hAnsi="宋体" w:cs="仿宋"/>
          <w:b/>
          <w:sz w:val="32"/>
          <w:szCs w:val="32"/>
        </w:rPr>
        <w:tab/>
      </w:r>
      <w:r>
        <w:rPr>
          <w:rFonts w:ascii="宋体" w:hAnsi="宋体" w:cs="仿宋"/>
          <w:b/>
          <w:sz w:val="32"/>
          <w:szCs w:val="32"/>
        </w:rPr>
        <w:tab/>
      </w:r>
      <w:r>
        <w:rPr>
          <w:rFonts w:ascii="宋体" w:hAnsi="宋体" w:cs="仿宋"/>
          <w:b/>
          <w:sz w:val="32"/>
          <w:szCs w:val="32"/>
        </w:rPr>
        <w:tab/>
      </w:r>
    </w:p>
    <w:p>
      <w:pPr>
        <w:snapToGrid w:val="0"/>
        <w:spacing w:line="560" w:lineRule="exact"/>
        <w:rPr>
          <w:rFonts w:hint="eastAsia"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2021年支出预算81.78万元，按用途划分为：基本支出81.78万元,占100%；项目支出0万元，占0% 。</w:t>
      </w:r>
    </w:p>
    <w:p>
      <w:pPr>
        <w:spacing w:line="560" w:lineRule="exact"/>
        <w:ind w:firstLine="643" w:firstLineChars="200"/>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hint="eastAsia" w:ascii="仿宋_GB2312" w:hAnsi="仿宋" w:eastAsia="仿宋_GB2312" w:cs="仿宋"/>
          <w:sz w:val="32"/>
          <w:szCs w:val="32"/>
          <w:highlight w:val="yellow"/>
        </w:rPr>
      </w:pPr>
      <w:r>
        <w:rPr>
          <w:rFonts w:ascii="仿宋" w:hAnsi="仿宋" w:eastAsia="仿宋" w:cs="仿宋"/>
          <w:sz w:val="32"/>
          <w:szCs w:val="32"/>
        </w:rPr>
        <w:t xml:space="preserve">    </w:t>
      </w:r>
      <w:r>
        <w:rPr>
          <w:rFonts w:hint="eastAsia" w:ascii="仿宋_GB2312" w:hAnsi="仿宋" w:eastAsia="仿宋_GB2312" w:cs="仿宋"/>
          <w:sz w:val="32"/>
          <w:szCs w:val="32"/>
        </w:rPr>
        <w:t>2021年一般公共预算收支预算81.78万元，与上年相比，一般公共预算收支预算减少3.07万元，下降3.6%,主要原因：厉行节约，压缩支出。</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spacing w:line="560" w:lineRule="exact"/>
        <w:ind w:firstLine="643" w:firstLineChars="200"/>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hint="eastAsia"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2021年一般公共预算支出年初预算为81.78万元。主要用于以下方面：</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2021年一般公共预算支出年初预算为81.78万元。主要用于以下方面：一般公共服务（类）支出62.76万元，占76.74%；社会保障和就业（类）支出7.8万元，占9.54%；医疗卫生（类）支出5.96万元，占7.29%；住房保障（类）支出5.26万元，占6.43%。</w:t>
      </w:r>
    </w:p>
    <w:p>
      <w:pPr>
        <w:spacing w:line="560" w:lineRule="exact"/>
        <w:ind w:firstLine="643" w:firstLineChars="200"/>
        <w:rPr>
          <w:rFonts w:hint="eastAsia" w:ascii="宋体" w:hAnsi="宋体" w:cs="宋体"/>
          <w:b/>
          <w:kern w:val="0"/>
          <w:sz w:val="32"/>
          <w:szCs w:val="32"/>
        </w:rPr>
      </w:pPr>
      <w:r>
        <w:rPr>
          <w:rFonts w:hint="eastAsia" w:ascii="宋体" w:hAnsi="宋体" w:cs="宋体"/>
          <w:b/>
          <w:kern w:val="0"/>
          <w:sz w:val="32"/>
          <w:szCs w:val="32"/>
        </w:rPr>
        <w:t>六、支出预算经济分类情况说明</w:t>
      </w:r>
    </w:p>
    <w:p>
      <w:pPr>
        <w:spacing w:line="560" w:lineRule="exact"/>
        <w:ind w:firstLine="640" w:firstLineChars="200"/>
        <w:rPr>
          <w:rFonts w:hint="eastAsia" w:ascii="仿宋_GB2312" w:hAnsi="宋体" w:eastAsia="仿宋_GB2312" w:cs="宋体"/>
          <w:b/>
          <w:kern w:val="0"/>
          <w:sz w:val="32"/>
          <w:szCs w:val="32"/>
        </w:rPr>
      </w:pPr>
      <w:r>
        <w:rPr>
          <w:rFonts w:hint="eastAsia" w:ascii="仿宋_GB2312" w:hAnsi="仿宋" w:eastAsia="仿宋_GB2312" w:cs="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2021年预算支出81.78万元。其中：基本支出79.78万元，主要包括：基本工资、津贴补贴、奖金、绩效工资、机关事业单位基本养老保险缴费、职业年金缴费、医疗保险缴费、其他社会保障缴费、住房公积金、其他工资福利支出、退休费、其他对个人和家庭的补助支出；项目支出2.0万元，主要包括：办公费、印刷费、邮电费、差旅</w:t>
      </w:r>
      <w:r>
        <w:rPr>
          <w:rFonts w:hint="eastAsia" w:ascii="仿宋_GB2312" w:hAnsi="仿宋" w:eastAsia="仿宋_GB2312" w:cs="仿宋"/>
          <w:sz w:val="32"/>
          <w:szCs w:val="32"/>
        </w:rPr>
        <w:tab/>
      </w:r>
      <w:r>
        <w:rPr>
          <w:rFonts w:hint="eastAsia" w:ascii="仿宋_GB2312" w:hAnsi="仿宋" w:eastAsia="仿宋_GB2312" w:cs="仿宋"/>
          <w:sz w:val="32"/>
          <w:szCs w:val="32"/>
        </w:rPr>
        <w:t>费、维修（护）费、租赁费、会议费、培训费、公务接待费、劳务费、福利费、公务用车运行维护费、其他</w:t>
      </w:r>
      <w:r>
        <w:rPr>
          <w:rFonts w:hint="eastAsia" w:ascii="仿宋_GB2312" w:hAnsi="仿宋" w:eastAsia="仿宋_GB2312" w:cs="仿宋"/>
          <w:sz w:val="32"/>
          <w:szCs w:val="32"/>
        </w:rPr>
        <w:tab/>
      </w:r>
      <w:r>
        <w:rPr>
          <w:rFonts w:hint="eastAsia" w:ascii="仿宋_GB2312" w:hAnsi="仿宋" w:eastAsia="仿宋_GB2312" w:cs="仿宋"/>
          <w:sz w:val="32"/>
          <w:szCs w:val="32"/>
        </w:rPr>
        <w:t>交通费用、其他商品和服务支出、办公设备购置、信息网络及软件购置更新和其他支出。</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snapToGrid w:val="0"/>
        <w:spacing w:line="560" w:lineRule="exact"/>
        <w:ind w:firstLine="645"/>
        <w:rPr>
          <w:rFonts w:hint="eastAsia"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p>
    <w:p>
      <w:pPr>
        <w:snapToGrid w:val="0"/>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2021年“三公”经费公共预算0.3万元。2021年“三公”经费支出预算数比上年增加0.3万元，主要原因是增加了接待费预算资金，其中：</w:t>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snapToGrid w:val="0"/>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（一）因公出国（境）费</w:t>
      </w:r>
      <w:r>
        <w:rPr>
          <w:rFonts w:hint="eastAsia" w:ascii="仿宋_GB2312" w:hAnsi="仿宋" w:eastAsia="仿宋_GB2312" w:cs="仿宋"/>
          <w:sz w:val="32"/>
          <w:szCs w:val="32"/>
        </w:rPr>
        <w:t>预算0万元，预算数与上年持平。预算数与 2020 年持平，主要原因是我单位2021年无因公出国境任务。</w:t>
      </w:r>
    </w:p>
    <w:p>
      <w:pPr>
        <w:snapToGrid w:val="0"/>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（二）公务用车购置及运行费</w:t>
      </w:r>
      <w:r>
        <w:rPr>
          <w:rFonts w:hint="eastAsia" w:ascii="仿宋_GB2312" w:hAnsi="仿宋" w:eastAsia="仿宋_GB2312" w:cs="仿宋"/>
          <w:sz w:val="32"/>
          <w:szCs w:val="32"/>
        </w:rPr>
        <w:t>预算0万元，与上年相比增加0万元，占“三公”经费总额的0%。其中，公务用车运行费0万元，与上年相比增加0万元，占“三公”经费总额的0%。主要原因是继续贯彻落实中央八项规定精神，坚持厉行勤俭节约，进一步规范公务用车制度，严格控制公务用车范围，主要用于日常公务发生的燃料费、维修费、过路过桥费、保险费等支出；公务用车购置预算为0万元，预算数与上年持平，占“三公”经费总额的0%，主要原因是落实公车改革政策、加强公务用车管理，严控公务用车支出。</w:t>
      </w:r>
      <w:r>
        <w:rPr>
          <w:rFonts w:hint="eastAsia" w:ascii="仿宋_GB2312" w:hAnsi="仿宋" w:eastAsia="仿宋_GB2312" w:cs="仿宋"/>
          <w:sz w:val="32"/>
          <w:szCs w:val="32"/>
        </w:rPr>
        <w:tab/>
      </w:r>
      <w:r>
        <w:rPr>
          <w:rFonts w:hint="eastAsia" w:ascii="仿宋_GB2312" w:hAnsi="仿宋" w:eastAsia="仿宋_GB2312" w:cs="仿宋"/>
          <w:sz w:val="32"/>
          <w:szCs w:val="32"/>
        </w:rPr>
        <w:t xml:space="preserve">                     </w:t>
      </w:r>
    </w:p>
    <w:p>
      <w:pPr>
        <w:spacing w:line="560" w:lineRule="exact"/>
        <w:rPr>
          <w:rFonts w:ascii="仿宋" w:hAnsi="仿宋" w:eastAsia="仿宋" w:cs="仿宋"/>
          <w:sz w:val="32"/>
          <w:szCs w:val="32"/>
        </w:rPr>
      </w:pPr>
      <w:r>
        <w:rPr>
          <w:rFonts w:hint="eastAsia" w:ascii="仿宋_GB2312" w:hAnsi="仿宋" w:eastAsia="仿宋_GB2312" w:cs="仿宋"/>
          <w:b/>
          <w:bCs/>
          <w:sz w:val="32"/>
          <w:szCs w:val="32"/>
        </w:rPr>
        <w:t>（三）公务接待费</w:t>
      </w:r>
      <w:r>
        <w:rPr>
          <w:rFonts w:hint="eastAsia" w:ascii="仿宋_GB2312" w:hAnsi="仿宋" w:eastAsia="仿宋_GB2312" w:cs="仿宋"/>
          <w:sz w:val="32"/>
          <w:szCs w:val="32"/>
        </w:rPr>
        <w:t>预算0.3万元，预算数比上年增长0.3万元。</w:t>
      </w:r>
      <w:r>
        <w:rPr>
          <w:rFonts w:hint="eastAsia" w:ascii="仿宋_GB2312" w:hAnsi="仿宋" w:eastAsia="仿宋_GB2312" w:cs="仿宋"/>
          <w:bCs/>
          <w:kern w:val="0"/>
          <w:sz w:val="32"/>
          <w:szCs w:val="32"/>
        </w:rPr>
        <w:t>主要原因是严格执行《党政机关国内公务接待管理规定》等办法，不断规范公务接待管理</w:t>
      </w:r>
      <w:r>
        <w:rPr>
          <w:rFonts w:hint="eastAsia" w:ascii="仿宋_GB2312" w:hAnsi="仿宋" w:eastAsia="仿宋_GB2312" w:cs="仿宋"/>
          <w:bCs/>
          <w:kern w:val="0"/>
          <w:sz w:val="32"/>
          <w:szCs w:val="32"/>
          <w:lang w:eastAsia="zh-CN"/>
        </w:rPr>
        <w:t>，</w:t>
      </w:r>
      <w:r>
        <w:rPr>
          <w:rFonts w:hint="eastAsia" w:ascii="仿宋_GB2312" w:hAnsi="仿宋" w:eastAsia="仿宋_GB2312" w:cs="仿宋"/>
          <w:sz w:val="32"/>
          <w:szCs w:val="32"/>
        </w:rPr>
        <w:t>开展工作增加业务招待支出。</w:t>
      </w:r>
      <w:r>
        <w:rPr>
          <w:rFonts w:ascii="仿宋" w:hAnsi="仿宋" w:eastAsia="仿宋" w:cs="仿宋"/>
          <w:sz w:val="32"/>
          <w:szCs w:val="32"/>
        </w:rPr>
        <w:tab/>
      </w:r>
    </w:p>
    <w:p>
      <w:pPr>
        <w:snapToGrid w:val="0"/>
        <w:spacing w:line="560" w:lineRule="exact"/>
        <w:ind w:firstLine="643" w:firstLineChars="200"/>
        <w:rPr>
          <w:rFonts w:ascii="仿宋" w:hAnsi="仿宋" w:eastAsia="仿宋" w:cs="仿宋"/>
          <w:sz w:val="32"/>
          <w:szCs w:val="32"/>
        </w:rPr>
      </w:pPr>
      <w:r>
        <w:rPr>
          <w:rFonts w:hint="eastAsia" w:ascii="宋体" w:hAnsi="宋体" w:eastAsia="仿宋" w:cs="宋体"/>
          <w:b/>
          <w:kern w:val="0"/>
          <w:sz w:val="32"/>
          <w:szCs w:val="32"/>
          <w:lang w:eastAsia="zh-CN"/>
        </w:rPr>
        <w:t>八</w:t>
      </w:r>
      <w:r>
        <w:rPr>
          <w:rFonts w:hint="eastAsia" w:ascii="宋体" w:hAnsi="宋体" w:cs="宋体"/>
          <w:b/>
          <w:kern w:val="0"/>
          <w:sz w:val="32"/>
          <w:szCs w:val="32"/>
        </w:rPr>
        <w:t>、政府性基金预算支出预算情况说明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645"/>
        <w:rPr>
          <w:rFonts w:ascii="仿宋" w:hAnsi="仿宋" w:eastAsia="仿宋" w:cs="仿宋"/>
          <w:sz w:val="32"/>
          <w:szCs w:val="32"/>
        </w:rPr>
      </w:pPr>
      <w:r>
        <w:rPr>
          <w:rFonts w:hint="eastAsia" w:ascii="仿宋_GB2312" w:hAnsi="仿宋" w:eastAsia="仿宋_GB2312" w:cs="仿宋"/>
          <w:sz w:val="32"/>
          <w:szCs w:val="32"/>
        </w:rPr>
        <w:t>部门2021年政府性基金预算支出0万元，预算数与上年持平。</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pStyle w:val="9"/>
        <w:widowControl/>
        <w:spacing w:before="0" w:beforeAutospacing="0" w:after="0" w:afterAutospacing="0" w:line="560" w:lineRule="exact"/>
        <w:ind w:firstLine="643" w:firstLineChars="200"/>
        <w:jc w:val="both"/>
        <w:rPr>
          <w:rFonts w:ascii="仿宋" w:hAnsi="仿宋" w:eastAsia="仿宋" w:cs="仿宋"/>
          <w:sz w:val="32"/>
          <w:szCs w:val="32"/>
        </w:rPr>
      </w:pPr>
      <w:r>
        <w:rPr>
          <w:rFonts w:hint="eastAsia" w:ascii="宋体" w:hAnsi="宋体" w:cs="宋体"/>
          <w:b/>
          <w:bCs/>
          <w:sz w:val="32"/>
          <w:szCs w:val="32"/>
        </w:rPr>
        <w:t>九、其他重要事项情况说明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_GB2312" w:hAnsi="宋体" w:eastAsia="仿宋_GB2312" w:cs="宋体"/>
          <w:b/>
          <w:kern w:val="0"/>
          <w:sz w:val="32"/>
          <w:szCs w:val="32"/>
        </w:rPr>
        <w:t>（一）机关运行经费预算</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2021年，机关运行经费支出预算2.0万元，主要用于办公及印刷费、邮电费、差旅费、会议费、水、电、暖、物业管理等运行维护费、公务用车运行维护费以及其他费用。</w:t>
      </w:r>
    </w:p>
    <w:p>
      <w:pPr>
        <w:snapToGrid w:val="0"/>
        <w:spacing w:line="560" w:lineRule="exact"/>
        <w:ind w:firstLine="643" w:firstLineChars="2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（二）政府采购支出情况</w:t>
      </w:r>
    </w:p>
    <w:p>
      <w:pPr>
        <w:snapToGrid w:val="0"/>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2021年，政府采购预算安排0万元，其中：政府采购货物预算0万元、政府采购工程预算0万元、政府采购服务预算0万元 。主要用于办公设备、办公用品购置及印刷品。</w:t>
      </w:r>
    </w:p>
    <w:p>
      <w:pPr>
        <w:snapToGrid w:val="0"/>
        <w:spacing w:line="560" w:lineRule="exact"/>
        <w:ind w:firstLine="643" w:firstLineChars="2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（三）绩效目标设置情况</w:t>
      </w:r>
    </w:p>
    <w:p>
      <w:pPr>
        <w:snapToGrid w:val="0"/>
        <w:spacing w:line="56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2021年，我单位按要求编制了绩效目标，从项目产出、项目效益、满意度等方面设置了绩效指标，综合反映项目预期完成的数量、实效、质量，预期达到的社会经济效益、可持续影响以及服务对象满意度等情况。</w:t>
      </w:r>
    </w:p>
    <w:p>
      <w:pPr>
        <w:spacing w:line="560" w:lineRule="exact"/>
        <w:ind w:firstLine="643" w:firstLineChars="200"/>
        <w:rPr>
          <w:rFonts w:hint="eastAsia" w:ascii="仿宋_GB2312" w:hAnsi="宋体" w:eastAsia="仿宋_GB2312" w:cs="宋体"/>
          <w:bCs/>
          <w:kern w:val="0"/>
          <w:sz w:val="32"/>
          <w:szCs w:val="32"/>
        </w:rPr>
      </w:pPr>
      <w:r>
        <w:rPr>
          <w:rFonts w:hint="eastAsia" w:ascii="仿宋_GB2312" w:hAnsi="宋体" w:eastAsia="仿宋_GB2312" w:cs="宋体"/>
          <w:b/>
          <w:kern w:val="0"/>
          <w:sz w:val="32"/>
          <w:szCs w:val="32"/>
        </w:rPr>
        <w:t>（四）国有资产占用情况</w:t>
      </w:r>
    </w:p>
    <w:p>
      <w:pPr>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 xml:space="preserve">0年期末 </w:t>
      </w:r>
      <w:r>
        <w:rPr>
          <w:rFonts w:hint="eastAsia" w:ascii="仿宋_GB2312" w:hAnsi="仿宋" w:eastAsia="仿宋_GB2312" w:cs="仿宋"/>
          <w:sz w:val="32"/>
          <w:szCs w:val="32"/>
        </w:rPr>
        <w:t>，我单位共有车辆0辆，其中：一般公务用车0辆,一般执法执勤用车0辆、特种专业技术用车0辆，其他用车0辆；单价50万元以上通用设备0套，单位价值100万元以上专用设备0套。</w:t>
      </w:r>
    </w:p>
    <w:p>
      <w:pPr>
        <w:spacing w:line="560" w:lineRule="exact"/>
        <w:ind w:firstLine="643" w:firstLineChars="2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（五）专项转移支付项目情况</w:t>
      </w:r>
    </w:p>
    <w:p>
      <w:pPr>
        <w:spacing w:line="560" w:lineRule="exact"/>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我单位2021年没有专项转移支付项目。</w:t>
      </w:r>
    </w:p>
    <w:p>
      <w:pPr>
        <w:snapToGrid w:val="0"/>
        <w:spacing w:line="560" w:lineRule="exact"/>
        <w:rPr>
          <w:rFonts w:hint="eastAsia" w:ascii="仿宋" w:hAnsi="仿宋" w:eastAsia="仿宋" w:cs="仿宋"/>
          <w:sz w:val="32"/>
          <w:szCs w:val="32"/>
        </w:rPr>
      </w:pPr>
    </w:p>
    <w:p>
      <w:pPr>
        <w:ind w:firstLine="3534" w:firstLineChars="1100"/>
        <w:rPr>
          <w:rFonts w:hint="eastAsia" w:ascii="宋体" w:hAnsi="宋体" w:cs="宋体"/>
          <w:b/>
          <w:bCs/>
          <w:kern w:val="0"/>
          <w:sz w:val="32"/>
          <w:szCs w:val="32"/>
        </w:rPr>
      </w:pP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第三部分</w:t>
      </w:r>
    </w:p>
    <w:p>
      <w:pPr>
        <w:ind w:firstLine="3534" w:firstLineChars="1100"/>
        <w:rPr>
          <w:rFonts w:hint="eastAsia" w:ascii="宋体" w:hAnsi="宋体" w:eastAsia="宋体" w:cs="宋体"/>
          <w:b/>
          <w:bCs/>
          <w:kern w:val="0"/>
          <w:sz w:val="32"/>
          <w:szCs w:val="32"/>
          <w:highlight w:val="yellow"/>
          <w:lang w:eastAsia="zh-CN"/>
        </w:rPr>
      </w:pP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名词解释</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lang w:val="en-US" w:eastAsia="zh-CN"/>
        </w:rPr>
        <w:t xml:space="preserve">    </w:t>
      </w:r>
      <w:r>
        <w:rPr>
          <w:rFonts w:hint="eastAsia" w:ascii="仿宋_GB2312" w:hAnsi="宋体" w:eastAsia="仿宋_GB2312" w:cs="宋体"/>
          <w:bCs/>
          <w:kern w:val="0"/>
          <w:sz w:val="32"/>
          <w:szCs w:val="32"/>
        </w:rPr>
        <w:t>三、其他收入：是指部门取得的除“财政拨款”、“事业收入”、“事业单位经营收入”等以外的收入。</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3084" w:firstLineChars="1097"/>
        <w:rPr>
          <w:rFonts w:hint="eastAsia" w:ascii="宋体" w:hAnsi="宋体" w:cs="宋体"/>
          <w:b/>
          <w:bCs/>
          <w:color w:val="0000FF"/>
          <w:kern w:val="0"/>
          <w:sz w:val="28"/>
          <w:szCs w:val="28"/>
        </w:rPr>
      </w:pPr>
    </w:p>
    <w:p>
      <w:pPr>
        <w:rPr>
          <w:rFonts w:hint="eastAsia" w:ascii="仿宋_GB2312" w:hAnsi="宋体" w:eastAsia="仿宋_GB2312" w:cs="宋体"/>
          <w:bCs/>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lang w:val="en-US" w:eastAsia="zh-CN"/>
        </w:rPr>
        <w:t xml:space="preserve"> </w:t>
      </w:r>
      <w:bookmarkStart w:id="0" w:name="_GoBack"/>
      <w:bookmarkEnd w:id="0"/>
      <w:r>
        <w:rPr>
          <w:rFonts w:hint="eastAsia" w:ascii="宋体" w:hAnsi="宋体" w:cs="宋体"/>
          <w:b/>
          <w:kern w:val="0"/>
          <w:sz w:val="32"/>
          <w:szCs w:val="32"/>
        </w:rPr>
        <w:t>平顶山市卫东区科学技术协会2021年部门预算表</w:t>
      </w:r>
    </w:p>
    <w:p>
      <w:pPr>
        <w:ind w:firstLine="3084" w:firstLineChars="1097"/>
        <w:rPr>
          <w:rFonts w:hint="eastAsia" w:ascii="宋体" w:hAnsi="宋体" w:cs="宋体"/>
          <w:b/>
          <w:bCs/>
          <w:color w:val="0000FF"/>
          <w:kern w:val="0"/>
          <w:sz w:val="28"/>
          <w:szCs w:val="28"/>
        </w:rPr>
      </w:pPr>
    </w:p>
    <w:p>
      <w:pPr>
        <w:ind w:firstLine="640" w:firstLineChars="200"/>
        <w:rPr>
          <w:rFonts w:hint="eastAsia" w:ascii="仿宋_GB2312" w:hAnsi="宋体" w:eastAsia="仿宋_GB2312" w:cs="宋体"/>
          <w:bCs/>
          <w:kern w:val="0"/>
          <w:sz w:val="32"/>
          <w:szCs w:val="32"/>
        </w:rPr>
      </w:pPr>
    </w:p>
    <w:p>
      <w:pPr>
        <w:ind w:firstLine="540" w:firstLineChars="200"/>
        <w:rPr>
          <w:rFonts w:ascii="宋体" w:hAnsi="宋体" w:cs="宋体"/>
          <w:bCs/>
          <w:kern w:val="0"/>
          <w:sz w:val="27"/>
          <w:szCs w:val="27"/>
        </w:rPr>
      </w:pPr>
    </w:p>
    <w:p>
      <w:pPr>
        <w:ind w:firstLine="540" w:firstLineChars="200"/>
        <w:rPr>
          <w:rFonts w:ascii="宋体" w:hAnsi="宋体" w:cs="宋体"/>
          <w:bCs/>
          <w:kern w:val="0"/>
          <w:sz w:val="27"/>
          <w:szCs w:val="27"/>
        </w:rPr>
      </w:pPr>
    </w:p>
    <w:p>
      <w:pPr>
        <w:snapToGrid w:val="0"/>
        <w:spacing w:line="560" w:lineRule="exact"/>
        <w:rPr>
          <w:rFonts w:hint="eastAsia"/>
        </w:rPr>
      </w:pPr>
    </w:p>
    <w:sectPr>
      <w:pgSz w:w="11906" w:h="16838"/>
      <w:pgMar w:top="2098" w:right="1474" w:bottom="1984" w:left="158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Calibri" w:hAnsi="Calibri" w:cs="黑体"/>
      <w:kern w:val="2"/>
      <w:sz w:val="18"/>
      <w:szCs w:val="18"/>
    </w:rPr>
  </w:style>
  <w:style w:type="character" w:customStyle="1" w:styleId="3">
    <w:name w:val="页脚 Char"/>
    <w:basedOn w:val="4"/>
    <w:link w:val="2"/>
    <w:semiHidden/>
    <w:rPr>
      <w:rFonts w:ascii="Calibri" w:hAnsi="Calibri" w:cs="黑体"/>
      <w:kern w:val="2"/>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Calibri" w:hAnsi="Calibri" w:cs="黑体"/>
      <w:kern w:val="2"/>
      <w:sz w:val="18"/>
      <w:szCs w:val="18"/>
    </w:rPr>
  </w:style>
  <w:style w:type="character" w:customStyle="1" w:styleId="6">
    <w:name w:val="页眉 Char"/>
    <w:basedOn w:val="4"/>
    <w:link w:val="5"/>
    <w:semiHidden/>
    <w:rPr>
      <w:rFonts w:ascii="Calibri" w:hAnsi="Calibri" w:cs="黑体"/>
      <w:kern w:val="2"/>
      <w:sz w:val="18"/>
      <w:szCs w:val="18"/>
    </w:rPr>
  </w:style>
  <w:style w:type="paragraph" w:customStyle="1" w:styleId="7">
    <w:name w:val="Normal (Web)1"/>
    <w:basedOn w:val="1"/>
    <w:pPr>
      <w:spacing w:beforeAutospacing="1" w:afterAutospacing="1"/>
      <w:jc w:val="left"/>
    </w:pPr>
    <w:rPr>
      <w:kern w:val="0"/>
      <w:sz w:val="24"/>
    </w:rPr>
  </w:style>
  <w:style w:type="paragraph" w:customStyle="1" w:styleId="8">
    <w:name w:val="p0"/>
    <w:basedOn w:val="1"/>
    <w:pPr>
      <w:widowControl/>
    </w:pPr>
    <w:rPr>
      <w:rFonts w:ascii="Times New Roman" w:hAnsi="Times New Roman" w:cs="Times New Roman"/>
      <w:kern w:val="0"/>
      <w:szCs w:val="21"/>
    </w:rPr>
  </w:style>
  <w:style w:type="paragraph" w:customStyle="1" w:styleId="9">
    <w:name w:val="Normal (Web)"/>
    <w:basedOn w:val="1"/>
    <w:pPr>
      <w:spacing w:before="100" w:beforeAutospacing="1" w:after="100" w:afterAutospacing="1"/>
      <w:jc w:val="left"/>
    </w:pPr>
    <w:rPr>
      <w:rFonts w:ascii="Times New Roman" w:hAnsi="Times New Roman" w:cs="Times New Roman"/>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533</Words>
  <Characters>3042</Characters>
  <Lines>25</Lines>
  <Paragraphs>7</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2021-03-19T17:27:00Z</dcterms:created>
  <dc:creator>翾1367974113</dc:creator>
  <dcterms:modified xsi:type="dcterms:W3CDTF">2021-06-10T15:28:28Z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044D55AD325C4F928004EE61B4E47060</vt:lpwstr>
  </property>
</Properties>
</file>