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highlight w:val="cyan"/>
          <w:lang w:val="en-US" w:eastAsia="zh-CN"/>
        </w:rPr>
      </w:pPr>
    </w:p>
    <w:p>
      <w:pPr>
        <w:ind w:firstLine="883" w:firstLineChars="200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2021年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平顶山市卫东区商贸服务中心</w:t>
      </w:r>
    </w:p>
    <w:p>
      <w:pPr>
        <w:ind w:firstLine="3304" w:firstLineChars="748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部门预算说明</w:t>
      </w:r>
    </w:p>
    <w:p>
      <w:pPr>
        <w:ind w:firstLine="2421" w:firstLineChars="548"/>
        <w:jc w:val="left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 w:val="0"/>
        <w:wordWrap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录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第一部分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平顶山市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卫东区商贸服务中心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基本概况 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一、主要职能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二、部门预算单位构成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widowControl w:val="0"/>
        <w:wordWrap/>
        <w:adjustRightInd/>
        <w:snapToGrid w:val="0"/>
        <w:spacing w:line="560" w:lineRule="exact"/>
        <w:ind w:left="1920" w:hanging="1928" w:hangingChars="6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第二部分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平顶山市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卫东区商贸服务中心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2021年部门预算情况说明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第三部分　名词解释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附件：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平顶山市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卫东区商贸服务中心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2021年度部门预算表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一、部门收支总体情况表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二、部门收入总体情况表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三、部门支出总体情况表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四、财政拨款收支总体情况表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五、一般公共预算支出情况表    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六、支出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分类汇总表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七、一般公共预算“三公”经费支出情况表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八、政府性基金预算支出情况表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整体绩效目标表</w:t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十、部门预算项目绩效目标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>
      <w:pPr>
        <w:widowControl w:val="0"/>
        <w:numPr>
          <w:numId w:val="0"/>
        </w:numPr>
        <w:tabs>
          <w:tab w:val="left" w:pos="2626"/>
        </w:tabs>
        <w:wordWrap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第一部分</w:t>
      </w: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560" w:lineRule="exact"/>
        <w:ind w:firstLine="1606" w:firstLineChars="5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平顶山市卫东区商贸服务中心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基本概况</w:t>
      </w: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平顶山市卫东区商贸服务中心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主要职能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800" w:firstLineChars="25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办公室。拟定中心工作制度，负责文电、会议、文秘等工作；承担信息上报、政务公开、安全保卫、计划生育、卫生、固定资产管理和精神文明建设等工作。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800" w:firstLineChars="25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gree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业务股。负责中心及区属商业改制企业的安全生产、综合治理、信访稳定工作。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gree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平顶山市卫东区商贸服务中心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预算单位构成情况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本部门预算仅包含本级预算，无所属单位预算。纳入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平顶山市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卫东区商贸服务中心2021 年度部门预算编制范围的单位包括: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平顶山市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卫东区商贸服务中心本级。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平顶山市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卫东区商贸服务中心设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2个内设机构：办公室、业务股室。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1124" w:firstLineChars="3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3534" w:firstLineChars="11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第二部分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平顶山市卫东区商贸服务中心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部门预算情况说明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一、收入支出预算总体情况说明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2021年收、支总计均为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万元,与上年相比，收、支总计均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万元, 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%。主要原因：人员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（厉行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节约，压缩支出）。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ind w:firstLine="803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二、收入预算总体情况说明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2021年收入预算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803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三、支出预算总体情况说明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预算110.06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按用途划分为：基本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万元,占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四、财政拨款收入支出预算总体情况说明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2021年一般公共预算收支预算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万元，与上年相比，一般公共预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算收支预算减少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%,主要原因：人员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（厉行节约，压缩支出）。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五、一般公共预算支出预算情况说明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2021年一般公共预算支出年初预算为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110.06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元。主要用于以下方面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社会保障和就业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11.43万元，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10.39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医疗卫生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7.82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7.11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%；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商业服务业等事务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83.94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万元，占7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6.26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%；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住房保障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6.87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万元，占6.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六、支出预算经济分类情况说明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按照《财政部关于印发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支出经济分类科目改革方案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的通知》（财预[2017]98号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要求，从2018年起全面实施支出经济分类科目改革，根据政府预算管理和部门预算管理的不同特点，分设部门预算支出经济分类科目和政府预算支出经济分类科目，两套科目之间保持对应关系。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为适应改革要求，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我单位《支出经济分类汇总表》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2018年起从仅反映一般公共预算基本支出经济分类项目预算调整为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按两套经济分类科目分别反应不同资金来源的全部预算支出。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110.06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万元，主要包括：基本工资、津贴补贴、奖金、机关事业单位基本养老保险缴费、职业年金缴费、医疗保险缴费、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大病险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、住房公积金、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公务员医疗补助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公用经费、工会经费、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退休费、其他对个人和家庭的补助支出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七、“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支出预算情况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2021年“三公”经费公共预算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万元。2021年“三公”经费支出预算数比上年减少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万元，主要原因是认真贯彻落实中央八项规定精神，坚持厉行勤俭节约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因公出国（境）费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万元，预算数与上年持平。预算数与 2020 年持平，主要原因是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年无因公出国境任务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公务用车购置及运行费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与上年相比增加（减少）0万元，占“三公”经费总额的 0 %。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其中，公务用车运行费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万元，与上年相比增加（减少）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占“三公”经费总额的 0  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主要原因是继续贯彻落实中央八项规定精神，坚持厉行勤俭节约，进一步规范公务用车制度，严格控制公务用车范围，主要用于日常公务发生的燃料费、维修费、过路过桥费、保险费等支出；公务用车购置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万元，比上年增加（减少）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占“三公”经费总额的 0 %，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主要原因是落实公车改革政策、加强公务用车管理，严控公务用车支出。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万元，预算数比上年增长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万元。主要原因是认真贯彻落实中央八项规定精神，坚持厉行勤俭节约。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、政府性基金预算支出预算情况说明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部门2021年政府性基金预算支出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万元，预算数与上年持平。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主要原因是严格执行《党政机关国内公务接待管理规定》等办法，不断规范公务接待管理，严格接待审批控制，厉行勤俭节约，不断压缩公务接待费支出等。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其他重要事项的情况说明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宋体" w:hAnsi="宋体" w:eastAsia="宋体" w:cs="宋体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（一）机关运行经费预算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2021年，机关运行经费支出预算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万元，主要用于办公及印刷费、邮电费、差旅费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会议费、水、电、暖、物业管理等运行维护费、公务用车运行维护费以及其他费用。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政府采购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支出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情况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万元。主要用于办公设备、办公用品购置及印刷品。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预算数与 2020 年相比减少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绩效目标设置情况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2021年，我单位按要求编制了绩效目标，从项目产出、项目效益、满意度等方面设置了绩效指标，综合反映项目预期完成的数量、实效、质量，预期达到的社会经济效益、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可持</w:t>
      </w:r>
      <w:r>
        <w:rPr>
          <w:rFonts w:hint="eastAsia" w:ascii="仿宋_GB2312" w:hAnsi="仿宋_GB2312" w:eastAsia="仿宋_GB2312" w:cs="仿宋_GB2312"/>
          <w:sz w:val="32"/>
          <w:szCs w:val="32"/>
        </w:rPr>
        <w:t>续影响以及服务对象满意度等情况。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年期末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，我单位共有车辆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辆，其中：一般公务用车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辆,一般执法执勤用车0辆、特种专业技术用车0辆，其他用车0辆；单价50万元以上通用设备0套，单位价值100万元以上专用设备0套。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）专项转移支付项目情况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我单位2021年没有专项转移支付项目。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3534" w:firstLineChars="11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第三部分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3534" w:firstLineChars="1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一、财政拨款收入：是指省级财政当年拨付的资金。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二、事业收入：是指事业单位开展专业活动及辅助活动所取得的收入。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即事业单位以前各年度收支相抵后，按国家规定提取、用于弥补以后年度收支差额的基金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弥补当年收支缺口的资金。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七、“三公”经费：是指纳入省级财政预算管理，部门使用财政拨款安排的因公出国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费、公务用车购置及运行费和公务接待费。其中，因公出国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费反映单位公务出国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的住宿费、旅费、伙食补助费、杂费、培训费等支出；公务用车购置及运行费反映单位公务用车购置费及租用费、燃料费、维修费、过路过桥费、保险费、安全奖励费用等支出；公务接待费反映单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位按规定开支的各类公务接待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含外宾接待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八、机关运行经费：是指为保障行政单位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含参照公务员法管理的事业单位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ab/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highlight w:val="none"/>
          <w:lang w:eastAsia="zh-CN"/>
        </w:rPr>
        <w:t>附件：</w:t>
      </w:r>
    </w:p>
    <w:p>
      <w:pPr>
        <w:ind w:firstLine="1285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平顶山市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卫东区商贸服务中心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highlight w:val="none"/>
          <w:lang w:val="en-US" w:eastAsia="zh-CN"/>
        </w:rPr>
        <w:t>2021年部门预算表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wordWrap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widowControl w:val="0"/>
        <w:wordWrap/>
        <w:adjustRightInd/>
        <w:snapToGrid w:val="0"/>
        <w:spacing w:line="56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C30BFB"/>
    <w:rsid w:val="028616D5"/>
    <w:rsid w:val="03941541"/>
    <w:rsid w:val="03F15A50"/>
    <w:rsid w:val="0747354D"/>
    <w:rsid w:val="09BE6D70"/>
    <w:rsid w:val="0ABA37D0"/>
    <w:rsid w:val="0B507D25"/>
    <w:rsid w:val="0CBC2EDC"/>
    <w:rsid w:val="15232755"/>
    <w:rsid w:val="1662287D"/>
    <w:rsid w:val="1A13731B"/>
    <w:rsid w:val="1C1C254B"/>
    <w:rsid w:val="1DF23966"/>
    <w:rsid w:val="1EEE5624"/>
    <w:rsid w:val="1FEC6388"/>
    <w:rsid w:val="22552A24"/>
    <w:rsid w:val="22F70C90"/>
    <w:rsid w:val="23722537"/>
    <w:rsid w:val="248074B4"/>
    <w:rsid w:val="24B35746"/>
    <w:rsid w:val="25896817"/>
    <w:rsid w:val="2668607F"/>
    <w:rsid w:val="2C653856"/>
    <w:rsid w:val="2E9A5747"/>
    <w:rsid w:val="36977C6A"/>
    <w:rsid w:val="386E6EAD"/>
    <w:rsid w:val="3E4A24AF"/>
    <w:rsid w:val="430008C7"/>
    <w:rsid w:val="43FF2739"/>
    <w:rsid w:val="44605ACC"/>
    <w:rsid w:val="45982B97"/>
    <w:rsid w:val="47041732"/>
    <w:rsid w:val="490A3647"/>
    <w:rsid w:val="490F0E39"/>
    <w:rsid w:val="59D24CB7"/>
    <w:rsid w:val="5B2B3F3B"/>
    <w:rsid w:val="5C265B86"/>
    <w:rsid w:val="610B4041"/>
    <w:rsid w:val="646607E2"/>
    <w:rsid w:val="67FD2A68"/>
    <w:rsid w:val="6E180FCF"/>
    <w:rsid w:val="6E336CEA"/>
    <w:rsid w:val="6F4B5DBF"/>
    <w:rsid w:val="715B67BC"/>
    <w:rsid w:val="7314126F"/>
    <w:rsid w:val="77B37704"/>
    <w:rsid w:val="78FC0B57"/>
    <w:rsid w:val="7AA450B6"/>
    <w:rsid w:val="7BFA0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2021-03-04T00:17:00Z</dcterms:created>
  <dc:creator>翾1367974113</dc:creator>
  <cp:lastModifiedBy>Administrator</cp:lastModifiedBy>
  <dcterms:modified xsi:type="dcterms:W3CDTF">2021-06-15T02:33:17Z</dcterms:modified>
  <dc:title>mac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9852C603532E423C8DABA711F519E6DF</vt:lpwstr>
  </property>
</Properties>
</file>