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Lines="180" w:after="0" w:line="580" w:lineRule="exact"/>
        <w:ind w:right="0"/>
        <w:jc w:val="center"/>
        <w:textAlignment w:val="auto"/>
        <w:outlineLvl w:val="9"/>
        <w:rPr>
          <w:rFonts w:hint="eastAsia" w:ascii="Calibri" w:hAnsi="Calibri" w:eastAsia="方正小标宋简体" w:cs="黑体"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方正小标宋简体" w:cs="黑体"/>
          <w:bCs/>
          <w:kern w:val="0"/>
          <w:sz w:val="44"/>
          <w:szCs w:val="44"/>
          <w:lang w:val="en-US" w:eastAsia="zh-CN"/>
        </w:rPr>
        <w:t>卫东区行政复议应诉工作汇报</w:t>
      </w:r>
    </w:p>
    <w:p>
      <w:pPr>
        <w:wordWrap/>
        <w:adjustRightInd/>
        <w:snapToGrid/>
        <w:spacing w:before="0" w:after="0" w:line="58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8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卫东区行政复议应诉工作坚持贯彻落实习近平法治思想，推动法治政府建设，紧密结合我区工作实际，围绕复议为民办案的宗旨，服务大局，健全制度、优化机制，化解争议、规范执法，行政复议职能作用全面发挥。现将工作开展情况汇报如下：</w:t>
      </w:r>
    </w:p>
    <w:p>
      <w:pPr>
        <w:wordWrap/>
        <w:adjustRightInd/>
        <w:snapToGrid/>
        <w:spacing w:before="0" w:after="0" w:line="58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（一）行政复议工作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2021年至今，卫东区行政复议办公室共接收复议申请13件，受理10件，现已全部办结。从案件数量来看，较去年增长3倍多；从案由来看，主要为行政处罚案件；从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审理结果看，绝大部分行政处罚经过审查均得到维持，个别案件因为程序问题被撤销或在调解下由当事人撤回，行政争议得到有效化解。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after="0" w:line="580" w:lineRule="exact"/>
        <w:ind w:left="63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（二）行政诉讼工作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after="0" w:line="580" w:lineRule="exact"/>
        <w:ind w:right="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2021年卫东区政府共面临5件诉讼案件，其中1件因当事人不服行政复议决定起诉的案件得到了法院的维持判决，其余4件为行政赔偿类案件，目前均在审理当中。</w:t>
      </w:r>
    </w:p>
    <w:p>
      <w:pPr>
        <w:widowControl w:val="0"/>
        <w:wordWrap/>
        <w:adjustRightInd/>
        <w:snapToGrid/>
        <w:spacing w:after="0" w:line="580" w:lineRule="exact"/>
        <w:ind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二、主要做法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80" w:lineRule="exact"/>
        <w:ind w:right="0"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一是充实人员力量，强化后勤保障。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行政复议体制改革以来，区委区政府高度重视，严格落实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《河南省人民政府关于推进行政复议体制改革的意见》文件要求，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为了保证复议审理的专业性，通过政府购买服务的方式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，充实复议队伍的力量。并购置办公设备，配备调解室、听证室，确保复议各项工作有序开展。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80" w:lineRule="exact"/>
        <w:ind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二是完善工作机制，提高办案质量。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为规范行政复议流程，促进依法行政，制定《卫东区行政复议应诉工作制度》，严格规范复议工作各项程序。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优化服务，在复议接待场所提供申请书格式样本，对不清楚复议流程的申请人，积极指导和释明，真正做到复议为民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三是依托简报形式，健全依法行政。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为树立法治意识，强化依法行政，定期制发《行政诉讼与复议工作简报》报送至区政府主要领导和相关部门。内容涉及近期案情、办理情况和意见建议，通过领导指示批示，督促各单位落实责任。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四是搭建沟通渠道，发挥监督功能。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针对复议诉讼中的复杂案件，行政复议办公室及时组织相关部门、法律顾问召开联席会，充分听取意见，提出切实可行的改进建议，通过多方沟通，积极推动案件进展，强化了对行政执法部门的监督。</w:t>
      </w:r>
    </w:p>
    <w:p>
      <w:pPr>
        <w:wordWrap/>
        <w:adjustRightInd/>
        <w:snapToGrid/>
        <w:spacing w:before="0" w:after="0" w:line="580" w:lineRule="exact"/>
        <w:ind w:right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三、存在问题和解决方案</w:t>
      </w:r>
    </w:p>
    <w:p>
      <w:pPr>
        <w:widowControl w:val="0"/>
        <w:wordWrap/>
        <w:adjustRightInd/>
        <w:snapToGrid/>
        <w:spacing w:after="0" w:line="580" w:lineRule="exact"/>
        <w:ind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一是专业领域办案难度大，人员素质待提高。解决方案是建立完善培训制度，提高业务能力；成立行政复议委员会，组成一支能够应对各项专业领域审理工作的队伍。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二是行政执法不规范，挫伤政府公信力。解决方案是要进一步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强化行政复议工作的地位，充分发挥复议的制度优势，确保行政复议监督功能发挥作用。</w:t>
      </w:r>
    </w:p>
    <w:p>
      <w:pPr>
        <w:wordWrap/>
        <w:adjustRightInd/>
        <w:snapToGrid/>
        <w:spacing w:before="0" w:after="0" w:line="580" w:lineRule="exact"/>
        <w:ind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四、下一步工作打算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一是创新审理机制，完善复议调解。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树立依法调解的理念、丰富结案方式，充分发挥制度优势。</w:t>
      </w:r>
    </w:p>
    <w:p>
      <w:pPr>
        <w:widowControl w:val="0"/>
        <w:wordWrap/>
        <w:adjustRightInd/>
        <w:snapToGrid/>
        <w:spacing w:after="0" w:line="580" w:lineRule="exact"/>
        <w:ind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二是加快复议公开，丰富受理方式。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推动行政复议信息化建设，通过网上办理畅通复议渠道。</w:t>
      </w:r>
    </w:p>
    <w:p>
      <w:pPr>
        <w:widowControl w:val="0"/>
        <w:wordWrap/>
        <w:adjustRightInd/>
        <w:snapToGrid/>
        <w:spacing w:after="0" w:line="580" w:lineRule="exact"/>
        <w:ind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三是梳理法治思维，彰显复议优势。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通过制发行政复议意见书、建议书等方式，规范职能部门依法行政，将法治政府建设落到实处。</w:t>
      </w:r>
    </w:p>
    <w:p>
      <w:pPr>
        <w:widowControl w:val="0"/>
        <w:wordWrap/>
        <w:adjustRightInd/>
        <w:snapToGrid/>
        <w:spacing w:beforeLines="180" w:after="0" w:line="580" w:lineRule="exact"/>
        <w:ind w:right="0"/>
        <w:jc w:val="center"/>
        <w:textAlignment w:val="auto"/>
        <w:outlineLvl w:val="9"/>
        <w:rPr>
          <w:rFonts w:hint="default" w:ascii="Calibri" w:hAnsi="Calibri" w:eastAsia="方正小标宋简体" w:cs="黑体"/>
          <w:bCs/>
          <w:kern w:val="0"/>
          <w:sz w:val="44"/>
          <w:szCs w:val="44"/>
          <w:lang w:val="en-US" w:eastAsia="zh-CN"/>
        </w:rPr>
      </w:pPr>
    </w:p>
    <w:p>
      <w:pPr>
        <w:wordWrap/>
        <w:adjustRightInd/>
        <w:snapToGrid/>
        <w:spacing w:after="0" w:line="580" w:lineRule="exact"/>
        <w:ind w:right="0"/>
        <w:textAlignment w:val="auto"/>
        <w:outlineLvl w:val="9"/>
      </w:pPr>
    </w:p>
    <w:p>
      <w:pPr>
        <w:wordWrap/>
        <w:adjustRightInd/>
        <w:snapToGrid/>
        <w:spacing w:after="0" w:line="580" w:lineRule="exact"/>
        <w:ind w:right="0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paperSrc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23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1764</Words>
  <Characters>1779</Characters>
  <Lines>0</Lines>
  <Paragraphs>23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2021-10-19T18:38:00Z</dcterms:created>
  <dc:creator>潺潺流水</dc:creator>
  <cp:lastModifiedBy>潺潺流水</cp:lastModifiedBy>
  <cp:lastPrinted>2021-10-28T10:39:00Z</cp:lastPrinted>
  <dcterms:modified xsi:type="dcterms:W3CDTF">2021-10-28T06:58:49Z</dcterms:modified>
  <dc:title>潺潺流水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B5B4B2D41F0B43A3950C49B43BEC05C0</vt:lpwstr>
  </property>
</Properties>
</file>