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区人民政府于202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日印发了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《全区高层建筑消防安全专项整治工作方案》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，以下简称《通知》。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文件制定必要性及目的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为认真吸取高层建筑火灾事故教训，全面排查整治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高层建筑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消防安全突出问题，按照市政府统一部署，区政府决定自即日起至12月15日，在全区组织开展高层建筑消防安全专项整治，特</w:t>
      </w:r>
      <w:r>
        <w:rPr>
          <w:rFonts w:hint="eastAsia" w:ascii="仿宋_GB2312" w:hAnsi="仿宋_GB2312" w:eastAsia="仿宋_GB2312" w:cs="仿宋_GB2312"/>
          <w:sz w:val="32"/>
          <w:szCs w:val="32"/>
          <w:lang w:eastAsia="zh-TW" w:bidi="zh-TW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TW" w:bidi="zh-TW"/>
        </w:rPr>
        <w:t>工作方案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、工作目标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深入贯彻落实习近平总书记关于安全工作的重要论述，按照市委、市政府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和区委、区政府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关于消防安全工作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决策部署，积极推进高层建筑消防安全专项整治工作，全力解决高层建筑消防安全突出问题，推动高层建筑产权单位和管理使用单位落实消防安全管理责任，坚决预防和遏制高层建筑火灾事故发生。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、治理范围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全区已建成投入使用的高层公共建筑（建筑高度大于24米的非单层公共建筑）和高层住宅建筑（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建筑高度大于27米的住宅建筑）。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三、重大分歧意见的处理情况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无重大分歧。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四、文件施行日期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该文件自印发之日起施行。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EF24F"/>
    <w:multiLevelType w:val="singleLevel"/>
    <w:tmpl w:val="06BEF2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07487"/>
    <w:rsid w:val="0CA07487"/>
    <w:rsid w:val="4BC3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2021-10-28T07:47:00Z</dcterms:created>
  <dc:creator>HELLO</dc:creator>
  <cp:lastModifiedBy>HELLO</cp:lastModifiedBy>
  <dcterms:modified xsi:type="dcterms:W3CDTF">2021-10-28T07:51:18Z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5638BD2FA6274D16B369502C437C120F</vt:lpwstr>
  </property>
</Properties>
</file>