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_GB2312" w:eastAsia="仿宋_GB2312"/>
          <w:sz w:val="30"/>
          <w:szCs w:val="30"/>
        </w:rPr>
      </w:pPr>
    </w:p>
    <w:p>
      <w:pPr>
        <w:spacing w:line="400" w:lineRule="exact"/>
        <w:ind w:left="2625" w:leftChars="1250" w:firstLine="280" w:firstLineChars="1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p>
    <w:p>
      <w:pPr>
        <w:spacing w:line="400" w:lineRule="exact"/>
        <w:ind w:left="2625" w:leftChars="1250" w:firstLine="280" w:firstLineChars="100"/>
        <w:rPr>
          <w:rFonts w:ascii="Times New Roman" w:hAnsi="Times New Roman" w:eastAsia="仿宋_GB2312" w:cs="Times New Roman"/>
          <w:color w:val="000000"/>
          <w:sz w:val="28"/>
          <w:szCs w:val="28"/>
        </w:rPr>
      </w:pPr>
    </w:p>
    <w:p>
      <w:pPr>
        <w:spacing w:line="400" w:lineRule="exact"/>
        <w:ind w:left="2625" w:leftChars="1250" w:firstLine="280" w:firstLineChars="100"/>
        <w:jc w:val="righ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p>
    <w:p>
      <w:pPr>
        <w:spacing w:line="400" w:lineRule="exact"/>
        <w:ind w:left="2625" w:leftChars="1250" w:firstLine="300" w:firstLineChars="100"/>
        <w:jc w:val="right"/>
        <w:rPr>
          <w:rFonts w:hint="eastAsia" w:ascii="仿宋_GB2312" w:hAnsi="仿宋_GB2312" w:eastAsia="仿宋_GB2312" w:cs="仿宋_GB2312"/>
          <w:color w:val="000000"/>
          <w:sz w:val="30"/>
          <w:szCs w:val="30"/>
        </w:rPr>
      </w:pPr>
    </w:p>
    <w:p>
      <w:pPr>
        <w:keepNext w:val="0"/>
        <w:keepLines w:val="0"/>
        <w:pageBreakBefore w:val="0"/>
        <w:widowControl w:val="0"/>
        <w:tabs>
          <w:tab w:val="left" w:pos="5353"/>
          <w:tab w:val="right" w:pos="8427"/>
        </w:tabs>
        <w:kinsoku/>
        <w:wordWrap w:val="0"/>
        <w:overflowPunct/>
        <w:topLinePunct w:val="0"/>
        <w:autoSpaceDE/>
        <w:autoSpaceDN/>
        <w:bidi w:val="0"/>
        <w:adjustRightInd/>
        <w:snapToGrid/>
        <w:spacing w:line="240" w:lineRule="auto"/>
        <w:ind w:right="0" w:rightChars="0" w:firstLine="570"/>
        <w:jc w:val="right"/>
        <w:textAlignment w:val="auto"/>
        <w:outlineLvl w:val="9"/>
        <w:rPr>
          <w:rFonts w:hint="eastAsia" w:ascii="仿宋_GB2312" w:eastAsia="仿宋_GB2312"/>
          <w:sz w:val="30"/>
          <w:szCs w:val="30"/>
        </w:rPr>
      </w:pPr>
      <w:r>
        <w:rPr>
          <w:rFonts w:hint="eastAsia" w:ascii="仿宋_GB2312" w:hAnsi="仿宋_GB2312" w:eastAsia="仿宋_GB2312" w:cs="仿宋_GB2312"/>
          <w:color w:val="000000"/>
          <w:sz w:val="32"/>
          <w:szCs w:val="32"/>
          <w:lang w:val="en-US" w:eastAsia="zh-CN"/>
        </w:rPr>
        <w:t>平卫环报</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10号</w:t>
      </w:r>
    </w:p>
    <w:p>
      <w:pPr>
        <w:keepNext w:val="0"/>
        <w:keepLines w:val="0"/>
        <w:pageBreakBefore w:val="0"/>
        <w:widowControl w:val="0"/>
        <w:kinsoku/>
        <w:wordWrap/>
        <w:overflowPunct/>
        <w:topLinePunct w:val="0"/>
        <w:autoSpaceDE/>
        <w:autoSpaceDN/>
        <w:bidi w:val="0"/>
        <w:adjustRightInd/>
        <w:snapToGrid/>
        <w:spacing w:line="0" w:lineRule="atLeast"/>
        <w:ind w:left="6" w:leftChars="0" w:right="0" w:rightChars="0" w:hanging="6" w:firstLineChars="0"/>
        <w:jc w:val="center"/>
        <w:textAlignment w:val="auto"/>
        <w:outlineLvl w:val="9"/>
        <w:rPr>
          <w:rFonts w:hint="eastAsia" w:ascii="仿宋" w:hAnsi="仿宋" w:eastAsia="仿宋"/>
          <w:sz w:val="44"/>
          <w:szCs w:val="28"/>
        </w:rPr>
      </w:pPr>
      <w:r>
        <w:rPr>
          <w:rFonts w:hint="eastAsia" w:ascii="方正小标宋简体" w:hAnsi="方正小标宋简体" w:eastAsia="方正小标宋简体" w:cs="方正小标宋简体"/>
          <w:color w:val="000000"/>
          <w:sz w:val="44"/>
          <w:szCs w:val="44"/>
          <w:lang w:val="en-US" w:eastAsia="zh-CN"/>
        </w:rPr>
        <w:t>关于平顶山嘉泰房地产开发有限公司东方雅苑A-01、A-02地块项目环境影响报告表的批复意见</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 w:eastAsia="仿宋_GB2312"/>
          <w:sz w:val="30"/>
          <w:szCs w:val="30"/>
        </w:rPr>
      </w:pPr>
      <w:r>
        <w:rPr>
          <w:rFonts w:hint="eastAsia" w:ascii="仿宋_GB2312" w:hAnsi="仿宋" w:eastAsia="仿宋_GB2312"/>
          <w:sz w:val="30"/>
          <w:szCs w:val="30"/>
          <w:lang w:val="en-US" w:eastAsia="zh-CN"/>
        </w:rPr>
        <w:t>平顶山嘉泰房地产开发有限公司</w:t>
      </w:r>
      <w:bookmarkStart w:id="0" w:name="_GoBack"/>
      <w:bookmarkEnd w:id="0"/>
      <w:r>
        <w:rPr>
          <w:rFonts w:hint="eastAsia" w:ascii="仿宋_GB2312" w:hAnsi="仿宋" w:eastAsia="仿宋_GB2312"/>
          <w:sz w:val="30"/>
          <w:szCs w:val="30"/>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76" w:firstLineChars="192"/>
        <w:jc w:val="both"/>
        <w:textAlignment w:val="auto"/>
        <w:outlineLvl w:val="9"/>
        <w:rPr>
          <w:rFonts w:hint="eastAsia" w:ascii="仿宋_GB2312" w:hAnsi="仿宋" w:eastAsia="仿宋_GB2312"/>
          <w:sz w:val="30"/>
          <w:szCs w:val="30"/>
        </w:rPr>
      </w:pPr>
      <w:r>
        <w:rPr>
          <w:rFonts w:hint="eastAsia" w:ascii="仿宋_GB2312" w:hAnsi="仿宋" w:eastAsia="仿宋_GB2312"/>
          <w:sz w:val="30"/>
          <w:szCs w:val="30"/>
        </w:rPr>
        <w:t>你单位上报的由河南汇能阜力科技有限公司编制的《</w:t>
      </w:r>
      <w:r>
        <w:rPr>
          <w:rFonts w:ascii="仿宋_GB2312" w:hAnsi="仿宋" w:eastAsia="仿宋_GB2312"/>
          <w:sz w:val="30"/>
          <w:szCs w:val="30"/>
        </w:rPr>
        <w:t>平顶山嘉泰房地产开发有限公司</w:t>
      </w:r>
      <w:r>
        <w:rPr>
          <w:rFonts w:hint="eastAsia" w:ascii="仿宋_GB2312" w:hAnsi="仿宋" w:eastAsia="仿宋_GB2312"/>
          <w:sz w:val="30"/>
          <w:szCs w:val="30"/>
        </w:rPr>
        <w:t>东方雅苑A-01、A-02地块项目环境影响报告表》（以下简称《报告表》）收悉。</w:t>
      </w:r>
      <w:r>
        <w:rPr>
          <w:rFonts w:hint="eastAsia" w:ascii="仿宋_GB2312" w:hAnsi="仿宋_GB2312" w:eastAsia="仿宋_GB2312" w:cs="仿宋_GB2312"/>
          <w:color w:val="000000"/>
          <w:sz w:val="30"/>
          <w:szCs w:val="30"/>
        </w:rPr>
        <w:t>该项目已在我区网站公示期满，按照《中华人民共和国环境影响评价法》的有关规定，经研究</w:t>
      </w:r>
      <w:r>
        <w:rPr>
          <w:rFonts w:hint="eastAsia" w:ascii="仿宋_GB2312" w:hAnsi="仿宋" w:eastAsia="仿宋_GB2312"/>
          <w:sz w:val="30"/>
          <w:szCs w:val="30"/>
        </w:rPr>
        <w:t>，批复如下：</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76" w:firstLineChars="192"/>
        <w:jc w:val="both"/>
        <w:textAlignment w:val="auto"/>
        <w:outlineLvl w:val="9"/>
        <w:rPr>
          <w:rFonts w:hint="eastAsia" w:ascii="仿宋_GB2312" w:hAnsi="仿宋" w:eastAsia="仿宋_GB2312"/>
          <w:sz w:val="30"/>
          <w:szCs w:val="30"/>
        </w:rPr>
      </w:pPr>
      <w:r>
        <w:rPr>
          <w:rFonts w:hint="eastAsia" w:ascii="仿宋_GB2312" w:hAnsi="仿宋" w:eastAsia="仿宋_GB2312"/>
          <w:sz w:val="30"/>
          <w:szCs w:val="30"/>
        </w:rPr>
        <w:t>一、</w:t>
      </w:r>
      <w:r>
        <w:rPr>
          <w:rFonts w:ascii="仿宋_GB2312" w:hAnsi="仿宋" w:eastAsia="仿宋_GB2312"/>
          <w:sz w:val="30"/>
          <w:szCs w:val="30"/>
        </w:rPr>
        <w:t>平顶山嘉泰房地产开发有限公司</w:t>
      </w:r>
      <w:r>
        <w:rPr>
          <w:rFonts w:hint="eastAsia" w:ascii="仿宋_GB2312" w:hAnsi="仿宋" w:eastAsia="仿宋_GB2312"/>
          <w:sz w:val="30"/>
          <w:szCs w:val="30"/>
        </w:rPr>
        <w:t>东方雅苑A-01、A-02地块项目位于平顶山市东环路与平安大道交叉口东南角，</w:t>
      </w:r>
      <w:r>
        <w:rPr>
          <w:rFonts w:ascii="仿宋_GB2312" w:hAnsi="仿宋" w:eastAsia="仿宋_GB2312"/>
          <w:sz w:val="30"/>
          <w:szCs w:val="30"/>
        </w:rPr>
        <w:t>本项目</w:t>
      </w:r>
      <w:r>
        <w:rPr>
          <w:rFonts w:hint="eastAsia" w:ascii="仿宋_GB2312" w:hAnsi="仿宋_GB2312" w:eastAsia="仿宋_GB2312" w:cs="仿宋_GB2312"/>
          <w:color w:val="000000"/>
          <w:sz w:val="30"/>
          <w:szCs w:val="30"/>
        </w:rPr>
        <w:t>总投资</w:t>
      </w:r>
      <w:r>
        <w:rPr>
          <w:rFonts w:hint="eastAsia" w:ascii="仿宋_GB2312" w:hAnsi="仿宋_GB2312" w:eastAsia="仿宋_GB2312" w:cs="仿宋_GB2312"/>
          <w:color w:val="000000"/>
          <w:sz w:val="30"/>
          <w:szCs w:val="30"/>
          <w:lang w:val="en-US" w:eastAsia="zh-CN"/>
        </w:rPr>
        <w:t>100000</w:t>
      </w:r>
      <w:r>
        <w:rPr>
          <w:rFonts w:hint="eastAsia" w:ascii="仿宋_GB2312" w:hAnsi="仿宋_GB2312" w:eastAsia="仿宋_GB2312" w:cs="仿宋_GB2312"/>
          <w:color w:val="000000"/>
          <w:sz w:val="30"/>
          <w:szCs w:val="30"/>
        </w:rPr>
        <w:t>万元，其中环保投资</w:t>
      </w:r>
      <w:r>
        <w:rPr>
          <w:rFonts w:hint="eastAsia" w:ascii="仿宋_GB2312" w:hAnsi="仿宋_GB2312" w:eastAsia="仿宋_GB2312" w:cs="仿宋_GB2312"/>
          <w:color w:val="000000"/>
          <w:sz w:val="30"/>
          <w:szCs w:val="30"/>
          <w:lang w:val="en-US" w:eastAsia="zh-CN"/>
        </w:rPr>
        <w:t>220</w:t>
      </w:r>
      <w:r>
        <w:rPr>
          <w:rFonts w:hint="eastAsia" w:ascii="仿宋_GB2312" w:hAnsi="仿宋_GB2312" w:eastAsia="仿宋_GB2312" w:cs="仿宋_GB2312"/>
          <w:color w:val="000000"/>
          <w:sz w:val="30"/>
          <w:szCs w:val="30"/>
        </w:rPr>
        <w:t>万元</w:t>
      </w:r>
      <w:r>
        <w:rPr>
          <w:rFonts w:hint="eastAsia" w:ascii="仿宋_GB2312" w:hAnsi="仿宋" w:eastAsia="仿宋_GB2312"/>
          <w:sz w:val="30"/>
          <w:szCs w:val="30"/>
          <w:lang w:eastAsia="zh-CN"/>
        </w:rPr>
        <w:t>，</w:t>
      </w:r>
      <w:r>
        <w:rPr>
          <w:rFonts w:hint="eastAsia" w:ascii="仿宋_GB2312" w:hAnsi="仿宋" w:eastAsia="仿宋_GB2312"/>
          <w:sz w:val="30"/>
          <w:szCs w:val="30"/>
        </w:rPr>
        <w:t>总占地面积60050.01m</w:t>
      </w:r>
      <w:r>
        <w:rPr>
          <w:rFonts w:hint="eastAsia" w:ascii="仿宋_GB2312" w:hAnsi="仿宋" w:eastAsia="仿宋_GB2312"/>
          <w:sz w:val="30"/>
          <w:szCs w:val="30"/>
          <w:vertAlign w:val="superscript"/>
        </w:rPr>
        <w:t>2</w:t>
      </w:r>
      <w:r>
        <w:rPr>
          <w:rFonts w:hint="eastAsia" w:ascii="仿宋_GB2312" w:hAnsi="仿宋" w:eastAsia="仿宋_GB2312"/>
          <w:sz w:val="30"/>
          <w:szCs w:val="30"/>
        </w:rPr>
        <w:t>，共计分为2个地块，分别为A1地块、A2地块。项目总建筑面积190737m</w:t>
      </w:r>
      <w:r>
        <w:rPr>
          <w:rFonts w:hint="eastAsia" w:ascii="仿宋_GB2312" w:hAnsi="仿宋" w:eastAsia="仿宋_GB2312"/>
          <w:sz w:val="30"/>
          <w:szCs w:val="30"/>
          <w:vertAlign w:val="superscript"/>
        </w:rPr>
        <w:t>2</w:t>
      </w:r>
      <w:r>
        <w:rPr>
          <w:rFonts w:hint="eastAsia" w:ascii="仿宋_GB2312" w:hAnsi="仿宋" w:eastAsia="仿宋_GB2312"/>
          <w:sz w:val="30"/>
          <w:szCs w:val="30"/>
        </w:rPr>
        <w:t>（其中地上建筑面积141137m</w:t>
      </w:r>
      <w:r>
        <w:rPr>
          <w:rFonts w:hint="eastAsia" w:ascii="仿宋_GB2312" w:hAnsi="仿宋" w:eastAsia="仿宋_GB2312"/>
          <w:sz w:val="30"/>
          <w:szCs w:val="30"/>
          <w:vertAlign w:val="superscript"/>
        </w:rPr>
        <w:t>2</w:t>
      </w:r>
      <w:r>
        <w:rPr>
          <w:rFonts w:hint="eastAsia" w:ascii="仿宋_GB2312" w:hAnsi="仿宋" w:eastAsia="仿宋_GB2312"/>
          <w:sz w:val="30"/>
          <w:szCs w:val="30"/>
        </w:rPr>
        <w:t>，地下建筑面积49600m</w:t>
      </w:r>
      <w:r>
        <w:rPr>
          <w:rFonts w:hint="eastAsia" w:ascii="仿宋_GB2312" w:hAnsi="仿宋" w:eastAsia="仿宋_GB2312"/>
          <w:sz w:val="30"/>
          <w:szCs w:val="30"/>
          <w:vertAlign w:val="superscript"/>
        </w:rPr>
        <w:t>2</w:t>
      </w:r>
      <w:r>
        <w:rPr>
          <w:rFonts w:hint="eastAsia" w:ascii="仿宋_GB2312" w:hAnsi="仿宋" w:eastAsia="仿宋_GB2312"/>
          <w:sz w:val="30"/>
          <w:szCs w:val="30"/>
        </w:rPr>
        <w:t>。）主要</w:t>
      </w:r>
      <w:r>
        <w:rPr>
          <w:rFonts w:hint="eastAsia" w:ascii="仿宋_GB2312" w:hAnsi="仿宋" w:eastAsia="仿宋_GB2312"/>
          <w:sz w:val="30"/>
          <w:szCs w:val="30"/>
          <w:lang w:eastAsia="zh-CN"/>
        </w:rPr>
        <w:t>建设：</w:t>
      </w:r>
      <w:r>
        <w:rPr>
          <w:rFonts w:hint="eastAsia" w:ascii="仿宋_GB2312" w:hAnsi="仿宋" w:eastAsia="仿宋_GB2312"/>
          <w:sz w:val="30"/>
          <w:szCs w:val="30"/>
        </w:rPr>
        <w:t>7栋多层底商住宅楼，7栋13-18层高层住宅楼，1所幼儿园，1栋6层办公楼。</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76" w:firstLineChars="192"/>
        <w:jc w:val="both"/>
        <w:textAlignment w:val="auto"/>
        <w:outlineLvl w:val="9"/>
        <w:rPr>
          <w:rFonts w:hint="eastAsia" w:ascii="仿宋_GB2312" w:hAnsi="仿宋" w:eastAsia="仿宋_GB2312"/>
          <w:sz w:val="30"/>
          <w:szCs w:val="30"/>
        </w:rPr>
      </w:pPr>
      <w:r>
        <w:rPr>
          <w:rFonts w:hint="eastAsia" w:ascii="仿宋_GB2312" w:hAnsi="仿宋" w:eastAsia="仿宋_GB2312"/>
          <w:sz w:val="30"/>
          <w:szCs w:val="30"/>
        </w:rPr>
        <w:t>二、该《报告表》编制规范，内容较全面，提出的环境保护和污染防治措施基本可行，结论可信，可以做为下一步工程设计和环境管理的依据。该项目符合目前国家产业政策和环保政策，选址可行，</w:t>
      </w:r>
      <w:r>
        <w:rPr>
          <w:rFonts w:hint="eastAsia" w:ascii="仿宋_GB2312" w:hAnsi="仿宋_GB2312" w:eastAsia="仿宋_GB2312" w:cs="仿宋_GB2312"/>
          <w:color w:val="000000"/>
          <w:sz w:val="30"/>
          <w:szCs w:val="30"/>
        </w:rPr>
        <w:t>我局原则上同意</w:t>
      </w:r>
      <w:r>
        <w:rPr>
          <w:rFonts w:hint="eastAsia" w:ascii="仿宋_GB2312" w:hAnsi="仿宋" w:eastAsia="仿宋_GB2312"/>
          <w:sz w:val="30"/>
          <w:szCs w:val="30"/>
        </w:rPr>
        <w:t>你单位按照《报告表》所列的性质、规模、地点、环境保护对策措施进行项目建设。</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left="0" w:leftChars="0" w:firstLine="576" w:firstLineChars="192"/>
        <w:jc w:val="both"/>
        <w:textAlignment w:val="auto"/>
        <w:outlineLvl w:val="9"/>
        <w:rPr>
          <w:rFonts w:hint="eastAsia" w:ascii="仿宋_GB2312" w:hAnsi="仿宋" w:eastAsia="仿宋_GB2312"/>
          <w:sz w:val="30"/>
          <w:szCs w:val="30"/>
        </w:rPr>
      </w:pPr>
      <w:r>
        <w:rPr>
          <w:rFonts w:hint="eastAsia" w:ascii="仿宋_GB2312" w:hAnsi="仿宋" w:eastAsia="仿宋_GB2312"/>
          <w:sz w:val="30"/>
          <w:szCs w:val="30"/>
        </w:rPr>
        <w:t>三、</w:t>
      </w:r>
      <w:r>
        <w:rPr>
          <w:rFonts w:hint="eastAsia" w:ascii="仿宋_GB2312" w:hAnsi="仿宋_GB2312" w:eastAsia="仿宋_GB2312" w:cs="仿宋_GB2312"/>
          <w:color w:val="000000"/>
          <w:sz w:val="30"/>
          <w:szCs w:val="30"/>
        </w:rPr>
        <w:t>你单位应向公众主动公开已经批复的《报告表》，并接受利害相关方的垂询，及时向设计单位提供《报告表》和本批复文件，确保项目设计符合环境保护设计规范，落实污染防治措施和环境风险防范措施以及环保投资概算。</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left="0" w:leftChars="0" w:firstLine="576" w:firstLineChars="192"/>
        <w:jc w:val="both"/>
        <w:textAlignment w:val="auto"/>
        <w:outlineLvl w:val="9"/>
        <w:rPr>
          <w:rFonts w:hint="eastAsia" w:ascii="仿宋_GB2312" w:hAnsi="仿宋_GB2312" w:eastAsia="仿宋_GB2312" w:cs="仿宋_GB2312"/>
          <w:color w:val="000000"/>
          <w:sz w:val="30"/>
          <w:szCs w:val="30"/>
          <w:lang w:eastAsia="zh-CN"/>
        </w:rPr>
      </w:pPr>
      <w:r>
        <w:rPr>
          <w:rFonts w:hint="eastAsia" w:ascii="仿宋_GB2312" w:hAnsi="仿宋" w:eastAsia="仿宋_GB2312"/>
          <w:sz w:val="30"/>
          <w:szCs w:val="30"/>
        </w:rPr>
        <w:t>四、</w:t>
      </w:r>
      <w:r>
        <w:rPr>
          <w:rFonts w:hint="eastAsia" w:ascii="仿宋_GB2312" w:hAnsi="仿宋_GB2312" w:eastAsia="仿宋_GB2312" w:cs="仿宋_GB2312"/>
          <w:color w:val="000000"/>
          <w:sz w:val="30"/>
          <w:szCs w:val="30"/>
        </w:rPr>
        <w:t>你单位要严格执行环保“三同时”制度，认真落实环评提出的各项污染防治措施，并落实相应环保投资。确保本项目在施工期和营运期产生的粉尘、噪声、废水和固体废物等各类污染物达标排放或得到妥善处理。同时你单位在项目的施工和运营期间应做好以下工作</w:t>
      </w:r>
      <w:r>
        <w:rPr>
          <w:rFonts w:hint="eastAsia" w:ascii="仿宋_GB2312" w:hAnsi="仿宋_GB2312" w:eastAsia="仿宋_GB2312" w:cs="仿宋_GB2312"/>
          <w:color w:val="000000"/>
          <w:sz w:val="30"/>
          <w:szCs w:val="30"/>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left="0" w:leftChars="0" w:firstLine="576" w:firstLineChars="192"/>
        <w:jc w:val="both"/>
        <w:textAlignment w:val="auto"/>
        <w:outlineLvl w:val="9"/>
        <w:rPr>
          <w:rFonts w:hint="eastAsia" w:ascii="仿宋_GB2312" w:hAnsi="仿宋" w:eastAsia="仿宋_GB2312"/>
          <w:sz w:val="30"/>
          <w:szCs w:val="30"/>
          <w:lang w:val="en-US" w:eastAsia="zh-CN"/>
        </w:rPr>
      </w:pPr>
      <w:r>
        <w:rPr>
          <w:rFonts w:hint="eastAsia"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lang w:val="en-US" w:eastAsia="zh-CN"/>
        </w:rPr>
        <w:t>做好施工期扬尘污染治理。</w:t>
      </w:r>
      <w:r>
        <w:rPr>
          <w:rFonts w:hint="eastAsia" w:ascii="仿宋_GB2312" w:hAnsi="仿宋_GB2312" w:eastAsia="仿宋_GB2312" w:cs="仿宋_GB2312"/>
          <w:color w:val="000000"/>
          <w:sz w:val="30"/>
          <w:szCs w:val="30"/>
        </w:rPr>
        <w:t>建设单位要将防治扬尘污染费用列入工程造价，加装视频监控、监管人员到位、经报备批准后方可开工</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施工期</w:t>
      </w:r>
      <w:r>
        <w:rPr>
          <w:rFonts w:hint="eastAsia" w:ascii="仿宋_GB2312" w:hAnsi="仿宋_GB2312" w:eastAsia="仿宋_GB2312" w:cs="仿宋_GB2312"/>
          <w:color w:val="000000"/>
          <w:sz w:val="30"/>
          <w:szCs w:val="30"/>
          <w:lang w:val="en-US" w:eastAsia="zh-CN"/>
        </w:rPr>
        <w:t>严格</w:t>
      </w:r>
      <w:r>
        <w:rPr>
          <w:rFonts w:hint="eastAsia" w:ascii="仿宋_GB2312" w:hAnsi="仿宋_GB2312" w:eastAsia="仿宋_GB2312" w:cs="仿宋_GB2312"/>
          <w:color w:val="000000"/>
          <w:sz w:val="30"/>
          <w:szCs w:val="30"/>
        </w:rPr>
        <w:t>按照《河南省环境污染防治攻坚</w:t>
      </w:r>
      <w:r>
        <w:rPr>
          <w:rFonts w:hint="eastAsia" w:ascii="仿宋_GB2312" w:hAnsi="仿宋" w:eastAsia="仿宋_GB2312"/>
          <w:sz w:val="30"/>
          <w:szCs w:val="30"/>
        </w:rPr>
        <w:t>战领导小组办公室关于进一步加强扬尘污染专项治理的意见》、《平顶山市2018年大气污染防治攻坚战实施方案的通知》等相关规定，施工工地开工前必须做到“六个到位”、施工过程中必须做到“六个百分之百”，并采取持续洒水降尘，围档封闭，地面硬化等措施，工地露天堆放的物料、废渣等应加盖防尘网，控制扬尘的产生</w:t>
      </w:r>
      <w:r>
        <w:rPr>
          <w:rFonts w:hint="eastAsia" w:ascii="仿宋_GB2312" w:hAnsi="仿宋" w:eastAsia="仿宋_GB2312"/>
          <w:sz w:val="30"/>
          <w:szCs w:val="30"/>
          <w:lang w:val="en-US" w:eastAsia="zh-CN"/>
        </w:rPr>
        <w:t>。认真执行施工期扬尘防治措施，按照要求安装防扬尘监控，在风力达到四级以上的情况下要停止产生扬尘的施工作业，及时清除施工场地及运输路面散落的土、石屑，运输车辆定期冲洗，工地运输建筑材料和露天堆放的物料、废渣等应加盖篷布。</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left="0" w:leftChars="0" w:firstLine="540"/>
        <w:jc w:val="both"/>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 w:eastAsia="仿宋_GB2312"/>
          <w:sz w:val="30"/>
          <w:szCs w:val="30"/>
          <w:lang w:val="en-US" w:eastAsia="zh-CN"/>
        </w:rPr>
        <w:t>2、做好噪声污染治理。施工期间各种施工机械的</w:t>
      </w:r>
      <w:r>
        <w:rPr>
          <w:rFonts w:hint="eastAsia" w:ascii="仿宋_GB2312" w:hAnsi="仿宋_GB2312" w:eastAsia="仿宋_GB2312" w:cs="仿宋_GB2312"/>
          <w:color w:val="000000"/>
          <w:sz w:val="30"/>
          <w:szCs w:val="30"/>
          <w:lang w:val="en-US" w:eastAsia="zh-CN"/>
        </w:rPr>
        <w:t>使用应在昼间进行、特殊施工期间确需昼夜连续施工时，夜间施工需经区住建局批准，报区环保局备案，要使用商品混凝土以减少噪声源产生的影响，公共辅助性设施如风机、水泵以及空调产生的噪声应采取隔声降噪措施，做到达标不扰民。</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left="0" w:leftChars="0" w:firstLine="540"/>
        <w:jc w:val="both"/>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3、做好废水污染防治。施工期间建设临时沉淀池，对施工污水进行处理后回用，营运期间产生的生活废水经化粪池处理后进入市政污水管网，要分别建设雨污管网，实行雨污分流。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jc w:val="both"/>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4、妥善处理固体废弃物。施工、装修期间产生的弃土和施工人员产生的生活废弃物集中清运至垃圾填埋场处理，营运期产生的生活垃圾要分类处理，及时清运至垃圾中转站，防止二次污染。</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五、如果今后国家或我省颁布严于本批复指标的新标准，届时</w:t>
      </w:r>
      <w:r>
        <w:rPr>
          <w:rFonts w:hint="eastAsia" w:ascii="仿宋_GB2312" w:hAnsi="仿宋_GB2312" w:eastAsia="仿宋_GB2312" w:cs="仿宋_GB2312"/>
          <w:color w:val="000000"/>
          <w:sz w:val="30"/>
          <w:szCs w:val="30"/>
          <w:lang w:eastAsia="zh-CN"/>
        </w:rPr>
        <w:t>你单位</w:t>
      </w:r>
      <w:r>
        <w:rPr>
          <w:rFonts w:hint="eastAsia" w:ascii="仿宋_GB2312" w:hAnsi="仿宋_GB2312" w:eastAsia="仿宋_GB2312" w:cs="仿宋_GB2312"/>
          <w:color w:val="000000"/>
          <w:sz w:val="30"/>
          <w:szCs w:val="30"/>
        </w:rPr>
        <w:t>应按新标准执行。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六、项目建成后要及时组织环保设施竣工验收，验收合格后方可正式投入使用，并向社会公布验收情况。若发生因环境污染问题引起厂群纠纷或群众上访事件，</w:t>
      </w:r>
      <w:r>
        <w:rPr>
          <w:rFonts w:hint="eastAsia" w:ascii="仿宋_GB2312" w:hAnsi="仿宋_GB2312" w:eastAsia="仿宋_GB2312" w:cs="仿宋_GB2312"/>
          <w:color w:val="000000"/>
          <w:sz w:val="30"/>
          <w:szCs w:val="30"/>
          <w:lang w:eastAsia="zh-CN"/>
        </w:rPr>
        <w:t>你单位</w:t>
      </w:r>
      <w:r>
        <w:rPr>
          <w:rFonts w:hint="eastAsia" w:ascii="仿宋_GB2312" w:hAnsi="仿宋_GB2312" w:eastAsia="仿宋_GB2312" w:cs="仿宋_GB2312"/>
          <w:color w:val="000000"/>
          <w:sz w:val="30"/>
          <w:szCs w:val="30"/>
        </w:rPr>
        <w:t>须立即停止生产。卫东区环境保护局监察大队加强日常环保监督管理。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七、本批复有效期为5年，如该项目逾期未开工建设，其环境影响报告应按照审批权限重新上报审核。</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jc w:val="both"/>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八、项目的性质、规模、地点、防治污染的措施如发生重大变动,建设单位应当重新报批建设项目环境影响评价文件。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90" w:rightChars="-43" w:firstLine="300" w:firstLineChars="100"/>
        <w:jc w:val="both"/>
        <w:textAlignment w:val="auto"/>
        <w:outlineLvl w:val="9"/>
        <w:rPr>
          <w:rFonts w:hint="eastAsia" w:ascii="仿宋_GB2312" w:hAnsi="仿宋_GB2312" w:eastAsia="仿宋_GB2312" w:cs="仿宋_GB2312"/>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90" w:rightChars="-43" w:firstLine="300" w:firstLineChars="100"/>
        <w:jc w:val="right"/>
        <w:textAlignment w:val="auto"/>
        <w:outlineLvl w:val="9"/>
        <w:rPr>
          <w:rFonts w:hint="eastAsia" w:ascii="仿宋_GB2312" w:hAnsi="仿宋_GB2312" w:eastAsia="仿宋_GB2312" w:cs="仿宋_GB2312"/>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90" w:rightChars="-43" w:firstLine="3000" w:firstLineChars="1000"/>
        <w:jc w:val="right"/>
        <w:textAlignment w:val="auto"/>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2018年4月</w:t>
      </w:r>
      <w:r>
        <w:rPr>
          <w:rFonts w:hint="eastAsia" w:ascii="仿宋_GB2312" w:hAnsi="仿宋_GB2312" w:eastAsia="仿宋_GB2312" w:cs="仿宋_GB2312"/>
          <w:color w:val="000000"/>
          <w:sz w:val="30"/>
          <w:szCs w:val="30"/>
          <w:lang w:val="en-US" w:eastAsia="zh-CN"/>
        </w:rPr>
        <w:t>28</w:t>
      </w:r>
      <w:r>
        <w:rPr>
          <w:rFonts w:hint="eastAsia" w:ascii="仿宋_GB2312" w:hAnsi="仿宋_GB2312" w:eastAsia="仿宋_GB2312" w:cs="仿宋_GB2312"/>
          <w:color w:val="000000"/>
          <w:sz w:val="30"/>
          <w:szCs w:val="30"/>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420" w:firstLine="504" w:firstLineChars="168"/>
        <w:jc w:val="both"/>
        <w:textAlignment w:val="auto"/>
        <w:outlineLvl w:val="9"/>
        <w:rPr>
          <w:rFonts w:hint="eastAsia" w:ascii="仿宋_GB2312" w:hAnsi="黑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420" w:firstLine="504" w:firstLineChars="168"/>
        <w:jc w:val="both"/>
        <w:textAlignment w:val="auto"/>
        <w:outlineLvl w:val="9"/>
        <w:rPr>
          <w:rFonts w:hint="eastAsia" w:ascii="仿宋_GB2312" w:hAnsi="黑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outlineLvl w:val="9"/>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65BF"/>
    <w:rsid w:val="17905120"/>
    <w:rsid w:val="20B065BF"/>
    <w:rsid w:val="5DC048F3"/>
    <w:rsid w:val="61971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tabs>
        <w:tab w:val="left" w:pos="360"/>
      </w:tabs>
      <w:ind w:firstLine="570"/>
    </w:pPr>
    <w:rPr>
      <w:rFonts w:ascii="宋体" w:hAnsi="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2018-04-25T07:56:00Z</dcterms:created>
  <dc:creator>九苒</dc:creator>
  <cp:lastModifiedBy>Administrator</cp:lastModifiedBy>
  <cp:lastPrinted>2018-04-25T08:01:00Z</cp:lastPrinted>
  <dcterms:modified xsi:type="dcterms:W3CDTF">2018-04-27T01:22:07Z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